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1D544B" w14:textId="77777777" w:rsidR="00400DF8" w:rsidRDefault="00400DF8" w:rsidP="0058318D"/>
    <w:p w14:paraId="40A5164A" w14:textId="4F8B36E3" w:rsidR="0058318D" w:rsidRPr="00D50D94" w:rsidRDefault="0058318D" w:rsidP="00166D30">
      <w:pPr>
        <w:ind w:left="2160" w:right="-720" w:hanging="2160"/>
      </w:pPr>
      <w:r>
        <w:rPr>
          <w:b/>
          <w:u w:val="single"/>
        </w:rPr>
        <w:t>Interpretation:</w:t>
      </w:r>
      <w:r>
        <w:tab/>
      </w:r>
      <w:r w:rsidR="00573726">
        <w:t>Continuously Operating Whole House Mechanical Ventilation</w:t>
      </w:r>
    </w:p>
    <w:p w14:paraId="1854E535" w14:textId="77777777" w:rsidR="0058318D" w:rsidRDefault="0058318D" w:rsidP="0058318D">
      <w:pPr>
        <w:rPr>
          <w:b/>
          <w:u w:val="single"/>
        </w:rPr>
      </w:pPr>
    </w:p>
    <w:p w14:paraId="0BE9F14F" w14:textId="2FA39BBB" w:rsidR="0058318D" w:rsidRPr="00D50D94" w:rsidRDefault="0058318D" w:rsidP="0058318D">
      <w:r>
        <w:rPr>
          <w:b/>
          <w:u w:val="single"/>
        </w:rPr>
        <w:t>Designation</w:t>
      </w:r>
      <w:r>
        <w:tab/>
      </w:r>
      <w:r>
        <w:tab/>
        <w:t xml:space="preserve">No: </w:t>
      </w:r>
      <w:r w:rsidR="00400DF8">
        <w:t>3</w:t>
      </w:r>
      <w:r w:rsidR="00573726">
        <w:t>80</w:t>
      </w:r>
      <w:r w:rsidR="00400DF8">
        <w:t>-201</w:t>
      </w:r>
      <w:r w:rsidR="00573726">
        <w:t>6</w:t>
      </w:r>
      <w:r w:rsidR="00400DF8">
        <w:t>-</w:t>
      </w:r>
      <w:r w:rsidR="00573726">
        <w:t>03</w:t>
      </w:r>
      <w:r w:rsidR="00400DF8">
        <w:t xml:space="preserve"> </w:t>
      </w:r>
    </w:p>
    <w:p w14:paraId="28DB0904" w14:textId="77777777" w:rsidR="0058318D" w:rsidRDefault="0058318D" w:rsidP="0058318D">
      <w:pPr>
        <w:rPr>
          <w:b/>
          <w:u w:val="single"/>
        </w:rPr>
      </w:pPr>
    </w:p>
    <w:p w14:paraId="75F5A376" w14:textId="43C2DF05" w:rsidR="0058318D" w:rsidRPr="00D50D94" w:rsidRDefault="0058318D" w:rsidP="0058318D">
      <w:r>
        <w:rPr>
          <w:b/>
          <w:u w:val="single"/>
        </w:rPr>
        <w:t>Approved:</w:t>
      </w:r>
      <w:r>
        <w:tab/>
      </w:r>
      <w:r>
        <w:tab/>
      </w:r>
      <w:r w:rsidR="00F5320F">
        <w:t>April 14, 2019</w:t>
      </w:r>
      <w:r>
        <w:t xml:space="preserve"> by RESNET SDC 300</w:t>
      </w:r>
    </w:p>
    <w:p w14:paraId="6B8CCADE" w14:textId="77777777" w:rsidR="0058318D" w:rsidRDefault="0058318D" w:rsidP="0058318D">
      <w:pPr>
        <w:rPr>
          <w:b/>
          <w:u w:val="single"/>
        </w:rPr>
      </w:pPr>
    </w:p>
    <w:p w14:paraId="134FA129" w14:textId="1AB15FBD" w:rsidR="0058318D" w:rsidRPr="00D50D94" w:rsidRDefault="0058318D" w:rsidP="0058318D">
      <w:r>
        <w:rPr>
          <w:b/>
          <w:u w:val="single"/>
        </w:rPr>
        <w:t>Effective Date:</w:t>
      </w:r>
      <w:r>
        <w:tab/>
      </w:r>
      <w:r w:rsidR="00F5320F">
        <w:t>May 14</w:t>
      </w:r>
      <w:bookmarkStart w:id="0" w:name="_GoBack"/>
      <w:bookmarkEnd w:id="0"/>
      <w:r w:rsidR="00F5320F">
        <w:t>, 2019</w:t>
      </w:r>
    </w:p>
    <w:p w14:paraId="4F4EF038" w14:textId="77777777" w:rsidR="0058318D" w:rsidRDefault="0058318D" w:rsidP="0058318D"/>
    <w:tbl>
      <w:tblPr>
        <w:tblW w:w="9558" w:type="dxa"/>
        <w:tblLayout w:type="fixed"/>
        <w:tblLook w:val="0000" w:firstRow="0" w:lastRow="0" w:firstColumn="0" w:lastColumn="0" w:noHBand="0" w:noVBand="0"/>
      </w:tblPr>
      <w:tblGrid>
        <w:gridCol w:w="1728"/>
        <w:gridCol w:w="43"/>
        <w:gridCol w:w="767"/>
        <w:gridCol w:w="540"/>
        <w:gridCol w:w="900"/>
        <w:gridCol w:w="450"/>
        <w:gridCol w:w="831"/>
        <w:gridCol w:w="1149"/>
        <w:gridCol w:w="900"/>
        <w:gridCol w:w="810"/>
        <w:gridCol w:w="1440"/>
      </w:tblGrid>
      <w:tr w:rsidR="0058318D" w14:paraId="72434B1B" w14:textId="77777777" w:rsidTr="00642F0D">
        <w:tc>
          <w:tcPr>
            <w:tcW w:w="1771" w:type="dxa"/>
            <w:gridSpan w:val="2"/>
          </w:tcPr>
          <w:p w14:paraId="2262687E" w14:textId="77777777" w:rsidR="0058318D" w:rsidRDefault="0058318D" w:rsidP="0067014E">
            <w:pPr>
              <w:rPr>
                <w:b/>
                <w:u w:val="single"/>
              </w:rPr>
            </w:pPr>
            <w:r>
              <w:rPr>
                <w:b/>
                <w:u w:val="single"/>
              </w:rPr>
              <w:t>R</w:t>
            </w:r>
            <w:bookmarkStart w:id="1" w:name="Check1"/>
            <w:r>
              <w:rPr>
                <w:b/>
                <w:u w:val="single"/>
              </w:rPr>
              <w:t>equest from:</w:t>
            </w:r>
          </w:p>
        </w:tc>
        <w:bookmarkEnd w:id="1"/>
        <w:tc>
          <w:tcPr>
            <w:tcW w:w="1307" w:type="dxa"/>
            <w:gridSpan w:val="2"/>
          </w:tcPr>
          <w:p w14:paraId="344F5C93" w14:textId="77777777" w:rsidR="0058318D" w:rsidRDefault="0058318D" w:rsidP="0067014E">
            <w:r>
              <w:t xml:space="preserve">Name: </w:t>
            </w:r>
          </w:p>
        </w:tc>
        <w:tc>
          <w:tcPr>
            <w:tcW w:w="6480" w:type="dxa"/>
            <w:gridSpan w:val="7"/>
          </w:tcPr>
          <w:p w14:paraId="639F5315" w14:textId="0037BCAD" w:rsidR="0058318D" w:rsidRDefault="00400DF8" w:rsidP="0067014E">
            <w:r>
              <w:t>RESNET Staff</w:t>
            </w:r>
          </w:p>
        </w:tc>
      </w:tr>
      <w:tr w:rsidR="0058318D" w14:paraId="5022CBFF" w14:textId="77777777" w:rsidTr="00642F0D">
        <w:tc>
          <w:tcPr>
            <w:tcW w:w="1771" w:type="dxa"/>
            <w:gridSpan w:val="2"/>
          </w:tcPr>
          <w:p w14:paraId="1AA53C07" w14:textId="77777777" w:rsidR="0058318D" w:rsidRDefault="0058318D" w:rsidP="0067014E"/>
        </w:tc>
        <w:tc>
          <w:tcPr>
            <w:tcW w:w="1307" w:type="dxa"/>
            <w:gridSpan w:val="2"/>
          </w:tcPr>
          <w:p w14:paraId="4FFC9DB3" w14:textId="77777777" w:rsidR="0058318D" w:rsidRDefault="0058318D" w:rsidP="0067014E"/>
        </w:tc>
        <w:tc>
          <w:tcPr>
            <w:tcW w:w="6480" w:type="dxa"/>
            <w:gridSpan w:val="7"/>
            <w:tcBorders>
              <w:top w:val="single" w:sz="4" w:space="0" w:color="auto"/>
            </w:tcBorders>
          </w:tcPr>
          <w:p w14:paraId="293ACEF8" w14:textId="77777777" w:rsidR="0058318D" w:rsidRDefault="0058318D" w:rsidP="0067014E"/>
        </w:tc>
      </w:tr>
      <w:tr w:rsidR="0058318D" w14:paraId="5EFAE92F" w14:textId="77777777" w:rsidTr="00642F0D">
        <w:tc>
          <w:tcPr>
            <w:tcW w:w="1771" w:type="dxa"/>
            <w:gridSpan w:val="2"/>
          </w:tcPr>
          <w:p w14:paraId="61F8CF8D" w14:textId="77777777" w:rsidR="0058318D" w:rsidRDefault="0058318D" w:rsidP="0067014E"/>
        </w:tc>
        <w:tc>
          <w:tcPr>
            <w:tcW w:w="1307" w:type="dxa"/>
            <w:gridSpan w:val="2"/>
          </w:tcPr>
          <w:p w14:paraId="213F2CDD" w14:textId="77777777" w:rsidR="0058318D" w:rsidRDefault="0058318D" w:rsidP="0067014E">
            <w:r>
              <w:t>Affiliation:</w:t>
            </w:r>
          </w:p>
        </w:tc>
        <w:tc>
          <w:tcPr>
            <w:tcW w:w="6480" w:type="dxa"/>
            <w:gridSpan w:val="7"/>
            <w:tcBorders>
              <w:bottom w:val="single" w:sz="4" w:space="0" w:color="auto"/>
            </w:tcBorders>
          </w:tcPr>
          <w:p w14:paraId="0FA8EF8F" w14:textId="2045708B" w:rsidR="0058318D" w:rsidRDefault="00400DF8" w:rsidP="0067014E">
            <w:r>
              <w:t>RESNET</w:t>
            </w:r>
          </w:p>
        </w:tc>
      </w:tr>
      <w:tr w:rsidR="0058318D" w14:paraId="3D6F8556" w14:textId="77777777" w:rsidTr="00642F0D">
        <w:trPr>
          <w:cantSplit/>
        </w:trPr>
        <w:tc>
          <w:tcPr>
            <w:tcW w:w="1771" w:type="dxa"/>
            <w:gridSpan w:val="2"/>
          </w:tcPr>
          <w:p w14:paraId="5AD09EAB" w14:textId="77777777" w:rsidR="0058318D" w:rsidRDefault="0058318D" w:rsidP="0067014E"/>
        </w:tc>
        <w:tc>
          <w:tcPr>
            <w:tcW w:w="1307" w:type="dxa"/>
            <w:gridSpan w:val="2"/>
          </w:tcPr>
          <w:p w14:paraId="1063E3DC" w14:textId="77777777" w:rsidR="0058318D" w:rsidRDefault="0058318D" w:rsidP="0067014E"/>
        </w:tc>
        <w:tc>
          <w:tcPr>
            <w:tcW w:w="6480" w:type="dxa"/>
            <w:gridSpan w:val="7"/>
          </w:tcPr>
          <w:p w14:paraId="63292B50" w14:textId="77777777" w:rsidR="0058318D" w:rsidRDefault="0058318D" w:rsidP="0067014E"/>
        </w:tc>
      </w:tr>
      <w:tr w:rsidR="0058318D" w14:paraId="4E93AF2C" w14:textId="77777777" w:rsidTr="00642F0D">
        <w:trPr>
          <w:cantSplit/>
        </w:trPr>
        <w:tc>
          <w:tcPr>
            <w:tcW w:w="1771" w:type="dxa"/>
            <w:gridSpan w:val="2"/>
          </w:tcPr>
          <w:p w14:paraId="7A5B15F2" w14:textId="77777777" w:rsidR="0058318D" w:rsidRDefault="0058318D" w:rsidP="0067014E"/>
        </w:tc>
        <w:tc>
          <w:tcPr>
            <w:tcW w:w="1307" w:type="dxa"/>
            <w:gridSpan w:val="2"/>
          </w:tcPr>
          <w:p w14:paraId="1365DFB9" w14:textId="77777777" w:rsidR="0058318D" w:rsidRDefault="0058318D" w:rsidP="0067014E">
            <w:r>
              <w:t>Address:</w:t>
            </w:r>
          </w:p>
        </w:tc>
        <w:tc>
          <w:tcPr>
            <w:tcW w:w="6480" w:type="dxa"/>
            <w:gridSpan w:val="7"/>
            <w:tcBorders>
              <w:bottom w:val="single" w:sz="4" w:space="0" w:color="auto"/>
            </w:tcBorders>
          </w:tcPr>
          <w:p w14:paraId="46448AF5" w14:textId="6F0F498B" w:rsidR="0058318D" w:rsidRDefault="0058318D" w:rsidP="0067014E"/>
        </w:tc>
      </w:tr>
      <w:tr w:rsidR="0058318D" w14:paraId="1E832BD4" w14:textId="77777777" w:rsidTr="00642F0D">
        <w:trPr>
          <w:cantSplit/>
        </w:trPr>
        <w:tc>
          <w:tcPr>
            <w:tcW w:w="9558" w:type="dxa"/>
            <w:gridSpan w:val="11"/>
          </w:tcPr>
          <w:p w14:paraId="12B4007B" w14:textId="77777777" w:rsidR="0058318D" w:rsidRDefault="0058318D" w:rsidP="0067014E"/>
        </w:tc>
      </w:tr>
      <w:tr w:rsidR="0058318D" w14:paraId="68077B7F" w14:textId="77777777" w:rsidTr="00642F0D">
        <w:trPr>
          <w:cantSplit/>
        </w:trPr>
        <w:tc>
          <w:tcPr>
            <w:tcW w:w="1771" w:type="dxa"/>
            <w:gridSpan w:val="2"/>
          </w:tcPr>
          <w:p w14:paraId="29351FE3" w14:textId="77777777" w:rsidR="0058318D" w:rsidRDefault="0058318D" w:rsidP="0067014E"/>
        </w:tc>
        <w:tc>
          <w:tcPr>
            <w:tcW w:w="767" w:type="dxa"/>
          </w:tcPr>
          <w:p w14:paraId="7614FFF5" w14:textId="77777777" w:rsidR="0058318D" w:rsidRDefault="0058318D" w:rsidP="0067014E">
            <w:r>
              <w:t>City:</w:t>
            </w:r>
          </w:p>
        </w:tc>
        <w:tc>
          <w:tcPr>
            <w:tcW w:w="1890" w:type="dxa"/>
            <w:gridSpan w:val="3"/>
            <w:tcBorders>
              <w:bottom w:val="single" w:sz="4" w:space="0" w:color="auto"/>
            </w:tcBorders>
          </w:tcPr>
          <w:p w14:paraId="1EAC588F" w14:textId="388543D2" w:rsidR="0058318D" w:rsidRDefault="0058318D" w:rsidP="0067014E"/>
        </w:tc>
        <w:tc>
          <w:tcPr>
            <w:tcW w:w="831" w:type="dxa"/>
          </w:tcPr>
          <w:p w14:paraId="54CE37D8" w14:textId="77777777" w:rsidR="0058318D" w:rsidRDefault="0058318D" w:rsidP="0067014E">
            <w:r>
              <w:t>State:</w:t>
            </w:r>
          </w:p>
        </w:tc>
        <w:tc>
          <w:tcPr>
            <w:tcW w:w="2049" w:type="dxa"/>
            <w:gridSpan w:val="2"/>
            <w:tcBorders>
              <w:bottom w:val="single" w:sz="4" w:space="0" w:color="auto"/>
            </w:tcBorders>
          </w:tcPr>
          <w:p w14:paraId="064147C4" w14:textId="6B879F89" w:rsidR="0058318D" w:rsidRDefault="0058318D" w:rsidP="0067014E"/>
        </w:tc>
        <w:tc>
          <w:tcPr>
            <w:tcW w:w="810" w:type="dxa"/>
          </w:tcPr>
          <w:p w14:paraId="116AEC11" w14:textId="77777777" w:rsidR="0058318D" w:rsidRDefault="0058318D" w:rsidP="0067014E">
            <w:r>
              <w:t>Zip:</w:t>
            </w:r>
          </w:p>
        </w:tc>
        <w:tc>
          <w:tcPr>
            <w:tcW w:w="1440" w:type="dxa"/>
            <w:tcBorders>
              <w:bottom w:val="single" w:sz="4" w:space="0" w:color="auto"/>
            </w:tcBorders>
          </w:tcPr>
          <w:p w14:paraId="4DEF150D" w14:textId="4D003937" w:rsidR="0058318D" w:rsidRDefault="0058318D" w:rsidP="0067014E"/>
        </w:tc>
      </w:tr>
      <w:tr w:rsidR="0058318D" w14:paraId="2D25D29A" w14:textId="77777777" w:rsidTr="00642F0D">
        <w:trPr>
          <w:cantSplit/>
        </w:trPr>
        <w:tc>
          <w:tcPr>
            <w:tcW w:w="9558" w:type="dxa"/>
            <w:gridSpan w:val="11"/>
          </w:tcPr>
          <w:p w14:paraId="0219A6EF" w14:textId="77777777" w:rsidR="0058318D" w:rsidRDefault="0058318D" w:rsidP="0067014E"/>
        </w:tc>
      </w:tr>
      <w:tr w:rsidR="0058318D" w14:paraId="34E65479" w14:textId="77777777" w:rsidTr="00642F0D">
        <w:tc>
          <w:tcPr>
            <w:tcW w:w="1771" w:type="dxa"/>
            <w:gridSpan w:val="2"/>
          </w:tcPr>
          <w:p w14:paraId="1F0D2522" w14:textId="77777777" w:rsidR="0058318D" w:rsidRDefault="0058318D" w:rsidP="0067014E"/>
        </w:tc>
        <w:tc>
          <w:tcPr>
            <w:tcW w:w="1307" w:type="dxa"/>
            <w:gridSpan w:val="2"/>
          </w:tcPr>
          <w:p w14:paraId="565642E5" w14:textId="77777777" w:rsidR="0058318D" w:rsidRDefault="0058318D" w:rsidP="0067014E">
            <w:r>
              <w:t>Telephone:</w:t>
            </w:r>
          </w:p>
        </w:tc>
        <w:tc>
          <w:tcPr>
            <w:tcW w:w="6480" w:type="dxa"/>
            <w:gridSpan w:val="7"/>
            <w:tcBorders>
              <w:bottom w:val="single" w:sz="4" w:space="0" w:color="auto"/>
            </w:tcBorders>
          </w:tcPr>
          <w:p w14:paraId="46513836" w14:textId="1C9FC2EE" w:rsidR="0058318D" w:rsidRDefault="0058318D" w:rsidP="0067014E"/>
        </w:tc>
      </w:tr>
      <w:tr w:rsidR="0058318D" w14:paraId="4C9968AA" w14:textId="77777777" w:rsidTr="00642F0D">
        <w:trPr>
          <w:cantSplit/>
        </w:trPr>
        <w:tc>
          <w:tcPr>
            <w:tcW w:w="9558" w:type="dxa"/>
            <w:gridSpan w:val="11"/>
          </w:tcPr>
          <w:p w14:paraId="03436C2B" w14:textId="77777777" w:rsidR="0058318D" w:rsidRDefault="0058318D" w:rsidP="0067014E"/>
        </w:tc>
      </w:tr>
      <w:tr w:rsidR="0058318D" w14:paraId="432397CF" w14:textId="77777777" w:rsidTr="00642F0D">
        <w:tc>
          <w:tcPr>
            <w:tcW w:w="1771" w:type="dxa"/>
            <w:gridSpan w:val="2"/>
          </w:tcPr>
          <w:p w14:paraId="345120B2" w14:textId="77777777" w:rsidR="0058318D" w:rsidRDefault="0058318D" w:rsidP="0067014E"/>
        </w:tc>
        <w:tc>
          <w:tcPr>
            <w:tcW w:w="1307" w:type="dxa"/>
            <w:gridSpan w:val="2"/>
          </w:tcPr>
          <w:p w14:paraId="27601C77" w14:textId="77777777" w:rsidR="0058318D" w:rsidRDefault="0058318D" w:rsidP="0067014E">
            <w:r>
              <w:t>E-mail:</w:t>
            </w:r>
          </w:p>
        </w:tc>
        <w:tc>
          <w:tcPr>
            <w:tcW w:w="6480" w:type="dxa"/>
            <w:gridSpan w:val="7"/>
            <w:tcBorders>
              <w:bottom w:val="single" w:sz="4" w:space="0" w:color="auto"/>
            </w:tcBorders>
          </w:tcPr>
          <w:p w14:paraId="2D30C5DE" w14:textId="1CCD0B10" w:rsidR="0058318D" w:rsidRDefault="007E1E0F" w:rsidP="0067014E">
            <w:r w:rsidRPr="007E1E0F">
              <w:t>Scott Doyle &lt;scott@resnet.us&gt;</w:t>
            </w:r>
          </w:p>
        </w:tc>
      </w:tr>
      <w:tr w:rsidR="0058318D" w14:paraId="25C0E992" w14:textId="77777777" w:rsidTr="00642F0D">
        <w:trPr>
          <w:cantSplit/>
        </w:trPr>
        <w:tc>
          <w:tcPr>
            <w:tcW w:w="9558" w:type="dxa"/>
            <w:gridSpan w:val="11"/>
          </w:tcPr>
          <w:p w14:paraId="4783C8F3" w14:textId="77777777" w:rsidR="0058318D" w:rsidRDefault="0058318D" w:rsidP="0067014E"/>
        </w:tc>
      </w:tr>
      <w:tr w:rsidR="0058318D" w14:paraId="6000A15E" w14:textId="77777777" w:rsidTr="00642F0D">
        <w:trPr>
          <w:cantSplit/>
        </w:trPr>
        <w:tc>
          <w:tcPr>
            <w:tcW w:w="1771" w:type="dxa"/>
            <w:gridSpan w:val="2"/>
          </w:tcPr>
          <w:p w14:paraId="74CD50F7" w14:textId="77777777" w:rsidR="0058318D" w:rsidRDefault="0058318D" w:rsidP="0067014E">
            <w:pPr>
              <w:rPr>
                <w:b/>
                <w:u w:val="single"/>
              </w:rPr>
            </w:pPr>
            <w:r>
              <w:rPr>
                <w:b/>
                <w:u w:val="single"/>
              </w:rPr>
              <w:t>Reference:</w:t>
            </w:r>
          </w:p>
        </w:tc>
        <w:tc>
          <w:tcPr>
            <w:tcW w:w="7787" w:type="dxa"/>
            <w:gridSpan w:val="9"/>
          </w:tcPr>
          <w:p w14:paraId="03A80626" w14:textId="4F236BEE" w:rsidR="0058318D" w:rsidRDefault="0058318D" w:rsidP="0067014E">
            <w:r>
              <w:t>This request for interpretation refers to the requirements presented in</w:t>
            </w:r>
            <w:r w:rsidR="007A340D">
              <w:t xml:space="preserve"> Standard</w:t>
            </w:r>
            <w:r>
              <w:t>:</w:t>
            </w:r>
          </w:p>
        </w:tc>
      </w:tr>
      <w:tr w:rsidR="0058318D" w14:paraId="38165113" w14:textId="77777777" w:rsidTr="00642F0D">
        <w:trPr>
          <w:cantSplit/>
        </w:trPr>
        <w:tc>
          <w:tcPr>
            <w:tcW w:w="1771" w:type="dxa"/>
            <w:gridSpan w:val="2"/>
          </w:tcPr>
          <w:p w14:paraId="133B6A85" w14:textId="77777777" w:rsidR="0058318D" w:rsidRDefault="0058318D" w:rsidP="0067014E"/>
        </w:tc>
        <w:tc>
          <w:tcPr>
            <w:tcW w:w="2207" w:type="dxa"/>
            <w:gridSpan w:val="3"/>
            <w:tcBorders>
              <w:bottom w:val="single" w:sz="4" w:space="0" w:color="auto"/>
            </w:tcBorders>
          </w:tcPr>
          <w:p w14:paraId="69721BD9" w14:textId="605BB451" w:rsidR="0058318D" w:rsidRDefault="00400DF8" w:rsidP="0067014E">
            <w:r>
              <w:t>3</w:t>
            </w:r>
            <w:r w:rsidR="00573726">
              <w:t>80</w:t>
            </w:r>
            <w:r>
              <w:t>-201</w:t>
            </w:r>
            <w:r w:rsidR="00573726">
              <w:t>6</w:t>
            </w:r>
          </w:p>
        </w:tc>
        <w:tc>
          <w:tcPr>
            <w:tcW w:w="2430" w:type="dxa"/>
            <w:gridSpan w:val="3"/>
          </w:tcPr>
          <w:p w14:paraId="59A34220" w14:textId="77777777" w:rsidR="0058318D" w:rsidRDefault="0058318D" w:rsidP="0067014E"/>
        </w:tc>
        <w:tc>
          <w:tcPr>
            <w:tcW w:w="3150" w:type="dxa"/>
            <w:gridSpan w:val="3"/>
            <w:tcBorders>
              <w:bottom w:val="single" w:sz="4" w:space="0" w:color="auto"/>
            </w:tcBorders>
          </w:tcPr>
          <w:p w14:paraId="672CADD9" w14:textId="41C5FC62" w:rsidR="0058318D" w:rsidRDefault="0058318D" w:rsidP="0067014E"/>
        </w:tc>
      </w:tr>
      <w:tr w:rsidR="0058318D" w14:paraId="32F277DB" w14:textId="77777777" w:rsidTr="00642F0D">
        <w:trPr>
          <w:cantSplit/>
        </w:trPr>
        <w:tc>
          <w:tcPr>
            <w:tcW w:w="9558" w:type="dxa"/>
            <w:gridSpan w:val="11"/>
          </w:tcPr>
          <w:p w14:paraId="4B310750" w14:textId="77777777" w:rsidR="0058318D" w:rsidRDefault="0058318D" w:rsidP="0067014E"/>
        </w:tc>
      </w:tr>
      <w:tr w:rsidR="0058318D" w14:paraId="2C10AC68" w14:textId="77777777" w:rsidTr="00642F0D">
        <w:tc>
          <w:tcPr>
            <w:tcW w:w="1771" w:type="dxa"/>
            <w:gridSpan w:val="2"/>
          </w:tcPr>
          <w:p w14:paraId="1AECE6B3" w14:textId="77777777" w:rsidR="0058318D" w:rsidRDefault="0058318D" w:rsidP="0067014E"/>
        </w:tc>
        <w:tc>
          <w:tcPr>
            <w:tcW w:w="2207" w:type="dxa"/>
            <w:gridSpan w:val="3"/>
          </w:tcPr>
          <w:p w14:paraId="0D5B2836" w14:textId="77777777" w:rsidR="0058318D" w:rsidRDefault="0058318D" w:rsidP="0067014E">
            <w:r>
              <w:t>Page Number(s):</w:t>
            </w:r>
          </w:p>
        </w:tc>
        <w:tc>
          <w:tcPr>
            <w:tcW w:w="5580" w:type="dxa"/>
            <w:gridSpan w:val="6"/>
            <w:tcBorders>
              <w:bottom w:val="single" w:sz="4" w:space="0" w:color="auto"/>
            </w:tcBorders>
          </w:tcPr>
          <w:p w14:paraId="7D226885" w14:textId="633AFFF6" w:rsidR="0058318D" w:rsidRDefault="0058318D" w:rsidP="0067014E"/>
        </w:tc>
      </w:tr>
      <w:tr w:rsidR="0058318D" w14:paraId="5FB74177" w14:textId="77777777" w:rsidTr="00642F0D">
        <w:tc>
          <w:tcPr>
            <w:tcW w:w="1771" w:type="dxa"/>
            <w:gridSpan w:val="2"/>
          </w:tcPr>
          <w:p w14:paraId="16B2CF73" w14:textId="77777777" w:rsidR="0058318D" w:rsidRDefault="0058318D" w:rsidP="0067014E"/>
        </w:tc>
        <w:tc>
          <w:tcPr>
            <w:tcW w:w="2207" w:type="dxa"/>
            <w:gridSpan w:val="3"/>
          </w:tcPr>
          <w:p w14:paraId="64CD350F" w14:textId="77777777" w:rsidR="0058318D" w:rsidRDefault="0058318D" w:rsidP="0067014E">
            <w:r>
              <w:t>Section(s):</w:t>
            </w:r>
          </w:p>
        </w:tc>
        <w:tc>
          <w:tcPr>
            <w:tcW w:w="5580" w:type="dxa"/>
            <w:gridSpan w:val="6"/>
            <w:tcBorders>
              <w:bottom w:val="single" w:sz="4" w:space="0" w:color="auto"/>
            </w:tcBorders>
          </w:tcPr>
          <w:p w14:paraId="2F7968D3" w14:textId="1773CED2" w:rsidR="0058318D" w:rsidRDefault="00573726" w:rsidP="0067014E">
            <w:r>
              <w:t>3.2.11.4 and 4.2.7.2</w:t>
            </w:r>
          </w:p>
        </w:tc>
      </w:tr>
      <w:tr w:rsidR="0058318D" w14:paraId="74CD976F" w14:textId="77777777" w:rsidTr="00642F0D">
        <w:tc>
          <w:tcPr>
            <w:tcW w:w="1771" w:type="dxa"/>
            <w:gridSpan w:val="2"/>
          </w:tcPr>
          <w:p w14:paraId="145751C4" w14:textId="77777777" w:rsidR="0058318D" w:rsidRDefault="0058318D" w:rsidP="0067014E"/>
        </w:tc>
        <w:tc>
          <w:tcPr>
            <w:tcW w:w="2207" w:type="dxa"/>
            <w:gridSpan w:val="3"/>
          </w:tcPr>
          <w:p w14:paraId="74E89661" w14:textId="77777777" w:rsidR="0058318D" w:rsidRDefault="0058318D" w:rsidP="0067014E">
            <w:r>
              <w:t>Table(s):</w:t>
            </w:r>
          </w:p>
        </w:tc>
        <w:tc>
          <w:tcPr>
            <w:tcW w:w="5580" w:type="dxa"/>
            <w:gridSpan w:val="6"/>
            <w:tcBorders>
              <w:top w:val="single" w:sz="4" w:space="0" w:color="auto"/>
            </w:tcBorders>
          </w:tcPr>
          <w:p w14:paraId="19DE00B3" w14:textId="26D1D07B" w:rsidR="0058318D" w:rsidRDefault="0058318D" w:rsidP="0067014E"/>
        </w:tc>
      </w:tr>
      <w:tr w:rsidR="0058318D" w14:paraId="2FDB2669" w14:textId="77777777" w:rsidTr="00642F0D">
        <w:tc>
          <w:tcPr>
            <w:tcW w:w="1771" w:type="dxa"/>
            <w:gridSpan w:val="2"/>
          </w:tcPr>
          <w:p w14:paraId="0E377750" w14:textId="77777777" w:rsidR="0058318D" w:rsidRDefault="0058318D" w:rsidP="0067014E"/>
        </w:tc>
        <w:tc>
          <w:tcPr>
            <w:tcW w:w="2207" w:type="dxa"/>
            <w:gridSpan w:val="3"/>
          </w:tcPr>
          <w:p w14:paraId="00E8E074" w14:textId="77777777" w:rsidR="0058318D" w:rsidRDefault="0058318D" w:rsidP="0067014E">
            <w:r>
              <w:t>Relating to:</w:t>
            </w:r>
          </w:p>
        </w:tc>
        <w:tc>
          <w:tcPr>
            <w:tcW w:w="5580" w:type="dxa"/>
            <w:gridSpan w:val="6"/>
            <w:tcBorders>
              <w:top w:val="single" w:sz="4" w:space="0" w:color="auto"/>
              <w:bottom w:val="single" w:sz="4" w:space="0" w:color="auto"/>
            </w:tcBorders>
          </w:tcPr>
          <w:p w14:paraId="00F771F3" w14:textId="567A270D" w:rsidR="0058318D" w:rsidRDefault="0058318D" w:rsidP="0067014E"/>
        </w:tc>
      </w:tr>
      <w:tr w:rsidR="0058318D" w14:paraId="683DC2E5" w14:textId="77777777" w:rsidTr="00642F0D">
        <w:trPr>
          <w:cantSplit/>
        </w:trPr>
        <w:tc>
          <w:tcPr>
            <w:tcW w:w="9558" w:type="dxa"/>
            <w:gridSpan w:val="11"/>
          </w:tcPr>
          <w:p w14:paraId="055D52CA" w14:textId="77777777" w:rsidR="0058318D" w:rsidRDefault="0058318D" w:rsidP="0067014E"/>
        </w:tc>
      </w:tr>
      <w:tr w:rsidR="0058318D" w14:paraId="4C9981EF" w14:textId="77777777" w:rsidTr="00642F0D">
        <w:trPr>
          <w:cantSplit/>
        </w:trPr>
        <w:tc>
          <w:tcPr>
            <w:tcW w:w="1771" w:type="dxa"/>
            <w:gridSpan w:val="2"/>
          </w:tcPr>
          <w:p w14:paraId="246AB388" w14:textId="50737D04" w:rsidR="0058318D" w:rsidRDefault="0058318D" w:rsidP="0067014E">
            <w:pPr>
              <w:rPr>
                <w:b/>
                <w:u w:val="single"/>
              </w:rPr>
            </w:pPr>
            <w:r>
              <w:rPr>
                <w:b/>
                <w:u w:val="single"/>
              </w:rPr>
              <w:t>B</w:t>
            </w:r>
            <w:bookmarkStart w:id="2" w:name="Text12"/>
            <w:r>
              <w:rPr>
                <w:b/>
                <w:u w:val="single"/>
              </w:rPr>
              <w:t>ackground</w:t>
            </w:r>
            <w:r w:rsidR="00642F0D">
              <w:rPr>
                <w:b/>
                <w:u w:val="single"/>
              </w:rPr>
              <w:t xml:space="preserve"> (provided by Requester)</w:t>
            </w:r>
            <w:r>
              <w:rPr>
                <w:b/>
                <w:u w:val="single"/>
              </w:rPr>
              <w:t>:</w:t>
            </w:r>
          </w:p>
        </w:tc>
        <w:bookmarkEnd w:id="2"/>
        <w:tc>
          <w:tcPr>
            <w:tcW w:w="7787" w:type="dxa"/>
            <w:gridSpan w:val="9"/>
            <w:tcBorders>
              <w:bottom w:val="single" w:sz="4" w:space="0" w:color="auto"/>
            </w:tcBorders>
          </w:tcPr>
          <w:p w14:paraId="2C762C98" w14:textId="2739025A" w:rsidR="0058318D" w:rsidRDefault="0058318D" w:rsidP="0067014E">
            <w:pPr>
              <w:pStyle w:val="Default"/>
            </w:pPr>
          </w:p>
        </w:tc>
      </w:tr>
      <w:tr w:rsidR="0058318D" w14:paraId="55549B7E" w14:textId="77777777" w:rsidTr="00642F0D">
        <w:trPr>
          <w:cantSplit/>
        </w:trPr>
        <w:tc>
          <w:tcPr>
            <w:tcW w:w="1771" w:type="dxa"/>
            <w:gridSpan w:val="2"/>
          </w:tcPr>
          <w:p w14:paraId="381A88F0" w14:textId="77777777" w:rsidR="0058318D" w:rsidRPr="00573726" w:rsidRDefault="0058318D" w:rsidP="00573726">
            <w:pPr>
              <w:ind w:right="-314"/>
            </w:pPr>
          </w:p>
        </w:tc>
        <w:tc>
          <w:tcPr>
            <w:tcW w:w="7787" w:type="dxa"/>
            <w:gridSpan w:val="9"/>
          </w:tcPr>
          <w:p w14:paraId="1B8B8190" w14:textId="3A5D710F" w:rsidR="0058318D" w:rsidRPr="00573726" w:rsidRDefault="00573726" w:rsidP="0067014E">
            <w:r w:rsidRPr="00573726">
              <w:t>RESNET QA oversight activities have discovered inconsistency among raters when determining whether to tape/seal non-</w:t>
            </w:r>
            <w:proofErr w:type="spellStart"/>
            <w:r w:rsidRPr="00573726">
              <w:t>dampered</w:t>
            </w:r>
            <w:proofErr w:type="spellEnd"/>
            <w:r w:rsidRPr="00573726">
              <w:t xml:space="preserve"> openings as it pertains to the procedure to prepare the building for infiltration and duct system testing.  The issue stems from an interpretation of the meaning of “continuously operating” in sections 3.2.11.4 and 4.2.7.2 within RESNET/ICC 380-2016.  Within other code standards such as the IRC, “continuously operating” can refer to appliances like refrigerators which do not run </w:t>
            </w:r>
            <w:proofErr w:type="gramStart"/>
            <w:r w:rsidRPr="00573726">
              <w:t>24/7, but</w:t>
            </w:r>
            <w:proofErr w:type="gramEnd"/>
            <w:r w:rsidRPr="00573726">
              <w:t xml:space="preserve"> turn on and off automatically without any interaction from the occupants.  Many testers have taken a plain English interpretation that “continuously operating” (as it is used in the above referenced sections of 380-2016) means the fan is designed to be in operation 100% of the time.  This interpretation difference can lead to very different test results and creates inconsistency in the marketplace.</w:t>
            </w:r>
          </w:p>
          <w:p w14:paraId="22AF3C51" w14:textId="77777777" w:rsidR="00573726" w:rsidRPr="00573726" w:rsidRDefault="00573726" w:rsidP="0067014E"/>
          <w:p w14:paraId="2DC72E75" w14:textId="44364215" w:rsidR="00573726" w:rsidRPr="00573726" w:rsidRDefault="00573726" w:rsidP="0067014E">
            <w:r w:rsidRPr="00573726">
              <w:t>Th</w:t>
            </w:r>
            <w:r w:rsidR="005D6005">
              <w:t xml:space="preserve">is </w:t>
            </w:r>
            <w:r w:rsidRPr="00573726">
              <w:t xml:space="preserve">interpretation </w:t>
            </w:r>
            <w:r w:rsidR="005D6005">
              <w:t xml:space="preserve">request </w:t>
            </w:r>
            <w:r w:rsidRPr="00573726">
              <w:t>is necessary in the name of consistency and creating a level playing field.  Without a clear definition of “continuously operating” some testers are making an interpretation to seal these non-</w:t>
            </w:r>
            <w:proofErr w:type="spellStart"/>
            <w:r w:rsidRPr="00573726">
              <w:t>dampered</w:t>
            </w:r>
            <w:proofErr w:type="spellEnd"/>
            <w:r w:rsidRPr="00573726">
              <w:t xml:space="preserve"> openings during duct leakage to outside or infiltration testing.</w:t>
            </w:r>
          </w:p>
          <w:p w14:paraId="2CE30F59" w14:textId="77777777" w:rsidR="00573726" w:rsidRPr="00573726" w:rsidRDefault="00573726" w:rsidP="00573726"/>
          <w:p w14:paraId="6D04343B" w14:textId="6910C5B3" w:rsidR="00573726" w:rsidRPr="00573726" w:rsidRDefault="00573726" w:rsidP="00573726">
            <w:r w:rsidRPr="00573726">
              <w:t>The proposed interpretation is in line with the original intent of the standard.  Non-</w:t>
            </w:r>
            <w:proofErr w:type="spellStart"/>
            <w:r w:rsidRPr="00573726">
              <w:t>dampered</w:t>
            </w:r>
            <w:proofErr w:type="spellEnd"/>
            <w:r w:rsidRPr="00573726">
              <w:t xml:space="preserve"> openings create “holes” through which natural infiltration occurs whenever a mechanical ventilation system fan is not activated.  When connected to heating/cooling air distribution systems, these “holes” also create openings through which duct leakage occurs during times when the heating/cooling system </w:t>
            </w:r>
            <w:proofErr w:type="gramStart"/>
            <w:r w:rsidRPr="00573726">
              <w:t>operates</w:t>
            </w:r>
            <w:proofErr w:type="gramEnd"/>
            <w:r w:rsidRPr="00573726">
              <w:t xml:space="preserve"> and the ventilation system fan is not activated.  As such, these “holes” cause additional air exchange with the outside beyond the design for ventilation air and should be accounted for during testing.</w:t>
            </w:r>
          </w:p>
        </w:tc>
      </w:tr>
      <w:tr w:rsidR="0058318D" w14:paraId="45868380" w14:textId="77777777" w:rsidTr="00642F0D">
        <w:trPr>
          <w:cantSplit/>
        </w:trPr>
        <w:tc>
          <w:tcPr>
            <w:tcW w:w="9558" w:type="dxa"/>
            <w:gridSpan w:val="11"/>
          </w:tcPr>
          <w:p w14:paraId="29DE0585" w14:textId="77777777" w:rsidR="0058318D" w:rsidRDefault="0058318D" w:rsidP="0067014E"/>
        </w:tc>
      </w:tr>
      <w:tr w:rsidR="0058318D" w14:paraId="3C46EEC8" w14:textId="77777777" w:rsidTr="00642F0D">
        <w:trPr>
          <w:cantSplit/>
        </w:trPr>
        <w:tc>
          <w:tcPr>
            <w:tcW w:w="1771" w:type="dxa"/>
            <w:gridSpan w:val="2"/>
          </w:tcPr>
          <w:p w14:paraId="546FAA94" w14:textId="3CC454D3" w:rsidR="0058318D" w:rsidRDefault="00642F0D" w:rsidP="0067014E">
            <w:pPr>
              <w:rPr>
                <w:b/>
                <w:u w:val="single"/>
              </w:rPr>
            </w:pPr>
            <w:r>
              <w:rPr>
                <w:b/>
                <w:u w:val="single"/>
              </w:rPr>
              <w:t xml:space="preserve">Requester’s </w:t>
            </w:r>
            <w:r w:rsidR="0058318D">
              <w:rPr>
                <w:b/>
                <w:u w:val="single"/>
              </w:rPr>
              <w:t>Interpretation:</w:t>
            </w:r>
          </w:p>
        </w:tc>
        <w:tc>
          <w:tcPr>
            <w:tcW w:w="7787" w:type="dxa"/>
            <w:gridSpan w:val="9"/>
            <w:tcBorders>
              <w:bottom w:val="single" w:sz="4" w:space="0" w:color="auto"/>
            </w:tcBorders>
          </w:tcPr>
          <w:p w14:paraId="5AEFCAE1" w14:textId="511C0E5C" w:rsidR="0058318D" w:rsidRDefault="0058318D" w:rsidP="0067014E"/>
        </w:tc>
      </w:tr>
      <w:tr w:rsidR="0058318D" w:rsidRPr="00573726" w14:paraId="51C39083" w14:textId="77777777" w:rsidTr="00642F0D">
        <w:trPr>
          <w:cantSplit/>
        </w:trPr>
        <w:tc>
          <w:tcPr>
            <w:tcW w:w="1771" w:type="dxa"/>
            <w:gridSpan w:val="2"/>
          </w:tcPr>
          <w:p w14:paraId="08434EB8" w14:textId="77777777" w:rsidR="0058318D" w:rsidRPr="00573726" w:rsidRDefault="0058318D" w:rsidP="0067014E"/>
        </w:tc>
        <w:tc>
          <w:tcPr>
            <w:tcW w:w="7787" w:type="dxa"/>
            <w:gridSpan w:val="9"/>
          </w:tcPr>
          <w:p w14:paraId="71428AFE" w14:textId="77777777" w:rsidR="00573726" w:rsidRPr="00573726" w:rsidRDefault="00573726" w:rsidP="007C5A7B"/>
          <w:p w14:paraId="192F9714" w14:textId="45949C72" w:rsidR="0058318D" w:rsidRPr="00573726" w:rsidRDefault="00573726" w:rsidP="007C5A7B">
            <w:r w:rsidRPr="00573726">
              <w:t>The term “continuously operating” as it is used in RESNET/ICC 380-2016 shall be defined as a ventilation fan designed to operate 100% of the time or 24/7.  Ventilation systems that automatically turn the fan on or off (for example: timer, moisture/temperature sensor) shall NOT be considered continuously operating and their non-</w:t>
            </w:r>
            <w:proofErr w:type="spellStart"/>
            <w:r w:rsidRPr="00573726">
              <w:t>dampered</w:t>
            </w:r>
            <w:proofErr w:type="spellEnd"/>
            <w:r w:rsidRPr="00573726">
              <w:t xml:space="preserve"> openings shall not be sealed during testing.</w:t>
            </w:r>
          </w:p>
        </w:tc>
      </w:tr>
      <w:tr w:rsidR="0058318D" w14:paraId="4EF36B02" w14:textId="77777777" w:rsidTr="00642F0D">
        <w:trPr>
          <w:cantSplit/>
          <w:trHeight w:val="360"/>
        </w:trPr>
        <w:tc>
          <w:tcPr>
            <w:tcW w:w="9558" w:type="dxa"/>
            <w:gridSpan w:val="11"/>
          </w:tcPr>
          <w:p w14:paraId="568BDEE9" w14:textId="77777777" w:rsidR="0058318D" w:rsidRDefault="0058318D" w:rsidP="0067014E"/>
        </w:tc>
      </w:tr>
      <w:tr w:rsidR="0058318D" w14:paraId="37696171" w14:textId="77777777" w:rsidTr="00642F0D">
        <w:trPr>
          <w:cantSplit/>
        </w:trPr>
        <w:tc>
          <w:tcPr>
            <w:tcW w:w="1728" w:type="dxa"/>
          </w:tcPr>
          <w:p w14:paraId="6B5D07D0" w14:textId="77777777" w:rsidR="0058318D" w:rsidRDefault="0058318D" w:rsidP="0067014E">
            <w:pPr>
              <w:rPr>
                <w:b/>
                <w:u w:val="single"/>
              </w:rPr>
            </w:pPr>
            <w:r>
              <w:rPr>
                <w:b/>
                <w:u w:val="single"/>
              </w:rPr>
              <w:t>Question:</w:t>
            </w:r>
          </w:p>
        </w:tc>
        <w:tc>
          <w:tcPr>
            <w:tcW w:w="7830" w:type="dxa"/>
            <w:gridSpan w:val="10"/>
          </w:tcPr>
          <w:p w14:paraId="6B019977" w14:textId="77777777" w:rsidR="0058318D" w:rsidRDefault="0058318D" w:rsidP="0067014E">
            <w:pPr>
              <w:rPr>
                <w:sz w:val="16"/>
              </w:rPr>
            </w:pPr>
            <w:r>
              <w:t>Is this Interpretation correct?</w:t>
            </w:r>
          </w:p>
        </w:tc>
      </w:tr>
      <w:tr w:rsidR="0058318D" w14:paraId="1660D954" w14:textId="77777777" w:rsidTr="00642F0D">
        <w:trPr>
          <w:cantSplit/>
        </w:trPr>
        <w:tc>
          <w:tcPr>
            <w:tcW w:w="1728" w:type="dxa"/>
          </w:tcPr>
          <w:p w14:paraId="60CC0597" w14:textId="77777777" w:rsidR="0058318D" w:rsidRDefault="0058318D" w:rsidP="0067014E"/>
        </w:tc>
        <w:tc>
          <w:tcPr>
            <w:tcW w:w="7830" w:type="dxa"/>
            <w:gridSpan w:val="10"/>
          </w:tcPr>
          <w:p w14:paraId="0DFF4E05" w14:textId="77777777" w:rsidR="0058318D" w:rsidRDefault="0058318D" w:rsidP="0067014E"/>
        </w:tc>
      </w:tr>
      <w:tr w:rsidR="0058318D" w14:paraId="31407C5D" w14:textId="77777777" w:rsidTr="00642F0D">
        <w:trPr>
          <w:cantSplit/>
        </w:trPr>
        <w:tc>
          <w:tcPr>
            <w:tcW w:w="9558" w:type="dxa"/>
            <w:gridSpan w:val="11"/>
          </w:tcPr>
          <w:p w14:paraId="1C7E383F" w14:textId="77777777" w:rsidR="0058318D" w:rsidRDefault="0058318D" w:rsidP="0067014E"/>
        </w:tc>
      </w:tr>
      <w:tr w:rsidR="0058318D" w14:paraId="0A3F516C" w14:textId="77777777" w:rsidTr="00642F0D">
        <w:trPr>
          <w:cantSplit/>
        </w:trPr>
        <w:tc>
          <w:tcPr>
            <w:tcW w:w="1771" w:type="dxa"/>
            <w:gridSpan w:val="2"/>
          </w:tcPr>
          <w:p w14:paraId="11EFCD76" w14:textId="6E3768A3" w:rsidR="0058318D" w:rsidRDefault="00642F0D" w:rsidP="0067014E">
            <w:pPr>
              <w:rPr>
                <w:b/>
                <w:u w:val="single"/>
              </w:rPr>
            </w:pPr>
            <w:r>
              <w:rPr>
                <w:b/>
                <w:u w:val="single"/>
              </w:rPr>
              <w:t xml:space="preserve">SDC300 </w:t>
            </w:r>
            <w:r w:rsidR="0058318D">
              <w:rPr>
                <w:b/>
                <w:u w:val="single"/>
              </w:rPr>
              <w:t>Answer:</w:t>
            </w:r>
          </w:p>
        </w:tc>
        <w:tc>
          <w:tcPr>
            <w:tcW w:w="7787" w:type="dxa"/>
            <w:gridSpan w:val="9"/>
          </w:tcPr>
          <w:p w14:paraId="37A9DAE5" w14:textId="1A954515" w:rsidR="0058318D" w:rsidRPr="007A340D" w:rsidRDefault="007A340D" w:rsidP="0067014E">
            <w:r>
              <w:t>Yes</w:t>
            </w:r>
          </w:p>
        </w:tc>
      </w:tr>
      <w:tr w:rsidR="0058318D" w14:paraId="75996319" w14:textId="77777777" w:rsidTr="00642F0D">
        <w:trPr>
          <w:cantSplit/>
        </w:trPr>
        <w:tc>
          <w:tcPr>
            <w:tcW w:w="9558" w:type="dxa"/>
            <w:gridSpan w:val="11"/>
          </w:tcPr>
          <w:p w14:paraId="3A2341A0" w14:textId="77777777" w:rsidR="0058318D" w:rsidRDefault="0058318D" w:rsidP="0067014E"/>
        </w:tc>
      </w:tr>
      <w:tr w:rsidR="0058318D" w14:paraId="7002A9A9" w14:textId="77777777" w:rsidTr="00642F0D">
        <w:trPr>
          <w:cantSplit/>
        </w:trPr>
        <w:tc>
          <w:tcPr>
            <w:tcW w:w="1771" w:type="dxa"/>
            <w:gridSpan w:val="2"/>
          </w:tcPr>
          <w:p w14:paraId="187BBD55" w14:textId="33DC6FF0" w:rsidR="0058318D" w:rsidRDefault="00642F0D" w:rsidP="0067014E">
            <w:pPr>
              <w:rPr>
                <w:b/>
                <w:u w:val="single"/>
              </w:rPr>
            </w:pPr>
            <w:r>
              <w:rPr>
                <w:b/>
                <w:u w:val="single"/>
              </w:rPr>
              <w:t xml:space="preserve">SDC300 </w:t>
            </w:r>
            <w:r w:rsidR="0058318D">
              <w:rPr>
                <w:b/>
                <w:u w:val="single"/>
              </w:rPr>
              <w:t>Comments:</w:t>
            </w:r>
          </w:p>
        </w:tc>
        <w:tc>
          <w:tcPr>
            <w:tcW w:w="7787" w:type="dxa"/>
            <w:gridSpan w:val="9"/>
          </w:tcPr>
          <w:p w14:paraId="36BD3EB9" w14:textId="77777777" w:rsidR="0058318D" w:rsidRDefault="0058318D" w:rsidP="0067014E"/>
          <w:p w14:paraId="151C0BF0" w14:textId="77777777" w:rsidR="0058318D" w:rsidRDefault="0058318D" w:rsidP="0067014E">
            <w:pPr>
              <w:rPr>
                <w:sz w:val="16"/>
              </w:rPr>
            </w:pPr>
          </w:p>
        </w:tc>
      </w:tr>
    </w:tbl>
    <w:p w14:paraId="6211AAC2" w14:textId="77777777" w:rsidR="00E359E1" w:rsidRDefault="00E359E1" w:rsidP="00330F8B"/>
    <w:p w14:paraId="0AC07842" w14:textId="2AA66792" w:rsidR="002353C8" w:rsidRDefault="00762B64" w:rsidP="00762B64">
      <w:pPr>
        <w:ind w:left="90"/>
      </w:pPr>
      <w:r>
        <w:t>Section</w:t>
      </w:r>
      <w:r w:rsidR="00586F75">
        <w:t>s</w:t>
      </w:r>
      <w:r>
        <w:t xml:space="preserve"> </w:t>
      </w:r>
      <w:r w:rsidR="005D6005">
        <w:t xml:space="preserve">3.2.11.2 and </w:t>
      </w:r>
      <w:r>
        <w:t xml:space="preserve">4.2.7.1 clearly state </w:t>
      </w:r>
      <w:r w:rsidR="00586F75">
        <w:t>that</w:t>
      </w:r>
      <w:r>
        <w:t xml:space="preserve"> </w:t>
      </w:r>
      <w:r w:rsidR="00586F75">
        <w:t>non-</w:t>
      </w:r>
      <w:proofErr w:type="spellStart"/>
      <w:r w:rsidR="00586F75">
        <w:t>dampered</w:t>
      </w:r>
      <w:proofErr w:type="spellEnd"/>
      <w:r w:rsidR="00586F75">
        <w:t xml:space="preserve"> ventilation openings of </w:t>
      </w:r>
      <w:r>
        <w:t xml:space="preserve">“intermittently operating” systems shall not be sealed. Timer and </w:t>
      </w:r>
      <w:proofErr w:type="gramStart"/>
      <w:r>
        <w:t>sensor controlled</w:t>
      </w:r>
      <w:proofErr w:type="gramEnd"/>
      <w:r>
        <w:t xml:space="preserve"> systems are intermittent and not continuous.</w:t>
      </w:r>
      <w:r w:rsidR="002353C8">
        <w:t xml:space="preserve">  </w:t>
      </w:r>
    </w:p>
    <w:p w14:paraId="3CFA41C4" w14:textId="77777777" w:rsidR="004265ED" w:rsidRDefault="004265ED" w:rsidP="00762B64">
      <w:pPr>
        <w:ind w:left="90"/>
      </w:pPr>
    </w:p>
    <w:p w14:paraId="3BCFA9FB" w14:textId="77777777" w:rsidR="00AC44A7" w:rsidRDefault="00AC44A7" w:rsidP="00AC44A7">
      <w:pPr>
        <w:pStyle w:val="Heading3"/>
        <w:keepNext w:val="0"/>
        <w:numPr>
          <w:ilvl w:val="2"/>
          <w:numId w:val="6"/>
        </w:numPr>
        <w:suppressAutoHyphens w:val="0"/>
        <w:spacing w:before="0" w:after="120" w:line="240" w:lineRule="auto"/>
        <w:rPr>
          <w:rFonts w:ascii="Times New Roman" w:hAnsi="Times New Roman"/>
          <w:b w:val="0"/>
          <w:sz w:val="24"/>
        </w:rPr>
      </w:pPr>
      <w:r w:rsidRPr="00647B92">
        <w:rPr>
          <w:rFonts w:ascii="Times New Roman" w:hAnsi="Times New Roman"/>
          <w:b w:val="0"/>
          <w:sz w:val="24"/>
        </w:rPr>
        <w:t>Non-</w:t>
      </w:r>
      <w:proofErr w:type="spellStart"/>
      <w:r w:rsidRPr="00647B92">
        <w:rPr>
          <w:rFonts w:ascii="Times New Roman" w:hAnsi="Times New Roman"/>
          <w:b w:val="0"/>
          <w:sz w:val="24"/>
        </w:rPr>
        <w:t>dampered</w:t>
      </w:r>
      <w:proofErr w:type="spellEnd"/>
      <w:r w:rsidRPr="00647B92">
        <w:rPr>
          <w:rFonts w:ascii="Times New Roman" w:hAnsi="Times New Roman"/>
          <w:b w:val="0"/>
          <w:sz w:val="24"/>
        </w:rPr>
        <w:t xml:space="preserve"> </w:t>
      </w:r>
      <w:r>
        <w:rPr>
          <w:rFonts w:ascii="Times New Roman" w:hAnsi="Times New Roman"/>
          <w:b w:val="0"/>
          <w:sz w:val="24"/>
        </w:rPr>
        <w:t>openings for ventilation, combustion air and make-up air</w:t>
      </w:r>
    </w:p>
    <w:p w14:paraId="28B8CC11" w14:textId="77777777" w:rsidR="00AC44A7" w:rsidRPr="00647B92" w:rsidRDefault="00AC44A7" w:rsidP="00AC44A7">
      <w:pPr>
        <w:pStyle w:val="Heading3"/>
        <w:keepNext w:val="0"/>
        <w:numPr>
          <w:ilvl w:val="3"/>
          <w:numId w:val="8"/>
        </w:numPr>
        <w:suppressAutoHyphens w:val="0"/>
        <w:spacing w:before="0" w:after="120" w:line="240" w:lineRule="auto"/>
        <w:rPr>
          <w:rFonts w:ascii="Times New Roman" w:hAnsi="Times New Roman"/>
          <w:b w:val="0"/>
          <w:sz w:val="24"/>
          <w:szCs w:val="24"/>
        </w:rPr>
      </w:pPr>
      <w:bookmarkStart w:id="3" w:name="_Toc436716898"/>
      <w:r w:rsidRPr="00647B92">
        <w:rPr>
          <w:rFonts w:ascii="Times New Roman" w:hAnsi="Times New Roman"/>
          <w:b w:val="0"/>
          <w:sz w:val="24"/>
          <w:szCs w:val="24"/>
        </w:rPr>
        <w:t>Non-</w:t>
      </w:r>
      <w:proofErr w:type="spellStart"/>
      <w:r w:rsidRPr="00647B92">
        <w:rPr>
          <w:rFonts w:ascii="Times New Roman" w:hAnsi="Times New Roman"/>
          <w:b w:val="0"/>
          <w:sz w:val="24"/>
          <w:szCs w:val="24"/>
        </w:rPr>
        <w:t>dampered</w:t>
      </w:r>
      <w:proofErr w:type="spellEnd"/>
      <w:r w:rsidRPr="00647B92">
        <w:rPr>
          <w:rFonts w:ascii="Times New Roman" w:hAnsi="Times New Roman"/>
          <w:b w:val="0"/>
          <w:sz w:val="24"/>
          <w:szCs w:val="24"/>
        </w:rPr>
        <w:t xml:space="preserve"> ventilation openings of intermittently operating whole-house ventilation systems, including HVAC fan-integrated outdoor air inlets, that connect the </w:t>
      </w:r>
      <w:r w:rsidRPr="00647B92">
        <w:rPr>
          <w:rFonts w:ascii="Times New Roman" w:hAnsi="Times New Roman"/>
          <w:b w:val="0"/>
          <w:sz w:val="24"/>
        </w:rPr>
        <w:t xml:space="preserve">Conditioned Space Volume </w:t>
      </w:r>
      <w:r w:rsidRPr="00647B92">
        <w:rPr>
          <w:rFonts w:ascii="Times New Roman" w:hAnsi="Times New Roman"/>
          <w:b w:val="0"/>
          <w:sz w:val="24"/>
          <w:szCs w:val="24"/>
        </w:rPr>
        <w:t xml:space="preserve">to the exterior or to </w:t>
      </w:r>
      <w:r w:rsidRPr="00647B92">
        <w:rPr>
          <w:rFonts w:ascii="Times New Roman" w:hAnsi="Times New Roman"/>
          <w:b w:val="0"/>
          <w:sz w:val="24"/>
        </w:rPr>
        <w:t xml:space="preserve">Unconditioned Space Volume </w:t>
      </w:r>
      <w:r w:rsidRPr="00647B92">
        <w:rPr>
          <w:rFonts w:ascii="Times New Roman" w:hAnsi="Times New Roman"/>
          <w:b w:val="0"/>
          <w:sz w:val="24"/>
          <w:szCs w:val="24"/>
        </w:rPr>
        <w:t>shall not be sealed.</w:t>
      </w:r>
      <w:bookmarkEnd w:id="3"/>
    </w:p>
    <w:p w14:paraId="54795F66" w14:textId="77777777" w:rsidR="00AC44A7" w:rsidRPr="00CA4968" w:rsidRDefault="00AC44A7" w:rsidP="00AC44A7">
      <w:pPr>
        <w:rPr>
          <w:lang w:eastAsia="hi-IN" w:bidi="hi-IN"/>
        </w:rPr>
      </w:pPr>
    </w:p>
    <w:p w14:paraId="4F4DA0DF" w14:textId="77777777" w:rsidR="00AC44A7" w:rsidRPr="00647B92" w:rsidRDefault="00AC44A7" w:rsidP="00AC44A7">
      <w:pPr>
        <w:pStyle w:val="Heading3"/>
        <w:keepNext w:val="0"/>
        <w:numPr>
          <w:ilvl w:val="3"/>
          <w:numId w:val="5"/>
        </w:numPr>
        <w:suppressAutoHyphens w:val="0"/>
        <w:spacing w:before="0" w:after="120" w:line="240" w:lineRule="auto"/>
        <w:rPr>
          <w:rFonts w:ascii="Times New Roman" w:hAnsi="Times New Roman"/>
          <w:b w:val="0"/>
          <w:sz w:val="24"/>
        </w:rPr>
      </w:pPr>
      <w:r w:rsidRPr="00647B92">
        <w:rPr>
          <w:rFonts w:ascii="Times New Roman" w:hAnsi="Times New Roman"/>
          <w:b w:val="0"/>
          <w:sz w:val="24"/>
        </w:rPr>
        <w:t>Non-</w:t>
      </w:r>
      <w:proofErr w:type="spellStart"/>
      <w:r w:rsidRPr="00647B92">
        <w:rPr>
          <w:rFonts w:ascii="Times New Roman" w:hAnsi="Times New Roman"/>
          <w:b w:val="0"/>
          <w:sz w:val="24"/>
        </w:rPr>
        <w:t>dampered</w:t>
      </w:r>
      <w:proofErr w:type="spellEnd"/>
      <w:r w:rsidRPr="00647B92">
        <w:rPr>
          <w:rFonts w:ascii="Times New Roman" w:hAnsi="Times New Roman"/>
          <w:b w:val="0"/>
          <w:sz w:val="24"/>
        </w:rPr>
        <w:t xml:space="preserve"> ventilation openings of continuously operating</w:t>
      </w:r>
      <w:r w:rsidRPr="00647B92">
        <w:rPr>
          <w:rFonts w:ascii="Times New Roman" w:hAnsi="Times New Roman"/>
          <w:b w:val="0"/>
          <w:sz w:val="24"/>
          <w:szCs w:val="24"/>
        </w:rPr>
        <w:t xml:space="preserve"> whole-house</w:t>
      </w:r>
      <w:r w:rsidRPr="00647B92">
        <w:rPr>
          <w:rFonts w:ascii="Times New Roman" w:hAnsi="Times New Roman"/>
          <w:b w:val="0"/>
          <w:sz w:val="24"/>
        </w:rPr>
        <w:t xml:space="preserve"> ventilation systems that connect the Conditioned Space Volume to the exterior or to Unconditioned Space Volume </w:t>
      </w:r>
      <w:r>
        <w:rPr>
          <w:rFonts w:ascii="Times New Roman" w:hAnsi="Times New Roman"/>
          <w:b w:val="0"/>
          <w:sz w:val="24"/>
        </w:rPr>
        <w:t>shall be sealed</w:t>
      </w:r>
      <w:r w:rsidRPr="00647B92">
        <w:rPr>
          <w:rFonts w:ascii="Times New Roman" w:hAnsi="Times New Roman"/>
          <w:b w:val="0"/>
          <w:sz w:val="24"/>
        </w:rPr>
        <w:t xml:space="preserve"> at the exterior of the enclosure</w:t>
      </w:r>
      <w:r>
        <w:rPr>
          <w:rFonts w:ascii="Times New Roman" w:hAnsi="Times New Roman"/>
          <w:b w:val="0"/>
          <w:sz w:val="24"/>
        </w:rPr>
        <w:t xml:space="preserve"> where conditions allow.</w:t>
      </w:r>
    </w:p>
    <w:p w14:paraId="4A3011D7" w14:textId="31293162" w:rsidR="00762B64" w:rsidRDefault="00762B64" w:rsidP="00762B64">
      <w:pPr>
        <w:ind w:left="90"/>
      </w:pPr>
    </w:p>
    <w:p w14:paraId="1B74C4AD" w14:textId="77777777" w:rsidR="00762B64" w:rsidRPr="00647B92" w:rsidRDefault="00762B64" w:rsidP="009B7943">
      <w:pPr>
        <w:pStyle w:val="Heading3"/>
        <w:keepNext w:val="0"/>
        <w:numPr>
          <w:ilvl w:val="2"/>
          <w:numId w:val="4"/>
        </w:numPr>
        <w:suppressAutoHyphens w:val="0"/>
        <w:spacing w:before="0" w:after="120" w:line="240" w:lineRule="auto"/>
        <w:rPr>
          <w:rFonts w:ascii="Times New Roman" w:hAnsi="Times New Roman"/>
          <w:b w:val="0"/>
          <w:sz w:val="24"/>
        </w:rPr>
      </w:pPr>
      <w:bookmarkStart w:id="4" w:name="_Toc436716957"/>
      <w:bookmarkStart w:id="5" w:name="_Toc445802803"/>
      <w:r w:rsidRPr="00647B92">
        <w:rPr>
          <w:rFonts w:ascii="Times New Roman" w:hAnsi="Times New Roman"/>
          <w:b w:val="0"/>
          <w:sz w:val="24"/>
        </w:rPr>
        <w:t>Non-</w:t>
      </w:r>
      <w:proofErr w:type="spellStart"/>
      <w:r w:rsidRPr="00647B92">
        <w:rPr>
          <w:rFonts w:ascii="Times New Roman" w:hAnsi="Times New Roman"/>
          <w:b w:val="0"/>
          <w:sz w:val="24"/>
        </w:rPr>
        <w:t>dampered</w:t>
      </w:r>
      <w:proofErr w:type="spellEnd"/>
      <w:r w:rsidRPr="00647B92">
        <w:rPr>
          <w:rFonts w:ascii="Times New Roman" w:hAnsi="Times New Roman"/>
          <w:b w:val="0"/>
          <w:sz w:val="24"/>
        </w:rPr>
        <w:t xml:space="preserve"> ventilation openings within the duct system shall be </w:t>
      </w:r>
      <w:r w:rsidRPr="00647B92">
        <w:rPr>
          <w:rFonts w:ascii="Times New Roman" w:hAnsi="Times New Roman"/>
          <w:b w:val="0"/>
          <w:sz w:val="24"/>
          <w:szCs w:val="24"/>
        </w:rPr>
        <w:t>treated as follows:</w:t>
      </w:r>
      <w:bookmarkEnd w:id="4"/>
      <w:bookmarkEnd w:id="5"/>
      <w:r w:rsidRPr="00647B92" w:rsidDel="00475CA1">
        <w:rPr>
          <w:rFonts w:ascii="Times New Roman" w:hAnsi="Times New Roman"/>
          <w:b w:val="0"/>
          <w:sz w:val="24"/>
          <w:szCs w:val="24"/>
        </w:rPr>
        <w:t xml:space="preserve"> </w:t>
      </w:r>
    </w:p>
    <w:p w14:paraId="69A9D1A0" w14:textId="77777777" w:rsidR="00762B64" w:rsidRPr="00647B92" w:rsidRDefault="00762B64" w:rsidP="00762B64">
      <w:pPr>
        <w:pStyle w:val="Heading3"/>
        <w:keepNext w:val="0"/>
        <w:numPr>
          <w:ilvl w:val="3"/>
          <w:numId w:val="4"/>
        </w:numPr>
        <w:suppressAutoHyphens w:val="0"/>
        <w:spacing w:before="0" w:after="120" w:line="240" w:lineRule="auto"/>
        <w:rPr>
          <w:rFonts w:ascii="Times New Roman" w:hAnsi="Times New Roman"/>
        </w:rPr>
      </w:pPr>
      <w:bookmarkStart w:id="6" w:name="_Toc436716958"/>
      <w:bookmarkStart w:id="7" w:name="_Toc445802804"/>
      <w:r w:rsidRPr="00647B92">
        <w:rPr>
          <w:rFonts w:ascii="Times New Roman" w:hAnsi="Times New Roman"/>
          <w:b w:val="0"/>
          <w:sz w:val="24"/>
          <w:szCs w:val="24"/>
        </w:rPr>
        <w:t>Non-</w:t>
      </w:r>
      <w:proofErr w:type="spellStart"/>
      <w:r w:rsidRPr="00647B92">
        <w:rPr>
          <w:rFonts w:ascii="Times New Roman" w:hAnsi="Times New Roman"/>
          <w:b w:val="0"/>
          <w:sz w:val="24"/>
          <w:szCs w:val="24"/>
        </w:rPr>
        <w:t>dampered</w:t>
      </w:r>
      <w:proofErr w:type="spellEnd"/>
      <w:r w:rsidRPr="00647B92">
        <w:rPr>
          <w:rFonts w:ascii="Times New Roman" w:hAnsi="Times New Roman"/>
          <w:b w:val="0"/>
          <w:sz w:val="24"/>
          <w:szCs w:val="24"/>
        </w:rPr>
        <w:t xml:space="preserve"> ventilation openings of intermittently operating whole-house ventilation systems, including HVAC fan-integrated outdoor air inlets, that connect the </w:t>
      </w:r>
      <w:r w:rsidRPr="00647B92">
        <w:rPr>
          <w:rFonts w:ascii="Times New Roman" w:hAnsi="Times New Roman"/>
          <w:b w:val="0"/>
          <w:sz w:val="24"/>
        </w:rPr>
        <w:t>Conditioned Space Volume</w:t>
      </w:r>
      <w:r w:rsidRPr="00647B92" w:rsidDel="00EA4197">
        <w:rPr>
          <w:rFonts w:ascii="Times New Roman" w:hAnsi="Times New Roman"/>
          <w:b w:val="0"/>
          <w:sz w:val="24"/>
          <w:szCs w:val="24"/>
        </w:rPr>
        <w:t xml:space="preserve"> </w:t>
      </w:r>
      <w:r w:rsidRPr="00647B92">
        <w:rPr>
          <w:rFonts w:ascii="Times New Roman" w:hAnsi="Times New Roman"/>
          <w:b w:val="0"/>
          <w:sz w:val="24"/>
          <w:szCs w:val="24"/>
        </w:rPr>
        <w:t xml:space="preserve">(including space conditioning duct systems) to the exterior or to </w:t>
      </w:r>
      <w:r w:rsidRPr="00647B92">
        <w:rPr>
          <w:rFonts w:ascii="Times New Roman" w:hAnsi="Times New Roman"/>
          <w:b w:val="0"/>
          <w:sz w:val="24"/>
        </w:rPr>
        <w:t xml:space="preserve">Unconditioned Space Volume </w:t>
      </w:r>
      <w:r w:rsidRPr="00647B92">
        <w:rPr>
          <w:rFonts w:ascii="Times New Roman" w:hAnsi="Times New Roman"/>
          <w:b w:val="0"/>
          <w:sz w:val="24"/>
          <w:szCs w:val="24"/>
        </w:rPr>
        <w:t>shall not be sealed.</w:t>
      </w:r>
      <w:bookmarkEnd w:id="6"/>
      <w:bookmarkEnd w:id="7"/>
    </w:p>
    <w:p w14:paraId="32DBCA7B" w14:textId="77777777" w:rsidR="00762B64" w:rsidRPr="00647B92" w:rsidRDefault="00762B64" w:rsidP="00762B64">
      <w:pPr>
        <w:pStyle w:val="Heading3"/>
        <w:keepNext w:val="0"/>
        <w:numPr>
          <w:ilvl w:val="3"/>
          <w:numId w:val="4"/>
        </w:numPr>
        <w:suppressAutoHyphens w:val="0"/>
        <w:spacing w:before="0" w:after="120" w:line="240" w:lineRule="auto"/>
        <w:rPr>
          <w:rFonts w:ascii="Times New Roman" w:hAnsi="Times New Roman"/>
        </w:rPr>
      </w:pPr>
      <w:bookmarkStart w:id="8" w:name="_Toc436716959"/>
      <w:bookmarkStart w:id="9" w:name="_Toc445802805"/>
      <w:r w:rsidRPr="00647B92">
        <w:rPr>
          <w:rFonts w:ascii="Times New Roman" w:hAnsi="Times New Roman"/>
          <w:b w:val="0"/>
          <w:sz w:val="24"/>
          <w:szCs w:val="24"/>
        </w:rPr>
        <w:t>Non-</w:t>
      </w:r>
      <w:proofErr w:type="spellStart"/>
      <w:r w:rsidRPr="00647B92">
        <w:rPr>
          <w:rFonts w:ascii="Times New Roman" w:hAnsi="Times New Roman"/>
          <w:b w:val="0"/>
          <w:sz w:val="24"/>
          <w:szCs w:val="24"/>
        </w:rPr>
        <w:t>dampered</w:t>
      </w:r>
      <w:proofErr w:type="spellEnd"/>
      <w:r w:rsidRPr="00647B92">
        <w:rPr>
          <w:rFonts w:ascii="Times New Roman" w:hAnsi="Times New Roman"/>
          <w:b w:val="0"/>
          <w:sz w:val="24"/>
          <w:szCs w:val="24"/>
        </w:rPr>
        <w:t xml:space="preserve"> ventilation openings of continuously operating whole-house ventilation systems that connect the </w:t>
      </w:r>
      <w:r w:rsidRPr="00647B92">
        <w:rPr>
          <w:rFonts w:ascii="Times New Roman" w:hAnsi="Times New Roman"/>
          <w:b w:val="0"/>
          <w:sz w:val="24"/>
        </w:rPr>
        <w:t>Conditioned Space Volume</w:t>
      </w:r>
      <w:r w:rsidRPr="00647B92" w:rsidDel="00EA4197">
        <w:rPr>
          <w:rFonts w:ascii="Times New Roman" w:hAnsi="Times New Roman"/>
          <w:b w:val="0"/>
          <w:sz w:val="24"/>
          <w:szCs w:val="24"/>
        </w:rPr>
        <w:t xml:space="preserve"> </w:t>
      </w:r>
      <w:r w:rsidRPr="00647B92">
        <w:rPr>
          <w:rFonts w:ascii="Times New Roman" w:hAnsi="Times New Roman"/>
          <w:b w:val="0"/>
          <w:sz w:val="24"/>
          <w:szCs w:val="24"/>
        </w:rPr>
        <w:t xml:space="preserve">(including space conditioning duct systems) to the exterior or to </w:t>
      </w:r>
      <w:r w:rsidRPr="00647B92">
        <w:rPr>
          <w:rFonts w:ascii="Times New Roman" w:hAnsi="Times New Roman"/>
          <w:b w:val="0"/>
          <w:sz w:val="24"/>
        </w:rPr>
        <w:t>Unconditioned Space Volume</w:t>
      </w:r>
      <w:r w:rsidRPr="00647B92">
        <w:rPr>
          <w:rFonts w:ascii="Times New Roman" w:hAnsi="Times New Roman"/>
          <w:b w:val="0"/>
          <w:sz w:val="24"/>
          <w:szCs w:val="24"/>
        </w:rPr>
        <w:t xml:space="preserve"> shall be sealed, preferably at the exterior of the enclosure.</w:t>
      </w:r>
      <w:bookmarkEnd w:id="8"/>
      <w:bookmarkEnd w:id="9"/>
    </w:p>
    <w:p w14:paraId="145852FF" w14:textId="0E4DA67A" w:rsidR="00762B64" w:rsidRDefault="00762B64" w:rsidP="00762B64">
      <w:pPr>
        <w:ind w:left="90"/>
      </w:pPr>
    </w:p>
    <w:p w14:paraId="53F85DCD" w14:textId="77777777" w:rsidR="004265ED" w:rsidRDefault="004265ED" w:rsidP="00762B64">
      <w:pPr>
        <w:ind w:left="90"/>
      </w:pPr>
    </w:p>
    <w:p w14:paraId="18966ACD" w14:textId="40C74A48" w:rsidR="00621616" w:rsidRPr="00330F8B" w:rsidRDefault="00621616" w:rsidP="00330F8B"/>
    <w:sectPr w:rsidR="00621616" w:rsidRPr="00330F8B" w:rsidSect="00C36402">
      <w:headerReference w:type="even" r:id="rId8"/>
      <w:headerReference w:type="default" r:id="rId9"/>
      <w:footerReference w:type="even" r:id="rId10"/>
      <w:footerReference w:type="default" r:id="rId11"/>
      <w:headerReference w:type="first" r:id="rId12"/>
      <w:footerReference w:type="first" r:id="rId13"/>
      <w:pgSz w:w="12240" w:h="15840"/>
      <w:pgMar w:top="3168" w:right="1440" w:bottom="1440" w:left="1440" w:header="1077" w:footer="706"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E88FFD" w14:textId="77777777" w:rsidR="00817D54" w:rsidRDefault="00817D54" w:rsidP="00B840E0">
      <w:r>
        <w:separator/>
      </w:r>
    </w:p>
  </w:endnote>
  <w:endnote w:type="continuationSeparator" w:id="0">
    <w:p w14:paraId="13EB1C14" w14:textId="77777777" w:rsidR="00817D54" w:rsidRDefault="00817D54" w:rsidP="00B840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73321D" w14:textId="77777777" w:rsidR="007F6194" w:rsidRDefault="007F6194" w:rsidP="00B72A71">
    <w:pPr>
      <w:pStyle w:val="Footer"/>
      <w:tabs>
        <w:tab w:val="clear" w:pos="4320"/>
        <w:tab w:val="clear" w:pos="8640"/>
        <w:tab w:val="center" w:pos="4680"/>
        <w:tab w:val="right" w:pos="9360"/>
      </w:tabs>
    </w:pPr>
    <w:r>
      <w:t>[Type text]</w:t>
    </w:r>
    <w:r>
      <w:tab/>
      <w:t>[Type text]</w:t>
    </w:r>
    <w:r>
      <w:tab/>
      <w:t>[Type text]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0C7B22" w14:textId="06907FCC" w:rsidR="007F6194" w:rsidRPr="007F6194" w:rsidRDefault="0058318D" w:rsidP="007F6194">
    <w:pPr>
      <w:pStyle w:val="Footer"/>
      <w:jc w:val="center"/>
    </w:pPr>
    <w:r>
      <w:rPr>
        <w:noProof/>
      </w:rPr>
      <w:drawing>
        <wp:inline distT="0" distB="0" distL="0" distR="0" wp14:anchorId="22F9E985" wp14:editId="7B910C44">
          <wp:extent cx="4087495" cy="819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87495" cy="81915"/>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BDE577" w14:textId="77777777" w:rsidR="00F77494" w:rsidRDefault="00F774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27E114" w14:textId="77777777" w:rsidR="00817D54" w:rsidRDefault="00817D54" w:rsidP="00B840E0">
      <w:r>
        <w:separator/>
      </w:r>
    </w:p>
  </w:footnote>
  <w:footnote w:type="continuationSeparator" w:id="0">
    <w:p w14:paraId="1EC529D2" w14:textId="77777777" w:rsidR="00817D54" w:rsidRDefault="00817D54" w:rsidP="00B840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DCD998" w14:textId="77777777" w:rsidR="007F6194" w:rsidRDefault="007F6194" w:rsidP="00B840E0">
    <w:pPr>
      <w:pStyle w:val="Header"/>
    </w:pPr>
    <w:r>
      <w:t>[Type text]</w:t>
    </w:r>
    <w:r>
      <w:tab/>
      <w:t>[Type text]</w:t>
    </w:r>
    <w:r>
      <w:tab/>
      <w:t>[Type text]</w:t>
    </w:r>
  </w:p>
  <w:p w14:paraId="499454CA" w14:textId="77777777" w:rsidR="007F6194" w:rsidRDefault="007F61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9FAA32" w14:textId="2500BED0" w:rsidR="007F6194" w:rsidRPr="007F6194" w:rsidRDefault="0058318D" w:rsidP="00B448AB">
    <w:pPr>
      <w:pStyle w:val="Header"/>
      <w:jc w:val="center"/>
    </w:pPr>
    <w:r>
      <w:rPr>
        <w:noProof/>
      </w:rPr>
      <w:drawing>
        <wp:anchor distT="0" distB="0" distL="114300" distR="114300" simplePos="0" relativeHeight="251657728" behindDoc="1" locked="0" layoutInCell="1" allowOverlap="1" wp14:anchorId="38EACE52" wp14:editId="6E1B3658">
          <wp:simplePos x="0" y="0"/>
          <wp:positionH relativeFrom="column">
            <wp:posOffset>-228600</wp:posOffset>
          </wp:positionH>
          <wp:positionV relativeFrom="paragraph">
            <wp:posOffset>-23495</wp:posOffset>
          </wp:positionV>
          <wp:extent cx="6400800" cy="72517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0" cy="72517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20FD7F" w14:textId="77777777" w:rsidR="00F77494" w:rsidRDefault="00F774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654D2B"/>
    <w:multiLevelType w:val="hybridMultilevel"/>
    <w:tmpl w:val="752CB1F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346AAF"/>
    <w:multiLevelType w:val="hybridMultilevel"/>
    <w:tmpl w:val="2354AA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D242E4"/>
    <w:multiLevelType w:val="multilevel"/>
    <w:tmpl w:val="C3540DA0"/>
    <w:lvl w:ilvl="0">
      <w:start w:val="3"/>
      <w:numFmt w:val="decimal"/>
      <w:lvlText w:val="%1"/>
      <w:lvlJc w:val="left"/>
      <w:pPr>
        <w:ind w:left="765" w:hanging="765"/>
      </w:pPr>
      <w:rPr>
        <w:rFonts w:hint="default"/>
      </w:rPr>
    </w:lvl>
    <w:lvl w:ilvl="1">
      <w:start w:val="2"/>
      <w:numFmt w:val="decimal"/>
      <w:lvlText w:val="%1.%2"/>
      <w:lvlJc w:val="left"/>
      <w:pPr>
        <w:ind w:left="1101" w:hanging="765"/>
      </w:pPr>
      <w:rPr>
        <w:rFonts w:hint="default"/>
      </w:rPr>
    </w:lvl>
    <w:lvl w:ilvl="2">
      <w:start w:val="11"/>
      <w:numFmt w:val="decimal"/>
      <w:lvlText w:val="%1.%2.%3"/>
      <w:lvlJc w:val="left"/>
      <w:pPr>
        <w:ind w:left="1437" w:hanging="765"/>
      </w:pPr>
      <w:rPr>
        <w:rFonts w:hint="default"/>
      </w:rPr>
    </w:lvl>
    <w:lvl w:ilvl="3">
      <w:start w:val="2"/>
      <w:numFmt w:val="decimal"/>
      <w:lvlText w:val="%1.%2.%3.%4"/>
      <w:lvlJc w:val="left"/>
      <w:pPr>
        <w:ind w:left="1773" w:hanging="765"/>
      </w:pPr>
      <w:rPr>
        <w:rFonts w:hint="default"/>
        <w:b/>
        <w:kern w:val="24"/>
      </w:rPr>
    </w:lvl>
    <w:lvl w:ilvl="4">
      <w:start w:val="1"/>
      <w:numFmt w:val="decimal"/>
      <w:lvlText w:val="%1.%2.%3.%4.%5"/>
      <w:lvlJc w:val="left"/>
      <w:pPr>
        <w:ind w:left="2424" w:hanging="1080"/>
      </w:pPr>
      <w:rPr>
        <w:rFonts w:hint="default"/>
      </w:rPr>
    </w:lvl>
    <w:lvl w:ilvl="5">
      <w:start w:val="1"/>
      <w:numFmt w:val="decimal"/>
      <w:lvlText w:val="%1.%2.%3.%4.%5.%6"/>
      <w:lvlJc w:val="left"/>
      <w:pPr>
        <w:ind w:left="2760" w:hanging="1080"/>
      </w:pPr>
      <w:rPr>
        <w:rFonts w:hint="default"/>
      </w:rPr>
    </w:lvl>
    <w:lvl w:ilvl="6">
      <w:start w:val="1"/>
      <w:numFmt w:val="decimal"/>
      <w:lvlText w:val="%1.%2.%3.%4.%5.%6.%7"/>
      <w:lvlJc w:val="left"/>
      <w:pPr>
        <w:ind w:left="3456" w:hanging="1440"/>
      </w:pPr>
      <w:rPr>
        <w:rFonts w:hint="default"/>
      </w:rPr>
    </w:lvl>
    <w:lvl w:ilvl="7">
      <w:start w:val="1"/>
      <w:numFmt w:val="decimal"/>
      <w:lvlText w:val="%1.%2.%3.%4.%5.%6.%7.%8"/>
      <w:lvlJc w:val="left"/>
      <w:pPr>
        <w:ind w:left="3792" w:hanging="1440"/>
      </w:pPr>
      <w:rPr>
        <w:rFonts w:hint="default"/>
      </w:rPr>
    </w:lvl>
    <w:lvl w:ilvl="8">
      <w:start w:val="1"/>
      <w:numFmt w:val="decimal"/>
      <w:lvlText w:val="%1.%2.%3.%4.%5.%6.%7.%8.%9"/>
      <w:lvlJc w:val="left"/>
      <w:pPr>
        <w:ind w:left="4488" w:hanging="1800"/>
      </w:pPr>
      <w:rPr>
        <w:rFonts w:hint="default"/>
      </w:rPr>
    </w:lvl>
  </w:abstractNum>
  <w:abstractNum w:abstractNumId="3" w15:restartNumberingAfterBreak="0">
    <w:nsid w:val="1CBA33CA"/>
    <w:multiLevelType w:val="multilevel"/>
    <w:tmpl w:val="9384A252"/>
    <w:lvl w:ilvl="0">
      <w:start w:val="4"/>
      <w:numFmt w:val="decimal"/>
      <w:lvlText w:val="%1."/>
      <w:lvlJc w:val="left"/>
      <w:pPr>
        <w:ind w:left="360" w:hanging="360"/>
      </w:pPr>
      <w:rPr>
        <w:rFonts w:hint="default"/>
      </w:rPr>
    </w:lvl>
    <w:lvl w:ilvl="1">
      <w:start w:val="2"/>
      <w:numFmt w:val="decimal"/>
      <w:suff w:val="space"/>
      <w:lvlText w:val="%1.%2."/>
      <w:lvlJc w:val="left"/>
      <w:pPr>
        <w:ind w:left="1152" w:hanging="432"/>
      </w:pPr>
      <w:rPr>
        <w:rFonts w:ascii="Times New Roman" w:hAnsi="Times New Roman" w:cs="Times New Roman" w:hint="default"/>
        <w:b/>
        <w:i w:val="0"/>
        <w:sz w:val="24"/>
        <w:szCs w:val="24"/>
      </w:rPr>
    </w:lvl>
    <w:lvl w:ilvl="2">
      <w:start w:val="7"/>
      <w:numFmt w:val="decimal"/>
      <w:suff w:val="space"/>
      <w:lvlText w:val="%1.%2.%3."/>
      <w:lvlJc w:val="left"/>
      <w:pPr>
        <w:ind w:left="1008" w:hanging="648"/>
      </w:pPr>
      <w:rPr>
        <w:rFonts w:hint="default"/>
        <w:b/>
      </w:rPr>
    </w:lvl>
    <w:lvl w:ilvl="3">
      <w:start w:val="1"/>
      <w:numFmt w:val="decimal"/>
      <w:suff w:val="space"/>
      <w:lvlText w:val="%1.%2.%3.%4."/>
      <w:lvlJc w:val="left"/>
      <w:pPr>
        <w:ind w:left="1872" w:hanging="864"/>
      </w:pPr>
      <w:rPr>
        <w:rFonts w:hint="default"/>
        <w:b/>
        <w:sz w:val="24"/>
        <w:szCs w:val="24"/>
      </w:rPr>
    </w:lvl>
    <w:lvl w:ilvl="4">
      <w:start w:val="1"/>
      <w:numFmt w:val="decimal"/>
      <w:suff w:val="space"/>
      <w:lvlText w:val="%1.%2.%3.%4.%5."/>
      <w:lvlJc w:val="left"/>
      <w:pPr>
        <w:ind w:left="2232" w:hanging="792"/>
      </w:pPr>
      <w:rPr>
        <w:rFonts w:hint="default"/>
        <w:b/>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3AA920DB"/>
    <w:multiLevelType w:val="multilevel"/>
    <w:tmpl w:val="34CCC026"/>
    <w:lvl w:ilvl="0">
      <w:start w:val="3"/>
      <w:numFmt w:val="decimal"/>
      <w:lvlText w:val="%1."/>
      <w:lvlJc w:val="left"/>
      <w:pPr>
        <w:ind w:left="360" w:hanging="360"/>
      </w:pPr>
      <w:rPr>
        <w:rFonts w:hint="default"/>
      </w:rPr>
    </w:lvl>
    <w:lvl w:ilvl="1">
      <w:start w:val="2"/>
      <w:numFmt w:val="decimal"/>
      <w:suff w:val="space"/>
      <w:lvlText w:val="%1.%2."/>
      <w:lvlJc w:val="left"/>
      <w:pPr>
        <w:ind w:left="1152" w:hanging="432"/>
      </w:pPr>
      <w:rPr>
        <w:rFonts w:ascii="Times New Roman" w:hAnsi="Times New Roman" w:cs="Times New Roman" w:hint="default"/>
        <w:b/>
        <w:i w:val="0"/>
        <w:sz w:val="24"/>
        <w:szCs w:val="24"/>
      </w:rPr>
    </w:lvl>
    <w:lvl w:ilvl="2">
      <w:start w:val="11"/>
      <w:numFmt w:val="decimal"/>
      <w:suff w:val="space"/>
      <w:lvlText w:val="%1.%2.%3."/>
      <w:lvlJc w:val="left"/>
      <w:pPr>
        <w:ind w:left="1008" w:hanging="648"/>
      </w:pPr>
      <w:rPr>
        <w:rFonts w:hint="default"/>
        <w:b/>
      </w:rPr>
    </w:lvl>
    <w:lvl w:ilvl="3">
      <w:start w:val="1"/>
      <w:numFmt w:val="decimal"/>
      <w:suff w:val="space"/>
      <w:lvlText w:val="%1.%2.%3.%4."/>
      <w:lvlJc w:val="left"/>
      <w:pPr>
        <w:ind w:left="1872" w:hanging="864"/>
      </w:pPr>
      <w:rPr>
        <w:rFonts w:hint="default"/>
        <w:b/>
        <w:sz w:val="24"/>
        <w:szCs w:val="24"/>
      </w:rPr>
    </w:lvl>
    <w:lvl w:ilvl="4">
      <w:start w:val="1"/>
      <w:numFmt w:val="decimal"/>
      <w:suff w:val="space"/>
      <w:lvlText w:val="%1.%2.%3.%4.%5."/>
      <w:lvlJc w:val="left"/>
      <w:pPr>
        <w:ind w:left="2232" w:hanging="792"/>
      </w:pPr>
      <w:rPr>
        <w:rFonts w:hint="default"/>
        <w:b/>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58197D84"/>
    <w:multiLevelType w:val="hybridMultilevel"/>
    <w:tmpl w:val="A09054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C6A17D3"/>
    <w:multiLevelType w:val="multilevel"/>
    <w:tmpl w:val="9384A252"/>
    <w:lvl w:ilvl="0">
      <w:start w:val="4"/>
      <w:numFmt w:val="decimal"/>
      <w:lvlText w:val="%1."/>
      <w:lvlJc w:val="left"/>
      <w:pPr>
        <w:ind w:left="360" w:hanging="360"/>
      </w:pPr>
      <w:rPr>
        <w:rFonts w:hint="default"/>
      </w:rPr>
    </w:lvl>
    <w:lvl w:ilvl="1">
      <w:start w:val="2"/>
      <w:numFmt w:val="decimal"/>
      <w:suff w:val="space"/>
      <w:lvlText w:val="%1.%2."/>
      <w:lvlJc w:val="left"/>
      <w:pPr>
        <w:ind w:left="1152" w:hanging="432"/>
      </w:pPr>
      <w:rPr>
        <w:rFonts w:ascii="Times New Roman" w:hAnsi="Times New Roman" w:cs="Times New Roman" w:hint="default"/>
        <w:b/>
        <w:i w:val="0"/>
        <w:sz w:val="24"/>
        <w:szCs w:val="24"/>
      </w:rPr>
    </w:lvl>
    <w:lvl w:ilvl="2">
      <w:start w:val="7"/>
      <w:numFmt w:val="decimal"/>
      <w:suff w:val="space"/>
      <w:lvlText w:val="%1.%2.%3."/>
      <w:lvlJc w:val="left"/>
      <w:pPr>
        <w:ind w:left="1008" w:hanging="648"/>
      </w:pPr>
      <w:rPr>
        <w:rFonts w:hint="default"/>
        <w:b/>
      </w:rPr>
    </w:lvl>
    <w:lvl w:ilvl="3">
      <w:start w:val="1"/>
      <w:numFmt w:val="decimal"/>
      <w:suff w:val="space"/>
      <w:lvlText w:val="%1.%2.%3.%4."/>
      <w:lvlJc w:val="left"/>
      <w:pPr>
        <w:ind w:left="1872" w:hanging="864"/>
      </w:pPr>
      <w:rPr>
        <w:rFonts w:hint="default"/>
        <w:b/>
        <w:sz w:val="24"/>
        <w:szCs w:val="24"/>
      </w:rPr>
    </w:lvl>
    <w:lvl w:ilvl="4">
      <w:start w:val="1"/>
      <w:numFmt w:val="decimal"/>
      <w:suff w:val="space"/>
      <w:lvlText w:val="%1.%2.%3.%4.%5."/>
      <w:lvlJc w:val="left"/>
      <w:pPr>
        <w:ind w:left="2232" w:hanging="792"/>
      </w:pPr>
      <w:rPr>
        <w:rFonts w:hint="default"/>
        <w:b/>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793A76B5"/>
    <w:multiLevelType w:val="multilevel"/>
    <w:tmpl w:val="CAB2AE3A"/>
    <w:lvl w:ilvl="0">
      <w:start w:val="3"/>
      <w:numFmt w:val="decimal"/>
      <w:lvlText w:val="%1."/>
      <w:lvlJc w:val="left"/>
      <w:pPr>
        <w:ind w:left="360" w:hanging="360"/>
      </w:pPr>
      <w:rPr>
        <w:rFonts w:hint="default"/>
      </w:rPr>
    </w:lvl>
    <w:lvl w:ilvl="1">
      <w:start w:val="2"/>
      <w:numFmt w:val="decimal"/>
      <w:suff w:val="space"/>
      <w:lvlText w:val="%1.%2."/>
      <w:lvlJc w:val="left"/>
      <w:pPr>
        <w:ind w:left="1152" w:hanging="432"/>
      </w:pPr>
      <w:rPr>
        <w:rFonts w:ascii="Times New Roman" w:hAnsi="Times New Roman" w:cs="Times New Roman" w:hint="default"/>
        <w:b/>
        <w:i w:val="0"/>
        <w:sz w:val="24"/>
        <w:szCs w:val="24"/>
      </w:rPr>
    </w:lvl>
    <w:lvl w:ilvl="2">
      <w:start w:val="11"/>
      <w:numFmt w:val="decimal"/>
      <w:suff w:val="space"/>
      <w:lvlText w:val="%1.%2.%3."/>
      <w:lvlJc w:val="left"/>
      <w:pPr>
        <w:ind w:left="1008" w:hanging="648"/>
      </w:pPr>
      <w:rPr>
        <w:rFonts w:hint="default"/>
        <w:b/>
      </w:rPr>
    </w:lvl>
    <w:lvl w:ilvl="3">
      <w:start w:val="4"/>
      <w:numFmt w:val="decimal"/>
      <w:suff w:val="space"/>
      <w:lvlText w:val="%1.%2.%3.%4."/>
      <w:lvlJc w:val="left"/>
      <w:pPr>
        <w:ind w:left="1872" w:hanging="864"/>
      </w:pPr>
      <w:rPr>
        <w:rFonts w:hint="default"/>
        <w:b/>
        <w:sz w:val="24"/>
        <w:szCs w:val="24"/>
      </w:rPr>
    </w:lvl>
    <w:lvl w:ilvl="4">
      <w:start w:val="1"/>
      <w:numFmt w:val="decimal"/>
      <w:suff w:val="space"/>
      <w:lvlText w:val="%1.%2.%3.%4.%5."/>
      <w:lvlJc w:val="left"/>
      <w:pPr>
        <w:ind w:left="2232" w:hanging="792"/>
      </w:pPr>
      <w:rPr>
        <w:rFonts w:hint="default"/>
        <w:b/>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
  </w:num>
  <w:num w:numId="2">
    <w:abstractNumId w:val="5"/>
  </w:num>
  <w:num w:numId="3">
    <w:abstractNumId w:val="0"/>
  </w:num>
  <w:num w:numId="4">
    <w:abstractNumId w:val="3"/>
  </w:num>
  <w:num w:numId="5">
    <w:abstractNumId w:val="7"/>
  </w:num>
  <w:num w:numId="6">
    <w:abstractNumId w:val="4"/>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defaultTabStop w:val="720"/>
  <w:drawingGridHorizontalSpacing w:val="360"/>
  <w:drawingGridVerticalSpacing w:val="360"/>
  <w:displayHorizontalDrawingGridEvery w:val="0"/>
  <w:displayVerticalDrawingGridEvery w:val="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7494"/>
    <w:rsid w:val="000042F7"/>
    <w:rsid w:val="00047EC0"/>
    <w:rsid w:val="000D7046"/>
    <w:rsid w:val="000E4646"/>
    <w:rsid w:val="001003BE"/>
    <w:rsid w:val="001662ED"/>
    <w:rsid w:val="00166D30"/>
    <w:rsid w:val="00185224"/>
    <w:rsid w:val="001B781F"/>
    <w:rsid w:val="001E1224"/>
    <w:rsid w:val="001E27CF"/>
    <w:rsid w:val="00220EBB"/>
    <w:rsid w:val="0023054D"/>
    <w:rsid w:val="002353C8"/>
    <w:rsid w:val="00241DFF"/>
    <w:rsid w:val="00264F5C"/>
    <w:rsid w:val="002A02F8"/>
    <w:rsid w:val="002A759B"/>
    <w:rsid w:val="002F67D1"/>
    <w:rsid w:val="00330F8B"/>
    <w:rsid w:val="00360E54"/>
    <w:rsid w:val="00382CC1"/>
    <w:rsid w:val="00386EA6"/>
    <w:rsid w:val="003F2DDB"/>
    <w:rsid w:val="00400DF8"/>
    <w:rsid w:val="004265ED"/>
    <w:rsid w:val="00463682"/>
    <w:rsid w:val="004A6140"/>
    <w:rsid w:val="004D50B6"/>
    <w:rsid w:val="00552715"/>
    <w:rsid w:val="00573726"/>
    <w:rsid w:val="0058318D"/>
    <w:rsid w:val="00586F75"/>
    <w:rsid w:val="005B48EE"/>
    <w:rsid w:val="005D6005"/>
    <w:rsid w:val="00621616"/>
    <w:rsid w:val="006410D1"/>
    <w:rsid w:val="00642F0D"/>
    <w:rsid w:val="00650DFE"/>
    <w:rsid w:val="006D1610"/>
    <w:rsid w:val="006E77A5"/>
    <w:rsid w:val="00746C5A"/>
    <w:rsid w:val="00762B64"/>
    <w:rsid w:val="007810A9"/>
    <w:rsid w:val="0079219A"/>
    <w:rsid w:val="007A340D"/>
    <w:rsid w:val="007C5A7B"/>
    <w:rsid w:val="007E1E0F"/>
    <w:rsid w:val="007F6194"/>
    <w:rsid w:val="00817D54"/>
    <w:rsid w:val="008701BE"/>
    <w:rsid w:val="009530C3"/>
    <w:rsid w:val="00975C0A"/>
    <w:rsid w:val="00987181"/>
    <w:rsid w:val="009B7943"/>
    <w:rsid w:val="00A94641"/>
    <w:rsid w:val="00AC44A7"/>
    <w:rsid w:val="00B448AB"/>
    <w:rsid w:val="00B72A71"/>
    <w:rsid w:val="00B840E0"/>
    <w:rsid w:val="00B85876"/>
    <w:rsid w:val="00BE3F2C"/>
    <w:rsid w:val="00BE430D"/>
    <w:rsid w:val="00C36402"/>
    <w:rsid w:val="00C66D21"/>
    <w:rsid w:val="00C91E75"/>
    <w:rsid w:val="00CA00F7"/>
    <w:rsid w:val="00D02727"/>
    <w:rsid w:val="00D87E1D"/>
    <w:rsid w:val="00E359E1"/>
    <w:rsid w:val="00E74529"/>
    <w:rsid w:val="00EB322C"/>
    <w:rsid w:val="00EB5233"/>
    <w:rsid w:val="00EF2E2A"/>
    <w:rsid w:val="00F079EF"/>
    <w:rsid w:val="00F356A7"/>
    <w:rsid w:val="00F46E82"/>
    <w:rsid w:val="00F5320F"/>
    <w:rsid w:val="00F61E08"/>
    <w:rsid w:val="00F77494"/>
    <w:rsid w:val="00F86111"/>
    <w:rsid w:val="00FF088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20617ACB"/>
  <w15:docId w15:val="{CDC20182-232D-4269-94BB-A00FB9101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7494"/>
    <w:rPr>
      <w:rFonts w:ascii="Times New Roman" w:eastAsia="Times New Roman" w:hAnsi="Times New Roman"/>
      <w:sz w:val="24"/>
      <w:szCs w:val="24"/>
    </w:rPr>
  </w:style>
  <w:style w:type="paragraph" w:styleId="Heading3">
    <w:name w:val="heading 3"/>
    <w:basedOn w:val="Normal"/>
    <w:next w:val="Normal"/>
    <w:link w:val="Heading3Char"/>
    <w:uiPriority w:val="9"/>
    <w:qFormat/>
    <w:rsid w:val="00762B64"/>
    <w:pPr>
      <w:keepNext/>
      <w:suppressAutoHyphens/>
      <w:spacing w:before="240" w:after="60" w:line="100" w:lineRule="atLeast"/>
      <w:outlineLvl w:val="2"/>
    </w:pPr>
    <w:rPr>
      <w:rFonts w:ascii="Calibri" w:eastAsia="MS Gothic" w:hAnsi="Calibri"/>
      <w:b/>
      <w:bCs/>
      <w:color w:val="000000"/>
      <w:kern w:val="1"/>
      <w:sz w:val="26"/>
      <w:szCs w:val="26"/>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40E0"/>
    <w:pPr>
      <w:tabs>
        <w:tab w:val="center" w:pos="4320"/>
        <w:tab w:val="right" w:pos="8640"/>
      </w:tabs>
    </w:pPr>
  </w:style>
  <w:style w:type="character" w:customStyle="1" w:styleId="HeaderChar">
    <w:name w:val="Header Char"/>
    <w:link w:val="Header"/>
    <w:uiPriority w:val="99"/>
    <w:rsid w:val="00B840E0"/>
    <w:rPr>
      <w:sz w:val="24"/>
      <w:szCs w:val="24"/>
    </w:rPr>
  </w:style>
  <w:style w:type="paragraph" w:styleId="Footer">
    <w:name w:val="footer"/>
    <w:basedOn w:val="Normal"/>
    <w:link w:val="FooterChar"/>
    <w:uiPriority w:val="99"/>
    <w:unhideWhenUsed/>
    <w:rsid w:val="00B840E0"/>
    <w:pPr>
      <w:tabs>
        <w:tab w:val="center" w:pos="4320"/>
        <w:tab w:val="right" w:pos="8640"/>
      </w:tabs>
    </w:pPr>
  </w:style>
  <w:style w:type="character" w:customStyle="1" w:styleId="FooterChar">
    <w:name w:val="Footer Char"/>
    <w:link w:val="Footer"/>
    <w:uiPriority w:val="99"/>
    <w:rsid w:val="00B840E0"/>
    <w:rPr>
      <w:sz w:val="24"/>
      <w:szCs w:val="24"/>
    </w:rPr>
  </w:style>
  <w:style w:type="paragraph" w:styleId="ListParagraph">
    <w:name w:val="List Paragraph"/>
    <w:basedOn w:val="Normal"/>
    <w:uiPriority w:val="34"/>
    <w:qFormat/>
    <w:rsid w:val="00F77494"/>
    <w:pPr>
      <w:ind w:left="720"/>
      <w:contextualSpacing/>
    </w:pPr>
  </w:style>
  <w:style w:type="character" w:styleId="Hyperlink">
    <w:name w:val="Hyperlink"/>
    <w:uiPriority w:val="99"/>
    <w:unhideWhenUsed/>
    <w:rsid w:val="00F77494"/>
    <w:rPr>
      <w:color w:val="0000FF"/>
      <w:u w:val="single"/>
    </w:rPr>
  </w:style>
  <w:style w:type="paragraph" w:styleId="PlainText">
    <w:name w:val="Plain Text"/>
    <w:basedOn w:val="Normal"/>
    <w:link w:val="PlainTextChar"/>
    <w:uiPriority w:val="99"/>
    <w:unhideWhenUsed/>
    <w:rsid w:val="007810A9"/>
    <w:rPr>
      <w:rFonts w:ascii="Calibri" w:eastAsia="Calibri" w:hAnsi="Calibri" w:cs="Consolas"/>
      <w:sz w:val="22"/>
      <w:szCs w:val="21"/>
    </w:rPr>
  </w:style>
  <w:style w:type="character" w:customStyle="1" w:styleId="PlainTextChar">
    <w:name w:val="Plain Text Char"/>
    <w:link w:val="PlainText"/>
    <w:uiPriority w:val="99"/>
    <w:rsid w:val="007810A9"/>
    <w:rPr>
      <w:rFonts w:ascii="Calibri" w:eastAsia="Calibri" w:hAnsi="Calibri" w:cs="Consolas"/>
      <w:sz w:val="22"/>
      <w:szCs w:val="21"/>
    </w:rPr>
  </w:style>
  <w:style w:type="paragraph" w:customStyle="1" w:styleId="Default">
    <w:name w:val="Default"/>
    <w:rsid w:val="0058318D"/>
    <w:pPr>
      <w:autoSpaceDE w:val="0"/>
      <w:autoSpaceDN w:val="0"/>
      <w:adjustRightInd w:val="0"/>
    </w:pPr>
    <w:rPr>
      <w:rFonts w:ascii="Times New Roman" w:eastAsia="Times New Roman" w:hAnsi="Times New Roman"/>
      <w:color w:val="000000"/>
      <w:sz w:val="24"/>
      <w:szCs w:val="24"/>
    </w:rPr>
  </w:style>
  <w:style w:type="paragraph" w:styleId="BalloonText">
    <w:name w:val="Balloon Text"/>
    <w:basedOn w:val="Normal"/>
    <w:link w:val="BalloonTextChar"/>
    <w:uiPriority w:val="99"/>
    <w:semiHidden/>
    <w:unhideWhenUsed/>
    <w:rsid w:val="007C5A7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5A7B"/>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241DFF"/>
    <w:rPr>
      <w:sz w:val="16"/>
      <w:szCs w:val="16"/>
    </w:rPr>
  </w:style>
  <w:style w:type="paragraph" w:styleId="CommentText">
    <w:name w:val="annotation text"/>
    <w:basedOn w:val="Normal"/>
    <w:link w:val="CommentTextChar"/>
    <w:uiPriority w:val="99"/>
    <w:semiHidden/>
    <w:unhideWhenUsed/>
    <w:rsid w:val="00241DFF"/>
    <w:rPr>
      <w:sz w:val="20"/>
      <w:szCs w:val="20"/>
    </w:rPr>
  </w:style>
  <w:style w:type="character" w:customStyle="1" w:styleId="CommentTextChar">
    <w:name w:val="Comment Text Char"/>
    <w:basedOn w:val="DefaultParagraphFont"/>
    <w:link w:val="CommentText"/>
    <w:uiPriority w:val="99"/>
    <w:semiHidden/>
    <w:rsid w:val="00241DFF"/>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241DFF"/>
    <w:rPr>
      <w:b/>
      <w:bCs/>
    </w:rPr>
  </w:style>
  <w:style w:type="character" w:customStyle="1" w:styleId="CommentSubjectChar">
    <w:name w:val="Comment Subject Char"/>
    <w:basedOn w:val="CommentTextChar"/>
    <w:link w:val="CommentSubject"/>
    <w:uiPriority w:val="99"/>
    <w:semiHidden/>
    <w:rsid w:val="00241DFF"/>
    <w:rPr>
      <w:rFonts w:ascii="Times New Roman" w:eastAsia="Times New Roman" w:hAnsi="Times New Roman"/>
      <w:b/>
      <w:bCs/>
    </w:rPr>
  </w:style>
  <w:style w:type="character" w:customStyle="1" w:styleId="Heading3Char">
    <w:name w:val="Heading 3 Char"/>
    <w:basedOn w:val="DefaultParagraphFont"/>
    <w:link w:val="Heading3"/>
    <w:uiPriority w:val="9"/>
    <w:rsid w:val="00762B64"/>
    <w:rPr>
      <w:rFonts w:ascii="Calibri" w:eastAsia="MS Gothic" w:hAnsi="Calibri"/>
      <w:b/>
      <w:bCs/>
      <w:color w:val="000000"/>
      <w:kern w:val="1"/>
      <w:sz w:val="26"/>
      <w:szCs w:val="26"/>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4019002">
      <w:bodyDiv w:val="1"/>
      <w:marLeft w:val="0"/>
      <w:marRight w:val="0"/>
      <w:marTop w:val="0"/>
      <w:marBottom w:val="0"/>
      <w:divBdr>
        <w:top w:val="none" w:sz="0" w:space="0" w:color="auto"/>
        <w:left w:val="none" w:sz="0" w:space="0" w:color="auto"/>
        <w:bottom w:val="none" w:sz="0" w:space="0" w:color="auto"/>
        <w:right w:val="none" w:sz="0" w:space="0" w:color="auto"/>
      </w:divBdr>
    </w:div>
    <w:div w:id="1848012909">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urel\Documents\RESNET\New%20RESNET%20Logo\RESNET_Letterhead_temp_Fin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91111B-EA47-402C-A3F6-AD41BDB82A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RESNET_Letterhead_temp_Final</Template>
  <TotalTime>1</TotalTime>
  <Pages>3</Pages>
  <Words>656</Words>
  <Characters>3741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Fourth Demension</Company>
  <LinksUpToDate>false</LinksUpToDate>
  <CharactersWithSpaces>4389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Laurel</dc:creator>
  <cp:lastModifiedBy>Richard Dixon</cp:lastModifiedBy>
  <cp:revision>2</cp:revision>
  <cp:lastPrinted>2012-05-15T20:51:00Z</cp:lastPrinted>
  <dcterms:created xsi:type="dcterms:W3CDTF">2019-04-14T00:51:00Z</dcterms:created>
  <dcterms:modified xsi:type="dcterms:W3CDTF">2019-04-14T00:51:00Z</dcterms:modified>
</cp:coreProperties>
</file>