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3B8E7" w14:textId="283F9FB1" w:rsidR="00FD299A" w:rsidRPr="00DD6E33" w:rsidRDefault="00DD6E33" w:rsidP="00DD6E33">
      <w:pPr>
        <w:spacing w:after="0"/>
        <w:jc w:val="center"/>
        <w:rPr>
          <w:b/>
          <w:bCs/>
          <w:sz w:val="28"/>
          <w:szCs w:val="28"/>
        </w:rPr>
      </w:pPr>
      <w:r w:rsidRPr="00DD6E33">
        <w:rPr>
          <w:b/>
          <w:bCs/>
          <w:sz w:val="28"/>
          <w:szCs w:val="28"/>
        </w:rPr>
        <w:t xml:space="preserve">Statement of Impact on </w:t>
      </w:r>
      <w:r>
        <w:rPr>
          <w:b/>
          <w:bCs/>
          <w:sz w:val="28"/>
          <w:szCs w:val="28"/>
        </w:rPr>
        <w:t>Energy Rating</w:t>
      </w:r>
      <w:r w:rsidRPr="00DD6E33">
        <w:rPr>
          <w:b/>
          <w:bCs/>
          <w:sz w:val="28"/>
          <w:szCs w:val="28"/>
        </w:rPr>
        <w:t xml:space="preserve"> Index and CO</w:t>
      </w:r>
      <w:r w:rsidRPr="00DD6E33">
        <w:rPr>
          <w:b/>
          <w:bCs/>
          <w:sz w:val="28"/>
          <w:szCs w:val="28"/>
          <w:vertAlign w:val="subscript"/>
        </w:rPr>
        <w:t>2</w:t>
      </w:r>
      <w:r w:rsidRPr="00DD6E33">
        <w:rPr>
          <w:b/>
          <w:bCs/>
          <w:sz w:val="28"/>
          <w:szCs w:val="28"/>
        </w:rPr>
        <w:t>e Index</w:t>
      </w:r>
    </w:p>
    <w:p w14:paraId="1F105F4C" w14:textId="3DB4C5A9" w:rsidR="00DD6E33" w:rsidRPr="00DD6E33" w:rsidRDefault="00DD6E33" w:rsidP="00DD6E33">
      <w:pPr>
        <w:spacing w:after="0"/>
        <w:jc w:val="center"/>
        <w:rPr>
          <w:b/>
          <w:bCs/>
          <w:sz w:val="28"/>
          <w:szCs w:val="28"/>
        </w:rPr>
      </w:pPr>
      <w:r w:rsidRPr="00DD6E33">
        <w:rPr>
          <w:b/>
          <w:bCs/>
          <w:sz w:val="28"/>
          <w:szCs w:val="28"/>
        </w:rPr>
        <w:t>Addendum C to ANSI/RESNET/ICC 301-2022</w:t>
      </w:r>
    </w:p>
    <w:p w14:paraId="5B0FC1FB" w14:textId="5571954E" w:rsidR="00DD6E33" w:rsidRPr="00DD6E33" w:rsidRDefault="00DD6E33" w:rsidP="00DD6E33">
      <w:pPr>
        <w:spacing w:after="0"/>
        <w:jc w:val="center"/>
        <w:rPr>
          <w:b/>
          <w:bCs/>
          <w:sz w:val="28"/>
          <w:szCs w:val="28"/>
        </w:rPr>
      </w:pPr>
      <w:r w:rsidRPr="00DD6E33">
        <w:rPr>
          <w:b/>
          <w:bCs/>
          <w:sz w:val="28"/>
          <w:szCs w:val="28"/>
        </w:rPr>
        <w:t>12/</w:t>
      </w:r>
      <w:r w:rsidR="0082080D">
        <w:rPr>
          <w:b/>
          <w:bCs/>
          <w:sz w:val="28"/>
          <w:szCs w:val="28"/>
        </w:rPr>
        <w:t>8</w:t>
      </w:r>
      <w:r w:rsidRPr="00DD6E33">
        <w:rPr>
          <w:b/>
          <w:bCs/>
          <w:sz w:val="28"/>
          <w:szCs w:val="28"/>
        </w:rPr>
        <w:t>/2022</w:t>
      </w:r>
    </w:p>
    <w:p w14:paraId="77255F43" w14:textId="6FC493C2" w:rsidR="00DD6E33" w:rsidRDefault="00DD6E33" w:rsidP="00DD6E33">
      <w:pPr>
        <w:spacing w:after="0"/>
      </w:pPr>
    </w:p>
    <w:p w14:paraId="63657495" w14:textId="463662C0" w:rsidR="00DD6E33" w:rsidRDefault="00DD6E33" w:rsidP="00DD6E33">
      <w:pPr>
        <w:spacing w:after="0"/>
      </w:pPr>
    </w:p>
    <w:tbl>
      <w:tblPr>
        <w:tblW w:w="0" w:type="auto"/>
        <w:tblCellMar>
          <w:left w:w="0" w:type="dxa"/>
          <w:right w:w="0" w:type="dxa"/>
        </w:tblCellMar>
        <w:tblLook w:val="04A0" w:firstRow="1" w:lastRow="0" w:firstColumn="1" w:lastColumn="0" w:noHBand="0" w:noVBand="1"/>
      </w:tblPr>
      <w:tblGrid>
        <w:gridCol w:w="4670"/>
        <w:gridCol w:w="4670"/>
      </w:tblGrid>
      <w:tr w:rsidR="00495360" w14:paraId="31B601C2" w14:textId="77777777" w:rsidTr="00A73CB5">
        <w:trPr>
          <w:trHeight w:val="790"/>
        </w:trPr>
        <w:tc>
          <w:tcPr>
            <w:tcW w:w="4670" w:type="dxa"/>
            <w:tcBorders>
              <w:top w:val="single" w:sz="8" w:space="0" w:color="auto"/>
              <w:left w:val="single" w:sz="8" w:space="0" w:color="auto"/>
              <w:bottom w:val="single" w:sz="8" w:space="0" w:color="auto"/>
              <w:right w:val="single" w:sz="8" w:space="0" w:color="auto"/>
            </w:tcBorders>
            <w:tcMar>
              <w:top w:w="144" w:type="dxa"/>
              <w:left w:w="144" w:type="dxa"/>
              <w:bottom w:w="144" w:type="dxa"/>
              <w:right w:w="144" w:type="dxa"/>
            </w:tcMar>
            <w:vAlign w:val="center"/>
          </w:tcPr>
          <w:p w14:paraId="5CB70535" w14:textId="6EFFFFD4" w:rsidR="00495360" w:rsidRDefault="00495360" w:rsidP="00DD6E33">
            <w:pPr>
              <w:spacing w:after="0"/>
            </w:pPr>
            <w:r>
              <w:t xml:space="preserve">Modification of </w:t>
            </w:r>
            <w:r w:rsidRPr="00495360">
              <w:t>Equation 4.1-1a</w:t>
            </w:r>
            <w:r>
              <w:t>.</w:t>
            </w:r>
          </w:p>
        </w:tc>
        <w:tc>
          <w:tcPr>
            <w:tcW w:w="4670" w:type="dxa"/>
            <w:tcBorders>
              <w:top w:val="single" w:sz="8" w:space="0" w:color="auto"/>
              <w:left w:val="nil"/>
              <w:bottom w:val="single" w:sz="8" w:space="0" w:color="auto"/>
              <w:right w:val="single" w:sz="8" w:space="0" w:color="auto"/>
            </w:tcBorders>
            <w:tcMar>
              <w:top w:w="144" w:type="dxa"/>
              <w:left w:w="144" w:type="dxa"/>
              <w:bottom w:w="144" w:type="dxa"/>
              <w:right w:w="144" w:type="dxa"/>
            </w:tcMar>
            <w:vAlign w:val="center"/>
          </w:tcPr>
          <w:p w14:paraId="744FBA96" w14:textId="67484989" w:rsidR="00495360" w:rsidRDefault="00495360" w:rsidP="00DD6E33">
            <w:pPr>
              <w:spacing w:after="0"/>
            </w:pPr>
            <w:r>
              <w:t>No impact.</w:t>
            </w:r>
          </w:p>
        </w:tc>
      </w:tr>
      <w:tr w:rsidR="00A73CB5" w14:paraId="6F75073F" w14:textId="77777777" w:rsidTr="00A73CB5">
        <w:tc>
          <w:tcPr>
            <w:tcW w:w="4670" w:type="dxa"/>
            <w:tcBorders>
              <w:top w:val="nil"/>
              <w:left w:val="single" w:sz="8" w:space="0" w:color="auto"/>
              <w:bottom w:val="single" w:sz="8" w:space="0" w:color="auto"/>
              <w:right w:val="single" w:sz="8" w:space="0" w:color="auto"/>
            </w:tcBorders>
            <w:tcMar>
              <w:top w:w="144" w:type="dxa"/>
              <w:left w:w="144" w:type="dxa"/>
              <w:bottom w:w="144" w:type="dxa"/>
              <w:right w:w="144" w:type="dxa"/>
            </w:tcMar>
            <w:vAlign w:val="center"/>
            <w:hideMark/>
          </w:tcPr>
          <w:p w14:paraId="03B134B6" w14:textId="77777777" w:rsidR="00A73CB5" w:rsidRDefault="00A73CB5" w:rsidP="00B639AB">
            <w:pPr>
              <w:spacing w:after="0"/>
            </w:pPr>
            <w:r>
              <w:t>Multiple equipment serving same load</w:t>
            </w:r>
          </w:p>
        </w:tc>
        <w:tc>
          <w:tcPr>
            <w:tcW w:w="4670" w:type="dxa"/>
            <w:tcBorders>
              <w:top w:val="nil"/>
              <w:left w:val="nil"/>
              <w:bottom w:val="single" w:sz="8" w:space="0" w:color="auto"/>
              <w:right w:val="single" w:sz="8" w:space="0" w:color="auto"/>
            </w:tcBorders>
            <w:tcMar>
              <w:top w:w="144" w:type="dxa"/>
              <w:left w:w="144" w:type="dxa"/>
              <w:bottom w:w="144" w:type="dxa"/>
              <w:right w:w="144" w:type="dxa"/>
            </w:tcMar>
            <w:vAlign w:val="center"/>
            <w:hideMark/>
          </w:tcPr>
          <w:p w14:paraId="403FED07" w14:textId="77777777" w:rsidR="00A73CB5" w:rsidRDefault="00A73CB5" w:rsidP="00B639AB">
            <w:pPr>
              <w:spacing w:after="0"/>
            </w:pPr>
            <w:r>
              <w:t>Clarification added for consistency.  In rare cases may impact ERI and CO2e Index in some accredited software.</w:t>
            </w:r>
          </w:p>
        </w:tc>
      </w:tr>
      <w:tr w:rsidR="00DD6E33" w14:paraId="4E73F408" w14:textId="77777777" w:rsidTr="00A73CB5">
        <w:trPr>
          <w:trHeight w:val="790"/>
        </w:trPr>
        <w:tc>
          <w:tcPr>
            <w:tcW w:w="4670" w:type="dxa"/>
            <w:tcBorders>
              <w:top w:val="single" w:sz="8" w:space="0" w:color="auto"/>
              <w:left w:val="single" w:sz="8" w:space="0" w:color="auto"/>
              <w:bottom w:val="single" w:sz="8" w:space="0" w:color="auto"/>
              <w:right w:val="single" w:sz="8" w:space="0" w:color="auto"/>
            </w:tcBorders>
            <w:tcMar>
              <w:top w:w="144" w:type="dxa"/>
              <w:left w:w="144" w:type="dxa"/>
              <w:bottom w:w="144" w:type="dxa"/>
              <w:right w:w="144" w:type="dxa"/>
            </w:tcMar>
            <w:vAlign w:val="center"/>
            <w:hideMark/>
          </w:tcPr>
          <w:p w14:paraId="1B55C2C7" w14:textId="4A2F9219" w:rsidR="00DD6E33" w:rsidRDefault="00A73CB5" w:rsidP="00DD6E33">
            <w:pPr>
              <w:spacing w:after="0"/>
            </w:pPr>
            <w:r>
              <w:t>Addition of o</w:t>
            </w:r>
            <w:r w:rsidR="00DD6E33">
              <w:t>n</w:t>
            </w:r>
            <w:r>
              <w:t>-</w:t>
            </w:r>
            <w:r w:rsidR="00DD6E33">
              <w:t>site battery storage</w:t>
            </w:r>
            <w:r>
              <w:t xml:space="preserve"> to </w:t>
            </w:r>
            <w:r w:rsidRPr="00A73CB5">
              <w:t>Equation 4.1-2</w:t>
            </w:r>
            <w:r>
              <w:t>.</w:t>
            </w:r>
          </w:p>
        </w:tc>
        <w:tc>
          <w:tcPr>
            <w:tcW w:w="4670" w:type="dxa"/>
            <w:tcBorders>
              <w:top w:val="single" w:sz="8" w:space="0" w:color="auto"/>
              <w:left w:val="nil"/>
              <w:bottom w:val="single" w:sz="8" w:space="0" w:color="auto"/>
              <w:right w:val="single" w:sz="8" w:space="0" w:color="auto"/>
            </w:tcBorders>
            <w:tcMar>
              <w:top w:w="144" w:type="dxa"/>
              <w:left w:w="144" w:type="dxa"/>
              <w:bottom w:w="144" w:type="dxa"/>
              <w:right w:w="144" w:type="dxa"/>
            </w:tcMar>
            <w:vAlign w:val="center"/>
            <w:hideMark/>
          </w:tcPr>
          <w:p w14:paraId="441E035E" w14:textId="77777777" w:rsidR="00DD6E33" w:rsidRDefault="00DD6E33" w:rsidP="00DD6E33">
            <w:pPr>
              <w:spacing w:after="0"/>
            </w:pPr>
            <w:r>
              <w:t>For homes w/ on site battery storage the ERI will increase slightly and the CO2e Index will decrease slightly to significantly.</w:t>
            </w:r>
          </w:p>
        </w:tc>
      </w:tr>
      <w:tr w:rsidR="00A73CB5" w14:paraId="26C154E4" w14:textId="77777777" w:rsidTr="00A73CB5">
        <w:trPr>
          <w:trHeight w:val="790"/>
        </w:trPr>
        <w:tc>
          <w:tcPr>
            <w:tcW w:w="4670" w:type="dxa"/>
            <w:tcBorders>
              <w:top w:val="single" w:sz="8" w:space="0" w:color="auto"/>
              <w:left w:val="single" w:sz="8" w:space="0" w:color="auto"/>
              <w:bottom w:val="single" w:sz="8" w:space="0" w:color="auto"/>
              <w:right w:val="single" w:sz="8" w:space="0" w:color="auto"/>
            </w:tcBorders>
            <w:tcMar>
              <w:top w:w="144" w:type="dxa"/>
              <w:left w:w="144" w:type="dxa"/>
              <w:bottom w:w="144" w:type="dxa"/>
              <w:right w:w="144" w:type="dxa"/>
            </w:tcMar>
            <w:vAlign w:val="center"/>
          </w:tcPr>
          <w:p w14:paraId="6919909A" w14:textId="7DC57C25" w:rsidR="00A73CB5" w:rsidRDefault="00A73CB5" w:rsidP="00DD6E33">
            <w:pPr>
              <w:spacing w:after="0"/>
            </w:pPr>
            <w:r w:rsidRPr="00A73CB5">
              <w:t>4.2.1.1.</w:t>
            </w:r>
            <w:r w:rsidRPr="00A73CB5">
              <w:tab/>
              <w:t xml:space="preserve">Modeling Assumptions. The assumptions specified in Normative Appendix C shall apply to all </w:t>
            </w:r>
            <w:proofErr w:type="gramStart"/>
            <w:r w:rsidRPr="00A73CB5">
              <w:t>simulation  models</w:t>
            </w:r>
            <w:proofErr w:type="gramEnd"/>
            <w:r w:rsidRPr="00A73CB5">
              <w:t>.</w:t>
            </w:r>
          </w:p>
        </w:tc>
        <w:tc>
          <w:tcPr>
            <w:tcW w:w="4670" w:type="dxa"/>
            <w:tcBorders>
              <w:top w:val="single" w:sz="8" w:space="0" w:color="auto"/>
              <w:left w:val="nil"/>
              <w:bottom w:val="single" w:sz="8" w:space="0" w:color="auto"/>
              <w:right w:val="single" w:sz="8" w:space="0" w:color="auto"/>
            </w:tcBorders>
            <w:tcMar>
              <w:top w:w="144" w:type="dxa"/>
              <w:left w:w="144" w:type="dxa"/>
              <w:bottom w:w="144" w:type="dxa"/>
              <w:right w:w="144" w:type="dxa"/>
            </w:tcMar>
            <w:vAlign w:val="center"/>
          </w:tcPr>
          <w:p w14:paraId="14CD65A6" w14:textId="19639E2C" w:rsidR="00A73CB5" w:rsidRDefault="00A73CB5" w:rsidP="00DD6E33">
            <w:pPr>
              <w:spacing w:after="0"/>
            </w:pPr>
            <w:r>
              <w:t xml:space="preserve">Added for consistency.  Applied equally to both Rated Home and Energy Rating Reference Home; </w:t>
            </w:r>
            <w:proofErr w:type="gramStart"/>
            <w:r>
              <w:t>thus</w:t>
            </w:r>
            <w:proofErr w:type="gramEnd"/>
            <w:r>
              <w:t xml:space="preserve"> minimal impact on ERI and CO2e Index.</w:t>
            </w:r>
          </w:p>
        </w:tc>
      </w:tr>
      <w:tr w:rsidR="00DD6E33" w14:paraId="34C45FE0" w14:textId="77777777" w:rsidTr="00A73CB5">
        <w:tc>
          <w:tcPr>
            <w:tcW w:w="4670" w:type="dxa"/>
            <w:tcBorders>
              <w:top w:val="nil"/>
              <w:left w:val="single" w:sz="8" w:space="0" w:color="auto"/>
              <w:bottom w:val="single" w:sz="8" w:space="0" w:color="auto"/>
              <w:right w:val="single" w:sz="8" w:space="0" w:color="auto"/>
            </w:tcBorders>
            <w:tcMar>
              <w:top w:w="144" w:type="dxa"/>
              <w:left w:w="144" w:type="dxa"/>
              <w:bottom w:w="144" w:type="dxa"/>
              <w:right w:w="144" w:type="dxa"/>
            </w:tcMar>
            <w:vAlign w:val="center"/>
            <w:hideMark/>
          </w:tcPr>
          <w:p w14:paraId="6508F5E4" w14:textId="40ABD713" w:rsidR="00DD6E33" w:rsidRDefault="00A73CB5" w:rsidP="00DD6E33">
            <w:pPr>
              <w:spacing w:after="0"/>
            </w:pPr>
            <w:r w:rsidRPr="00A73CB5">
              <w:t>Table 4.2.2(1)</w:t>
            </w:r>
            <w:r>
              <w:t xml:space="preserve"> modification to w</w:t>
            </w:r>
            <w:r w:rsidR="00DD6E33">
              <w:t>indow interior shading</w:t>
            </w:r>
          </w:p>
        </w:tc>
        <w:tc>
          <w:tcPr>
            <w:tcW w:w="4670" w:type="dxa"/>
            <w:tcBorders>
              <w:top w:val="nil"/>
              <w:left w:val="nil"/>
              <w:bottom w:val="single" w:sz="8" w:space="0" w:color="auto"/>
              <w:right w:val="single" w:sz="8" w:space="0" w:color="auto"/>
            </w:tcBorders>
            <w:tcMar>
              <w:top w:w="144" w:type="dxa"/>
              <w:left w:w="144" w:type="dxa"/>
              <w:bottom w:w="144" w:type="dxa"/>
              <w:right w:w="144" w:type="dxa"/>
            </w:tcMar>
            <w:vAlign w:val="center"/>
            <w:hideMark/>
          </w:tcPr>
          <w:p w14:paraId="23CE19E6" w14:textId="77777777" w:rsidR="00DD6E33" w:rsidRDefault="00DD6E33" w:rsidP="00DD6E33">
            <w:pPr>
              <w:spacing w:after="0"/>
            </w:pPr>
            <w:r>
              <w:t xml:space="preserve">Applied equally to both Rated Home and Energy Rating Reference Home; </w:t>
            </w:r>
            <w:proofErr w:type="gramStart"/>
            <w:r>
              <w:t>thus</w:t>
            </w:r>
            <w:proofErr w:type="gramEnd"/>
            <w:r>
              <w:t xml:space="preserve"> minimal impact on ERI and CO2e Index.</w:t>
            </w:r>
          </w:p>
        </w:tc>
      </w:tr>
      <w:tr w:rsidR="00A73CB5" w14:paraId="2BE88D19" w14:textId="77777777" w:rsidTr="00B639AB">
        <w:tc>
          <w:tcPr>
            <w:tcW w:w="4670" w:type="dxa"/>
            <w:tcBorders>
              <w:top w:val="nil"/>
              <w:left w:val="single" w:sz="8" w:space="0" w:color="auto"/>
              <w:bottom w:val="single" w:sz="8" w:space="0" w:color="auto"/>
              <w:right w:val="single" w:sz="8" w:space="0" w:color="auto"/>
            </w:tcBorders>
            <w:tcMar>
              <w:top w:w="144" w:type="dxa"/>
              <w:left w:w="144" w:type="dxa"/>
              <w:bottom w:w="144" w:type="dxa"/>
              <w:right w:w="144" w:type="dxa"/>
            </w:tcMar>
            <w:vAlign w:val="center"/>
          </w:tcPr>
          <w:p w14:paraId="17733D7F" w14:textId="77777777" w:rsidR="00A73CB5" w:rsidRPr="00A73CB5" w:rsidRDefault="00A73CB5" w:rsidP="00B639AB">
            <w:pPr>
              <w:spacing w:after="0"/>
            </w:pPr>
            <w:r w:rsidRPr="00A73CB5">
              <w:t>Table 4.2.2(1)</w:t>
            </w:r>
            <w:r>
              <w:t xml:space="preserve"> Rated Home air exchange rate</w:t>
            </w:r>
          </w:p>
        </w:tc>
        <w:tc>
          <w:tcPr>
            <w:tcW w:w="4670" w:type="dxa"/>
            <w:tcBorders>
              <w:top w:val="nil"/>
              <w:left w:val="nil"/>
              <w:bottom w:val="single" w:sz="8" w:space="0" w:color="auto"/>
              <w:right w:val="single" w:sz="8" w:space="0" w:color="auto"/>
            </w:tcBorders>
            <w:tcMar>
              <w:top w:w="144" w:type="dxa"/>
              <w:left w:w="144" w:type="dxa"/>
              <w:bottom w:w="144" w:type="dxa"/>
              <w:right w:w="144" w:type="dxa"/>
            </w:tcMar>
            <w:vAlign w:val="center"/>
          </w:tcPr>
          <w:p w14:paraId="3B0AE463" w14:textId="77777777" w:rsidR="00A73CB5" w:rsidRDefault="00A73CB5" w:rsidP="00B639AB">
            <w:pPr>
              <w:spacing w:after="0"/>
            </w:pPr>
            <w:r>
              <w:t>Clarification added for consistency.  May impact ERI and CO2e Index in some accredited software.</w:t>
            </w:r>
          </w:p>
        </w:tc>
      </w:tr>
      <w:tr w:rsidR="00A73CB5" w14:paraId="47D793D2" w14:textId="77777777" w:rsidTr="00A73CB5">
        <w:tc>
          <w:tcPr>
            <w:tcW w:w="4670" w:type="dxa"/>
            <w:tcBorders>
              <w:top w:val="nil"/>
              <w:left w:val="single" w:sz="8" w:space="0" w:color="auto"/>
              <w:bottom w:val="single" w:sz="8" w:space="0" w:color="auto"/>
              <w:right w:val="single" w:sz="8" w:space="0" w:color="auto"/>
            </w:tcBorders>
            <w:tcMar>
              <w:top w:w="144" w:type="dxa"/>
              <w:left w:w="144" w:type="dxa"/>
              <w:bottom w:w="144" w:type="dxa"/>
              <w:right w:w="144" w:type="dxa"/>
            </w:tcMar>
            <w:vAlign w:val="center"/>
          </w:tcPr>
          <w:p w14:paraId="62F7366C" w14:textId="729E83A2" w:rsidR="00A73CB5" w:rsidRPr="00A73CB5" w:rsidRDefault="00A73CB5" w:rsidP="00DD6E33">
            <w:pPr>
              <w:spacing w:after="0"/>
            </w:pPr>
            <w:r w:rsidRPr="00A73CB5">
              <w:t>Table 4.2.2(1)</w:t>
            </w:r>
            <w:r>
              <w:t xml:space="preserve"> Rated Home </w:t>
            </w:r>
            <w:r w:rsidRPr="00A73CB5">
              <w:t>Dwelling Unit Mechanical Ventilation System fan power</w:t>
            </w:r>
          </w:p>
        </w:tc>
        <w:tc>
          <w:tcPr>
            <w:tcW w:w="4670" w:type="dxa"/>
            <w:tcBorders>
              <w:top w:val="nil"/>
              <w:left w:val="nil"/>
              <w:bottom w:val="single" w:sz="8" w:space="0" w:color="auto"/>
              <w:right w:val="single" w:sz="8" w:space="0" w:color="auto"/>
            </w:tcBorders>
            <w:tcMar>
              <w:top w:w="144" w:type="dxa"/>
              <w:left w:w="144" w:type="dxa"/>
              <w:bottom w:w="144" w:type="dxa"/>
              <w:right w:w="144" w:type="dxa"/>
            </w:tcMar>
            <w:vAlign w:val="center"/>
          </w:tcPr>
          <w:p w14:paraId="40EFBAA1" w14:textId="208609EA" w:rsidR="00A73CB5" w:rsidRDefault="00A73CB5" w:rsidP="00DD6E33">
            <w:pPr>
              <w:spacing w:after="0"/>
            </w:pPr>
            <w:r>
              <w:t>Clarification added for consistency.  May impact ERI and CO2e Index in some accredited software.</w:t>
            </w:r>
          </w:p>
        </w:tc>
      </w:tr>
      <w:tr w:rsidR="00A73CB5" w14:paraId="48871327" w14:textId="77777777" w:rsidTr="00B639AB">
        <w:tc>
          <w:tcPr>
            <w:tcW w:w="4670" w:type="dxa"/>
            <w:tcBorders>
              <w:top w:val="nil"/>
              <w:left w:val="single" w:sz="8" w:space="0" w:color="auto"/>
              <w:bottom w:val="single" w:sz="8" w:space="0" w:color="auto"/>
              <w:right w:val="single" w:sz="8" w:space="0" w:color="auto"/>
            </w:tcBorders>
            <w:tcMar>
              <w:top w:w="144" w:type="dxa"/>
              <w:left w:w="144" w:type="dxa"/>
              <w:bottom w:w="144" w:type="dxa"/>
              <w:right w:w="144" w:type="dxa"/>
            </w:tcMar>
            <w:vAlign w:val="center"/>
          </w:tcPr>
          <w:p w14:paraId="62FCC78B" w14:textId="77777777" w:rsidR="00A73CB5" w:rsidRPr="00A73CB5" w:rsidRDefault="00A73CB5" w:rsidP="00B639AB">
            <w:pPr>
              <w:spacing w:after="0"/>
            </w:pPr>
            <w:r>
              <w:t xml:space="preserve">Table 4.2.2(1) removal of </w:t>
            </w:r>
            <w:proofErr w:type="spellStart"/>
            <w:r>
              <w:t>note d</w:t>
            </w:r>
            <w:proofErr w:type="spellEnd"/>
            <w:r>
              <w:t>.</w:t>
            </w:r>
          </w:p>
        </w:tc>
        <w:tc>
          <w:tcPr>
            <w:tcW w:w="4670" w:type="dxa"/>
            <w:tcBorders>
              <w:top w:val="nil"/>
              <w:left w:val="nil"/>
              <w:bottom w:val="single" w:sz="8" w:space="0" w:color="auto"/>
              <w:right w:val="single" w:sz="8" w:space="0" w:color="auto"/>
            </w:tcBorders>
            <w:tcMar>
              <w:top w:w="144" w:type="dxa"/>
              <w:left w:w="144" w:type="dxa"/>
              <w:bottom w:w="144" w:type="dxa"/>
              <w:right w:w="144" w:type="dxa"/>
            </w:tcMar>
            <w:vAlign w:val="center"/>
          </w:tcPr>
          <w:p w14:paraId="16800686" w14:textId="77777777" w:rsidR="00A73CB5" w:rsidRDefault="00A73CB5" w:rsidP="00B639AB">
            <w:pPr>
              <w:spacing w:after="0"/>
            </w:pPr>
            <w:r>
              <w:t>No impact.  No accredited software was implementing this.</w:t>
            </w:r>
          </w:p>
        </w:tc>
      </w:tr>
      <w:tr w:rsidR="00A560C7" w14:paraId="7058D4E6" w14:textId="77777777" w:rsidTr="00B639AB">
        <w:tc>
          <w:tcPr>
            <w:tcW w:w="4670" w:type="dxa"/>
            <w:tcBorders>
              <w:top w:val="nil"/>
              <w:left w:val="single" w:sz="8" w:space="0" w:color="auto"/>
              <w:bottom w:val="single" w:sz="8" w:space="0" w:color="auto"/>
              <w:right w:val="single" w:sz="8" w:space="0" w:color="auto"/>
            </w:tcBorders>
            <w:tcMar>
              <w:top w:w="144" w:type="dxa"/>
              <w:left w:w="144" w:type="dxa"/>
              <w:bottom w:w="144" w:type="dxa"/>
              <w:right w:w="144" w:type="dxa"/>
            </w:tcMar>
            <w:vAlign w:val="center"/>
          </w:tcPr>
          <w:p w14:paraId="61CCF0F2" w14:textId="77777777" w:rsidR="00A560C7" w:rsidRPr="00A73CB5" w:rsidRDefault="00A560C7" w:rsidP="00B639AB">
            <w:pPr>
              <w:spacing w:after="0"/>
            </w:pPr>
            <w:r>
              <w:t>Table 4.2.2(1) modifications to note f.</w:t>
            </w:r>
          </w:p>
        </w:tc>
        <w:tc>
          <w:tcPr>
            <w:tcW w:w="4670" w:type="dxa"/>
            <w:tcBorders>
              <w:top w:val="nil"/>
              <w:left w:val="nil"/>
              <w:bottom w:val="single" w:sz="8" w:space="0" w:color="auto"/>
              <w:right w:val="single" w:sz="8" w:space="0" w:color="auto"/>
            </w:tcBorders>
            <w:tcMar>
              <w:top w:w="144" w:type="dxa"/>
              <w:left w:w="144" w:type="dxa"/>
              <w:bottom w:w="144" w:type="dxa"/>
              <w:right w:w="144" w:type="dxa"/>
            </w:tcMar>
            <w:vAlign w:val="center"/>
          </w:tcPr>
          <w:p w14:paraId="0E446163" w14:textId="77777777" w:rsidR="00A560C7" w:rsidRDefault="00A560C7" w:rsidP="00B639AB">
            <w:pPr>
              <w:spacing w:after="0"/>
            </w:pPr>
            <w:r>
              <w:t>No impact.  Referencing Appendix C for consistency/clarity.</w:t>
            </w:r>
          </w:p>
        </w:tc>
      </w:tr>
      <w:tr w:rsidR="00A73CB5" w14:paraId="7B34CA7C" w14:textId="77777777" w:rsidTr="00A73CB5">
        <w:tc>
          <w:tcPr>
            <w:tcW w:w="4670" w:type="dxa"/>
            <w:tcBorders>
              <w:top w:val="nil"/>
              <w:left w:val="single" w:sz="8" w:space="0" w:color="auto"/>
              <w:bottom w:val="single" w:sz="8" w:space="0" w:color="auto"/>
              <w:right w:val="single" w:sz="8" w:space="0" w:color="auto"/>
            </w:tcBorders>
            <w:tcMar>
              <w:top w:w="144" w:type="dxa"/>
              <w:left w:w="144" w:type="dxa"/>
              <w:bottom w:w="144" w:type="dxa"/>
              <w:right w:w="144" w:type="dxa"/>
            </w:tcMar>
            <w:vAlign w:val="center"/>
          </w:tcPr>
          <w:p w14:paraId="6D4B4A86" w14:textId="7C6E9D91" w:rsidR="00A73CB5" w:rsidRPr="00A73CB5" w:rsidRDefault="00A73CB5" w:rsidP="00DD6E33">
            <w:pPr>
              <w:spacing w:after="0"/>
            </w:pPr>
            <w:r>
              <w:t>Table 4.2.2(1</w:t>
            </w:r>
            <w:r w:rsidR="00A560C7">
              <w:t>a</w:t>
            </w:r>
            <w:r>
              <w:t>) modifications.</w:t>
            </w:r>
          </w:p>
        </w:tc>
        <w:tc>
          <w:tcPr>
            <w:tcW w:w="4670" w:type="dxa"/>
            <w:tcBorders>
              <w:top w:val="nil"/>
              <w:left w:val="nil"/>
              <w:bottom w:val="single" w:sz="8" w:space="0" w:color="auto"/>
              <w:right w:val="single" w:sz="8" w:space="0" w:color="auto"/>
            </w:tcBorders>
            <w:tcMar>
              <w:top w:w="144" w:type="dxa"/>
              <w:left w:w="144" w:type="dxa"/>
              <w:bottom w:w="144" w:type="dxa"/>
              <w:right w:w="144" w:type="dxa"/>
            </w:tcMar>
            <w:vAlign w:val="center"/>
          </w:tcPr>
          <w:p w14:paraId="7C76F8D4" w14:textId="3A9FBAD0" w:rsidR="00A73CB5" w:rsidRDefault="00A73CB5" w:rsidP="00DD6E33">
            <w:pPr>
              <w:spacing w:after="0"/>
            </w:pPr>
            <w:r>
              <w:t xml:space="preserve">No impact.  </w:t>
            </w:r>
          </w:p>
        </w:tc>
      </w:tr>
      <w:tr w:rsidR="00412DC5" w14:paraId="10E9938B" w14:textId="77777777" w:rsidTr="00B639AB">
        <w:tc>
          <w:tcPr>
            <w:tcW w:w="4670" w:type="dxa"/>
            <w:tcBorders>
              <w:top w:val="nil"/>
              <w:left w:val="single" w:sz="8" w:space="0" w:color="auto"/>
              <w:bottom w:val="single" w:sz="8" w:space="0" w:color="auto"/>
              <w:right w:val="single" w:sz="8" w:space="0" w:color="auto"/>
            </w:tcBorders>
            <w:tcMar>
              <w:top w:w="144" w:type="dxa"/>
              <w:left w:w="144" w:type="dxa"/>
              <w:bottom w:w="144" w:type="dxa"/>
              <w:right w:w="144" w:type="dxa"/>
            </w:tcMar>
            <w:vAlign w:val="center"/>
          </w:tcPr>
          <w:p w14:paraId="11D83346" w14:textId="77777777" w:rsidR="00412DC5" w:rsidRPr="00A73CB5" w:rsidRDefault="00412DC5" w:rsidP="00B639AB">
            <w:pPr>
              <w:spacing w:after="0"/>
            </w:pPr>
            <w:r>
              <w:lastRenderedPageBreak/>
              <w:t>Table 4.2.2(1) modifications to note x.</w:t>
            </w:r>
          </w:p>
        </w:tc>
        <w:tc>
          <w:tcPr>
            <w:tcW w:w="4670" w:type="dxa"/>
            <w:tcBorders>
              <w:top w:val="nil"/>
              <w:left w:val="nil"/>
              <w:bottom w:val="single" w:sz="8" w:space="0" w:color="auto"/>
              <w:right w:val="single" w:sz="8" w:space="0" w:color="auto"/>
            </w:tcBorders>
            <w:tcMar>
              <w:top w:w="144" w:type="dxa"/>
              <w:left w:w="144" w:type="dxa"/>
              <w:bottom w:w="144" w:type="dxa"/>
              <w:right w:w="144" w:type="dxa"/>
            </w:tcMar>
            <w:vAlign w:val="center"/>
          </w:tcPr>
          <w:p w14:paraId="2E33B669" w14:textId="77777777" w:rsidR="00412DC5" w:rsidRDefault="00412DC5" w:rsidP="00B639AB">
            <w:pPr>
              <w:spacing w:after="0"/>
            </w:pPr>
            <w:r>
              <w:t>No impact.  Language modified for clarity.</w:t>
            </w:r>
          </w:p>
        </w:tc>
      </w:tr>
      <w:tr w:rsidR="00412DC5" w14:paraId="7423BC54" w14:textId="77777777" w:rsidTr="00B639AB">
        <w:tc>
          <w:tcPr>
            <w:tcW w:w="4670" w:type="dxa"/>
            <w:tcBorders>
              <w:top w:val="nil"/>
              <w:left w:val="single" w:sz="8" w:space="0" w:color="auto"/>
              <w:bottom w:val="single" w:sz="8" w:space="0" w:color="auto"/>
              <w:right w:val="single" w:sz="8" w:space="0" w:color="auto"/>
            </w:tcBorders>
            <w:tcMar>
              <w:top w:w="144" w:type="dxa"/>
              <w:left w:w="144" w:type="dxa"/>
              <w:bottom w:w="144" w:type="dxa"/>
              <w:right w:w="144" w:type="dxa"/>
            </w:tcMar>
            <w:vAlign w:val="center"/>
          </w:tcPr>
          <w:p w14:paraId="043A893E" w14:textId="53FAF7B9" w:rsidR="00412DC5" w:rsidRPr="00A73CB5" w:rsidRDefault="00412DC5" w:rsidP="00B639AB">
            <w:pPr>
              <w:spacing w:after="0"/>
            </w:pPr>
            <w:r>
              <w:t xml:space="preserve">Table 4.2.2(1) modifications to note </w:t>
            </w:r>
            <w:proofErr w:type="spellStart"/>
            <w:r>
              <w:t>yy</w:t>
            </w:r>
            <w:proofErr w:type="spellEnd"/>
            <w:r>
              <w:t>.</w:t>
            </w:r>
          </w:p>
        </w:tc>
        <w:tc>
          <w:tcPr>
            <w:tcW w:w="4670" w:type="dxa"/>
            <w:tcBorders>
              <w:top w:val="nil"/>
              <w:left w:val="nil"/>
              <w:bottom w:val="single" w:sz="8" w:space="0" w:color="auto"/>
              <w:right w:val="single" w:sz="8" w:space="0" w:color="auto"/>
            </w:tcBorders>
            <w:tcMar>
              <w:top w:w="144" w:type="dxa"/>
              <w:left w:w="144" w:type="dxa"/>
              <w:bottom w:w="144" w:type="dxa"/>
              <w:right w:w="144" w:type="dxa"/>
            </w:tcMar>
            <w:vAlign w:val="center"/>
          </w:tcPr>
          <w:p w14:paraId="54AFB79C" w14:textId="108F15B0" w:rsidR="00412DC5" w:rsidRDefault="00763695" w:rsidP="00B639AB">
            <w:pPr>
              <w:spacing w:after="0"/>
            </w:pPr>
            <w:r>
              <w:t>Added for consistency.  May have moderate impact in some software but not in other software.</w:t>
            </w:r>
          </w:p>
        </w:tc>
      </w:tr>
      <w:tr w:rsidR="000F20CB" w14:paraId="712587B3" w14:textId="77777777" w:rsidTr="00B639AB">
        <w:tc>
          <w:tcPr>
            <w:tcW w:w="4670" w:type="dxa"/>
            <w:tcBorders>
              <w:top w:val="nil"/>
              <w:left w:val="single" w:sz="8" w:space="0" w:color="auto"/>
              <w:bottom w:val="single" w:sz="8" w:space="0" w:color="auto"/>
              <w:right w:val="single" w:sz="8" w:space="0" w:color="auto"/>
            </w:tcBorders>
            <w:tcMar>
              <w:top w:w="144" w:type="dxa"/>
              <w:left w:w="144" w:type="dxa"/>
              <w:bottom w:w="144" w:type="dxa"/>
              <w:right w:w="144" w:type="dxa"/>
            </w:tcMar>
            <w:vAlign w:val="center"/>
          </w:tcPr>
          <w:p w14:paraId="18FBCF33" w14:textId="77777777" w:rsidR="000F20CB" w:rsidRPr="00A73CB5" w:rsidRDefault="000F20CB" w:rsidP="00B639AB">
            <w:pPr>
              <w:spacing w:after="0"/>
            </w:pPr>
            <w:r>
              <w:t xml:space="preserve">Table 4.2.2(1) modifications to note </w:t>
            </w:r>
            <w:proofErr w:type="spellStart"/>
            <w:r>
              <w:t>zz</w:t>
            </w:r>
            <w:proofErr w:type="spellEnd"/>
            <w:r>
              <w:t>.</w:t>
            </w:r>
          </w:p>
        </w:tc>
        <w:tc>
          <w:tcPr>
            <w:tcW w:w="4670" w:type="dxa"/>
            <w:tcBorders>
              <w:top w:val="nil"/>
              <w:left w:val="nil"/>
              <w:bottom w:val="single" w:sz="8" w:space="0" w:color="auto"/>
              <w:right w:val="single" w:sz="8" w:space="0" w:color="auto"/>
            </w:tcBorders>
            <w:tcMar>
              <w:top w:w="144" w:type="dxa"/>
              <w:left w:w="144" w:type="dxa"/>
              <w:bottom w:w="144" w:type="dxa"/>
              <w:right w:w="144" w:type="dxa"/>
            </w:tcMar>
            <w:vAlign w:val="center"/>
          </w:tcPr>
          <w:p w14:paraId="0F48A66E" w14:textId="77777777" w:rsidR="000F20CB" w:rsidRDefault="000F20CB" w:rsidP="00B639AB">
            <w:pPr>
              <w:spacing w:after="0"/>
            </w:pPr>
            <w:r>
              <w:t>No impact.  Referencing Appendix C for consistency/clarity.</w:t>
            </w:r>
          </w:p>
        </w:tc>
      </w:tr>
      <w:tr w:rsidR="00763695" w14:paraId="5F1030BC" w14:textId="77777777" w:rsidTr="00B639AB">
        <w:tc>
          <w:tcPr>
            <w:tcW w:w="4670" w:type="dxa"/>
            <w:tcBorders>
              <w:top w:val="nil"/>
              <w:left w:val="single" w:sz="8" w:space="0" w:color="auto"/>
              <w:bottom w:val="single" w:sz="8" w:space="0" w:color="auto"/>
              <w:right w:val="single" w:sz="8" w:space="0" w:color="auto"/>
            </w:tcBorders>
            <w:tcMar>
              <w:top w:w="144" w:type="dxa"/>
              <w:left w:w="144" w:type="dxa"/>
              <w:bottom w:w="144" w:type="dxa"/>
              <w:right w:w="144" w:type="dxa"/>
            </w:tcMar>
            <w:vAlign w:val="center"/>
          </w:tcPr>
          <w:p w14:paraId="79A4C596" w14:textId="3529384A" w:rsidR="00763695" w:rsidRPr="00A73CB5" w:rsidRDefault="000F20CB" w:rsidP="00B639AB">
            <w:pPr>
              <w:spacing w:after="0"/>
            </w:pPr>
            <w:r>
              <w:t xml:space="preserve">Modifications throughout </w:t>
            </w:r>
            <w:r w:rsidRPr="000F20CB">
              <w:t>4.2.2.7. Lighting, Appliances, Miscellaneous Energy Loads (MELs), Ventilation and Service Hot Water Systems.</w:t>
            </w:r>
          </w:p>
        </w:tc>
        <w:tc>
          <w:tcPr>
            <w:tcW w:w="4670" w:type="dxa"/>
            <w:tcBorders>
              <w:top w:val="nil"/>
              <w:left w:val="nil"/>
              <w:bottom w:val="single" w:sz="8" w:space="0" w:color="auto"/>
              <w:right w:val="single" w:sz="8" w:space="0" w:color="auto"/>
            </w:tcBorders>
            <w:tcMar>
              <w:top w:w="144" w:type="dxa"/>
              <w:left w:w="144" w:type="dxa"/>
              <w:bottom w:w="144" w:type="dxa"/>
              <w:right w:w="144" w:type="dxa"/>
            </w:tcMar>
            <w:vAlign w:val="center"/>
          </w:tcPr>
          <w:p w14:paraId="413D130A" w14:textId="54B9DD6C" w:rsidR="00763695" w:rsidRDefault="000F20CB" w:rsidP="00B639AB">
            <w:pPr>
              <w:spacing w:after="0"/>
            </w:pPr>
            <w:r>
              <w:t>No to minimal</w:t>
            </w:r>
            <w:r w:rsidR="00763695">
              <w:t xml:space="preserve"> impact.  </w:t>
            </w:r>
            <w:r>
              <w:t xml:space="preserve">Hourly values assigned to </w:t>
            </w:r>
            <w:proofErr w:type="gramStart"/>
            <w:r>
              <w:t>these equipment</w:t>
            </w:r>
            <w:proofErr w:type="gramEnd"/>
            <w:r>
              <w:t xml:space="preserve"> and associated internal gains.  Annual values remain the same with exception of refrigerators which a slightly different.</w:t>
            </w:r>
          </w:p>
        </w:tc>
      </w:tr>
      <w:tr w:rsidR="00DD6E33" w14:paraId="5051E215" w14:textId="77777777" w:rsidTr="00A73CB5">
        <w:tc>
          <w:tcPr>
            <w:tcW w:w="4670" w:type="dxa"/>
            <w:tcBorders>
              <w:top w:val="nil"/>
              <w:left w:val="single" w:sz="8" w:space="0" w:color="auto"/>
              <w:bottom w:val="single" w:sz="8" w:space="0" w:color="auto"/>
              <w:right w:val="single" w:sz="8" w:space="0" w:color="auto"/>
            </w:tcBorders>
            <w:tcMar>
              <w:top w:w="144" w:type="dxa"/>
              <w:left w:w="144" w:type="dxa"/>
              <w:bottom w:w="144" w:type="dxa"/>
              <w:right w:w="144" w:type="dxa"/>
            </w:tcMar>
            <w:vAlign w:val="center"/>
            <w:hideMark/>
          </w:tcPr>
          <w:p w14:paraId="6C9EED9D" w14:textId="384742C4" w:rsidR="00DD6E33" w:rsidRDefault="00DD6E33" w:rsidP="00DD6E33">
            <w:pPr>
              <w:spacing w:after="0"/>
            </w:pPr>
            <w:r>
              <w:t>HSPF2/SEER2</w:t>
            </w:r>
          </w:p>
        </w:tc>
        <w:tc>
          <w:tcPr>
            <w:tcW w:w="4670" w:type="dxa"/>
            <w:tcBorders>
              <w:top w:val="nil"/>
              <w:left w:val="nil"/>
              <w:bottom w:val="single" w:sz="8" w:space="0" w:color="auto"/>
              <w:right w:val="single" w:sz="8" w:space="0" w:color="auto"/>
            </w:tcBorders>
            <w:tcMar>
              <w:top w:w="144" w:type="dxa"/>
              <w:left w:w="144" w:type="dxa"/>
              <w:bottom w:w="144" w:type="dxa"/>
              <w:right w:w="144" w:type="dxa"/>
            </w:tcMar>
            <w:vAlign w:val="center"/>
          </w:tcPr>
          <w:p w14:paraId="280E86B0" w14:textId="01DE57E7" w:rsidR="00DD6E33" w:rsidRDefault="0070165D" w:rsidP="00DD6E33">
            <w:pPr>
              <w:spacing w:after="0"/>
            </w:pPr>
            <w:r w:rsidRPr="00D62108">
              <w:t xml:space="preserve">Provides conversion factors for incorporation in HERS rating software that change SEER2 efficiency ratings into equivalent SEER ratings. There will be little to no effect on HERS scores from this change. For example, if you typically install an AC with a SEER Rating of 17.0 and it now has a SEER2 Rating of 16.2, you will see no impact on the HERS Index. </w:t>
            </w:r>
            <w:r w:rsidR="00495360" w:rsidRPr="00D62108">
              <w:t xml:space="preserve">Will have moderate impact in cases where </w:t>
            </w:r>
            <w:r w:rsidRPr="00D62108">
              <w:t xml:space="preserve">previous </w:t>
            </w:r>
            <w:r w:rsidR="00495360" w:rsidRPr="00D62108">
              <w:t xml:space="preserve">Ratings were </w:t>
            </w:r>
            <w:r w:rsidRPr="00D62108">
              <w:t>erroneously</w:t>
            </w:r>
            <w:r w:rsidR="00495360" w:rsidRPr="00D62108">
              <w:t xml:space="preserve"> conducted </w:t>
            </w:r>
            <w:r w:rsidR="00D62108" w:rsidRPr="00D62108">
              <w:t xml:space="preserve">by </w:t>
            </w:r>
            <w:r w:rsidR="00495360" w:rsidRPr="00D62108">
              <w:t>directly substituting SEER2/HSPF2 for SEER/HSPF</w:t>
            </w:r>
            <w:r w:rsidR="00495360">
              <w:t>.</w:t>
            </w:r>
          </w:p>
        </w:tc>
      </w:tr>
    </w:tbl>
    <w:p w14:paraId="2F774BCC" w14:textId="77777777" w:rsidR="00DD6E33" w:rsidRDefault="00DD6E33" w:rsidP="00DD6E33">
      <w:pPr>
        <w:spacing w:after="0"/>
      </w:pPr>
    </w:p>
    <w:sectPr w:rsidR="00DD6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1F9"/>
    <w:rsid w:val="000F20CB"/>
    <w:rsid w:val="00412DC5"/>
    <w:rsid w:val="00495360"/>
    <w:rsid w:val="0070165D"/>
    <w:rsid w:val="00763695"/>
    <w:rsid w:val="0082080D"/>
    <w:rsid w:val="00854C65"/>
    <w:rsid w:val="00A560C7"/>
    <w:rsid w:val="00A611F9"/>
    <w:rsid w:val="00A73CB5"/>
    <w:rsid w:val="00D62108"/>
    <w:rsid w:val="00DD6E33"/>
    <w:rsid w:val="00EC4E10"/>
    <w:rsid w:val="00F22BEC"/>
    <w:rsid w:val="00FD2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1AA9"/>
  <w15:chartTrackingRefBased/>
  <w15:docId w15:val="{16437B64-641F-4596-8129-5071D0FD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3695"/>
    <w:rPr>
      <w:sz w:val="16"/>
      <w:szCs w:val="16"/>
    </w:rPr>
  </w:style>
  <w:style w:type="paragraph" w:styleId="CommentText">
    <w:name w:val="annotation text"/>
    <w:basedOn w:val="Normal"/>
    <w:link w:val="CommentTextChar"/>
    <w:uiPriority w:val="99"/>
    <w:unhideWhenUsed/>
    <w:rsid w:val="00763695"/>
    <w:pPr>
      <w:spacing w:line="240" w:lineRule="auto"/>
    </w:pPr>
    <w:rPr>
      <w:sz w:val="20"/>
      <w:szCs w:val="20"/>
    </w:rPr>
  </w:style>
  <w:style w:type="character" w:customStyle="1" w:styleId="CommentTextChar">
    <w:name w:val="Comment Text Char"/>
    <w:basedOn w:val="DefaultParagraphFont"/>
    <w:link w:val="CommentText"/>
    <w:uiPriority w:val="99"/>
    <w:rsid w:val="00763695"/>
    <w:rPr>
      <w:sz w:val="20"/>
      <w:szCs w:val="20"/>
    </w:rPr>
  </w:style>
  <w:style w:type="paragraph" w:styleId="CommentSubject">
    <w:name w:val="annotation subject"/>
    <w:basedOn w:val="CommentText"/>
    <w:next w:val="CommentText"/>
    <w:link w:val="CommentSubjectChar"/>
    <w:uiPriority w:val="99"/>
    <w:semiHidden/>
    <w:unhideWhenUsed/>
    <w:rsid w:val="00763695"/>
    <w:rPr>
      <w:b/>
      <w:bCs/>
    </w:rPr>
  </w:style>
  <w:style w:type="character" w:customStyle="1" w:styleId="CommentSubjectChar">
    <w:name w:val="Comment Subject Char"/>
    <w:basedOn w:val="CommentTextChar"/>
    <w:link w:val="CommentSubject"/>
    <w:uiPriority w:val="99"/>
    <w:semiHidden/>
    <w:rsid w:val="007636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54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David</dc:creator>
  <cp:keywords/>
  <dc:description/>
  <cp:lastModifiedBy>Rick Dixon</cp:lastModifiedBy>
  <cp:revision>3</cp:revision>
  <dcterms:created xsi:type="dcterms:W3CDTF">2022-12-09T14:41:00Z</dcterms:created>
  <dcterms:modified xsi:type="dcterms:W3CDTF">2022-12-09T20:48:00Z</dcterms:modified>
</cp:coreProperties>
</file>