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60157" w14:textId="0F280B52" w:rsidR="00D95366" w:rsidRPr="00B90DA9" w:rsidRDefault="00D95366" w:rsidP="00330F8B">
      <w:pPr>
        <w:rPr>
          <w:b/>
          <w:bCs/>
        </w:rPr>
      </w:pPr>
      <w:r w:rsidRPr="00495AC2">
        <w:rPr>
          <w:b/>
          <w:bCs/>
        </w:rPr>
        <w:t>Interpretation:</w:t>
      </w:r>
      <w:r w:rsidRPr="00495AC2">
        <w:tab/>
      </w:r>
      <w:r w:rsidR="006E02B1" w:rsidRPr="00016837">
        <w:rPr>
          <w:iCs/>
        </w:rPr>
        <w:t>Energy purchased from a Power Purchase Agreement (PPA)</w:t>
      </w:r>
    </w:p>
    <w:p w14:paraId="4159CDBE" w14:textId="2D36CAAA" w:rsidR="00D95366" w:rsidRPr="00803C35" w:rsidRDefault="00D95366" w:rsidP="00330F8B">
      <w:pPr>
        <w:rPr>
          <w:b/>
          <w:bCs/>
        </w:rPr>
      </w:pPr>
    </w:p>
    <w:p w14:paraId="2A09B107" w14:textId="031BE376" w:rsidR="00D95366" w:rsidRPr="00803C35" w:rsidRDefault="00D95366" w:rsidP="00330F8B">
      <w:r w:rsidRPr="00803C35">
        <w:rPr>
          <w:b/>
          <w:bCs/>
        </w:rPr>
        <w:t>Designation:</w:t>
      </w:r>
      <w:r w:rsidRPr="00803C35">
        <w:tab/>
      </w:r>
      <w:r w:rsidRPr="00803C35">
        <w:tab/>
      </w:r>
      <w:r w:rsidR="009B335B" w:rsidRPr="00803C35">
        <w:t>3</w:t>
      </w:r>
      <w:r w:rsidR="006E02B1">
        <w:t>01</w:t>
      </w:r>
      <w:r w:rsidR="009B335B" w:rsidRPr="00803C35">
        <w:t>-2019-0</w:t>
      </w:r>
      <w:r w:rsidR="006E02B1">
        <w:t>13</w:t>
      </w:r>
    </w:p>
    <w:p w14:paraId="4CAE5D2A" w14:textId="5838FEBB" w:rsidR="00D95366" w:rsidRPr="00803C35" w:rsidRDefault="00D95366" w:rsidP="00330F8B">
      <w:pPr>
        <w:rPr>
          <w:b/>
          <w:bCs/>
          <w:color w:val="A6A6A6" w:themeColor="background1" w:themeShade="A6"/>
        </w:rPr>
      </w:pPr>
    </w:p>
    <w:p w14:paraId="77A2DDD7" w14:textId="2CE5E22E" w:rsidR="00935F3C" w:rsidRPr="00BB4B2A" w:rsidRDefault="00935F3C" w:rsidP="00935F3C">
      <w:pPr>
        <w:rPr>
          <w:i/>
          <w:iCs/>
        </w:rPr>
      </w:pPr>
      <w:r w:rsidRPr="00BB4B2A">
        <w:rPr>
          <w:b/>
          <w:bCs/>
        </w:rPr>
        <w:t>Approved:</w:t>
      </w:r>
      <w:r w:rsidRPr="00BB4B2A">
        <w:rPr>
          <w:b/>
          <w:bCs/>
        </w:rPr>
        <w:tab/>
      </w:r>
      <w:r w:rsidRPr="00BB4B2A">
        <w:rPr>
          <w:b/>
          <w:bCs/>
        </w:rPr>
        <w:tab/>
      </w:r>
      <w:r w:rsidR="00D92327">
        <w:t>June 2</w:t>
      </w:r>
      <w:r w:rsidRPr="00BB4B2A">
        <w:t xml:space="preserve">, 2020 by RESNET SDC 300 </w:t>
      </w:r>
    </w:p>
    <w:p w14:paraId="3E2572B2" w14:textId="77777777" w:rsidR="00935F3C" w:rsidRPr="00BB4B2A" w:rsidRDefault="00935F3C" w:rsidP="00935F3C">
      <w:pPr>
        <w:rPr>
          <w:b/>
          <w:bCs/>
        </w:rPr>
      </w:pPr>
    </w:p>
    <w:p w14:paraId="3DADFE97" w14:textId="7EEA59EE" w:rsidR="00935F3C" w:rsidRPr="00BB4B2A" w:rsidRDefault="00935F3C" w:rsidP="00935F3C">
      <w:pPr>
        <w:rPr>
          <w:iCs/>
        </w:rPr>
      </w:pPr>
      <w:r w:rsidRPr="00BB4B2A">
        <w:rPr>
          <w:b/>
          <w:bCs/>
        </w:rPr>
        <w:t>Effective Date:</w:t>
      </w:r>
      <w:r w:rsidRPr="00BB4B2A">
        <w:tab/>
      </w:r>
      <w:r w:rsidR="00D92327">
        <w:t>July 1</w:t>
      </w:r>
      <w:r w:rsidRPr="00BB4B2A">
        <w:rPr>
          <w:iCs/>
        </w:rPr>
        <w:t>, 2020</w:t>
      </w:r>
    </w:p>
    <w:p w14:paraId="50A291A3" w14:textId="07BA0C42" w:rsidR="00D95366" w:rsidRDefault="00D95366" w:rsidP="00330F8B">
      <w:pPr>
        <w:rPr>
          <w:b/>
          <w:bCs/>
        </w:rPr>
      </w:pPr>
    </w:p>
    <w:p w14:paraId="077504FD" w14:textId="35EEFAB9" w:rsidR="00D95366" w:rsidRPr="00495AC2" w:rsidRDefault="00D95366" w:rsidP="00330F8B">
      <w:r w:rsidRPr="00495AC2">
        <w:rPr>
          <w:b/>
          <w:bCs/>
        </w:rPr>
        <w:t>Reference:</w:t>
      </w:r>
      <w:r w:rsidRPr="00495AC2">
        <w:rPr>
          <w:b/>
          <w:bCs/>
        </w:rPr>
        <w:tab/>
      </w:r>
      <w:r w:rsidRPr="00495AC2">
        <w:rPr>
          <w:b/>
          <w:bCs/>
        </w:rPr>
        <w:tab/>
      </w:r>
    </w:p>
    <w:p w14:paraId="72EFFF21" w14:textId="7C1B8A79" w:rsidR="00D95366" w:rsidRPr="00495AC2" w:rsidRDefault="00D95366" w:rsidP="00330F8B"/>
    <w:p w14:paraId="479C3CF7" w14:textId="10A7662F" w:rsidR="00D95366" w:rsidRPr="00495AC2" w:rsidRDefault="009D2BAB" w:rsidP="007D6CC1">
      <w:pPr>
        <w:spacing w:line="276" w:lineRule="auto"/>
        <w:ind w:firstLine="720"/>
      </w:pPr>
      <w:r w:rsidRPr="00495AC2">
        <w:t xml:space="preserve">Standard </w:t>
      </w:r>
      <w:r w:rsidRPr="00495AC2">
        <w:tab/>
      </w:r>
      <w:r w:rsidRPr="00495AC2">
        <w:tab/>
      </w:r>
      <w:r w:rsidR="009B335B" w:rsidRPr="009B335B">
        <w:t>ANSI/RESNET/ICC 3</w:t>
      </w:r>
      <w:r w:rsidR="00994D3D">
        <w:t>01</w:t>
      </w:r>
      <w:r w:rsidR="00803C35">
        <w:t>-</w:t>
      </w:r>
      <w:r w:rsidR="009B335B" w:rsidRPr="009B335B">
        <w:t>2019</w:t>
      </w:r>
    </w:p>
    <w:p w14:paraId="0E4A5180" w14:textId="655F853B" w:rsidR="009D2BAB" w:rsidRPr="00495AC2" w:rsidRDefault="009D2BAB" w:rsidP="007D6CC1">
      <w:pPr>
        <w:spacing w:line="276" w:lineRule="auto"/>
      </w:pPr>
      <w:r w:rsidRPr="00495AC2">
        <w:tab/>
        <w:t>Page Number(s):</w:t>
      </w:r>
      <w:r w:rsidRPr="00495AC2">
        <w:tab/>
        <w:t>__</w:t>
      </w:r>
      <w:r w:rsidR="006E02B1">
        <w:t>___</w:t>
      </w:r>
      <w:r w:rsidR="00803C35">
        <w:t>_____________________</w:t>
      </w:r>
      <w:r w:rsidR="009B335B">
        <w:t>_</w:t>
      </w:r>
      <w:r w:rsidRPr="00495AC2">
        <w:t>_______________________</w:t>
      </w:r>
    </w:p>
    <w:p w14:paraId="4DEC0AD4" w14:textId="05368260" w:rsidR="009D2BAB" w:rsidRPr="00495AC2" w:rsidRDefault="009D2BAB" w:rsidP="007D6CC1">
      <w:pPr>
        <w:spacing w:line="276" w:lineRule="auto"/>
      </w:pPr>
      <w:r w:rsidRPr="00495AC2">
        <w:tab/>
        <w:t>Sections(s):</w:t>
      </w:r>
      <w:r w:rsidRPr="00495AC2">
        <w:tab/>
      </w:r>
      <w:r w:rsidRPr="00495AC2">
        <w:tab/>
        <w:t>__</w:t>
      </w:r>
      <w:r w:rsidR="006E02B1" w:rsidRPr="008B067C">
        <w:rPr>
          <w:u w:val="single"/>
        </w:rPr>
        <w:t>3</w:t>
      </w:r>
      <w:r w:rsidR="006E02B1">
        <w:t>________________________</w:t>
      </w:r>
      <w:r w:rsidR="00803C35">
        <w:t>____</w:t>
      </w:r>
      <w:r w:rsidRPr="00495AC2">
        <w:t>___________________</w:t>
      </w:r>
    </w:p>
    <w:p w14:paraId="2DFCAC34" w14:textId="710DCF1B" w:rsidR="009D2BAB" w:rsidRPr="00495AC2" w:rsidRDefault="009D2BAB" w:rsidP="007D6CC1">
      <w:pPr>
        <w:spacing w:line="276" w:lineRule="auto"/>
      </w:pPr>
      <w:r w:rsidRPr="00495AC2">
        <w:tab/>
        <w:t>Table(s):</w:t>
      </w:r>
      <w:r w:rsidRPr="00495AC2">
        <w:tab/>
      </w:r>
      <w:r w:rsidRPr="00495AC2">
        <w:tab/>
        <w:t>________________________________________________</w:t>
      </w:r>
      <w:r w:rsidR="00994D3D">
        <w:t>__</w:t>
      </w:r>
    </w:p>
    <w:p w14:paraId="433F2D3A" w14:textId="7FCA4E3A" w:rsidR="00210F0F" w:rsidRDefault="009D2BAB" w:rsidP="00210F0F">
      <w:r w:rsidRPr="00495AC2">
        <w:tab/>
        <w:t>Relating to:</w:t>
      </w:r>
      <w:r w:rsidRPr="00495AC2">
        <w:tab/>
      </w:r>
      <w:r w:rsidRPr="00495AC2">
        <w:tab/>
      </w:r>
      <w:r w:rsidR="00210F0F" w:rsidRPr="008B067C">
        <w:rPr>
          <w:u w:val="single"/>
        </w:rPr>
        <w:t>__</w:t>
      </w:r>
      <w:r w:rsidR="006E02B1" w:rsidRPr="008B067C">
        <w:rPr>
          <w:u w:val="single"/>
        </w:rPr>
        <w:t xml:space="preserve"> Various definitions</w:t>
      </w:r>
      <w:r w:rsidR="006E02B1">
        <w:t>______________________</w:t>
      </w:r>
      <w:r w:rsidR="00210F0F">
        <w:t>__________</w:t>
      </w:r>
    </w:p>
    <w:p w14:paraId="3EA04BBB" w14:textId="2700CD91" w:rsidR="00D95366" w:rsidRPr="00495AC2" w:rsidRDefault="00994D3D" w:rsidP="00210F0F">
      <w:pPr>
        <w:spacing w:line="276" w:lineRule="auto"/>
      </w:pPr>
      <w:r w:rsidRPr="00495AC2">
        <w:t xml:space="preserve"> </w:t>
      </w:r>
    </w:p>
    <w:p w14:paraId="369EBF1A" w14:textId="7E845648" w:rsidR="009D2BAB" w:rsidRPr="00495AC2" w:rsidRDefault="009D2BAB" w:rsidP="00330F8B">
      <w:pPr>
        <w:rPr>
          <w:bCs/>
          <w:i/>
          <w:iCs/>
        </w:rPr>
      </w:pPr>
      <w:r w:rsidRPr="00495AC2">
        <w:rPr>
          <w:b/>
          <w:bCs/>
        </w:rPr>
        <w:t>Request from</w:t>
      </w:r>
      <w:r w:rsidRPr="00495AC2">
        <w:rPr>
          <w:bCs/>
        </w:rPr>
        <w:t>:</w:t>
      </w:r>
      <w:r w:rsidR="001274B2" w:rsidRPr="00495AC2">
        <w:rPr>
          <w:bCs/>
        </w:rPr>
        <w:tab/>
      </w:r>
    </w:p>
    <w:p w14:paraId="20DD1C53" w14:textId="5D946608" w:rsidR="009D2BAB" w:rsidRPr="00495AC2" w:rsidRDefault="009D2BAB" w:rsidP="00330F8B">
      <w:pPr>
        <w:rPr>
          <w:bCs/>
        </w:rPr>
      </w:pPr>
    </w:p>
    <w:p w14:paraId="211B1E7E" w14:textId="04751B2B" w:rsidR="009D2BAB" w:rsidRPr="00495AC2" w:rsidRDefault="009D2BAB" w:rsidP="007D6CC1">
      <w:pPr>
        <w:spacing w:line="276" w:lineRule="auto"/>
        <w:rPr>
          <w:bCs/>
        </w:rPr>
      </w:pPr>
      <w:r w:rsidRPr="00495AC2">
        <w:rPr>
          <w:bCs/>
        </w:rPr>
        <w:tab/>
        <w:t>Name:</w:t>
      </w:r>
      <w:r w:rsidRPr="00495AC2">
        <w:rPr>
          <w:bCs/>
        </w:rPr>
        <w:tab/>
      </w:r>
      <w:r w:rsidRPr="00495AC2">
        <w:rPr>
          <w:bCs/>
        </w:rPr>
        <w:tab/>
      </w:r>
      <w:r w:rsidR="001274B2" w:rsidRPr="00495AC2">
        <w:rPr>
          <w:bCs/>
        </w:rPr>
        <w:t>___</w:t>
      </w:r>
      <w:r w:rsidR="006E02B1" w:rsidRPr="008B067C">
        <w:rPr>
          <w:u w:val="single"/>
        </w:rPr>
        <w:t xml:space="preserve"> Gayathri Vijayakumar</w:t>
      </w:r>
      <w:r w:rsidR="006E02B1" w:rsidRPr="008B067C">
        <w:rPr>
          <w:bCs/>
          <w:u w:val="single"/>
        </w:rPr>
        <w:t xml:space="preserve"> </w:t>
      </w:r>
      <w:r w:rsidR="001274B2" w:rsidRPr="00495AC2">
        <w:rPr>
          <w:bCs/>
        </w:rPr>
        <w:t>____</w:t>
      </w:r>
      <w:r w:rsidR="006E02B1">
        <w:rPr>
          <w:bCs/>
        </w:rPr>
        <w:t>______________</w:t>
      </w:r>
      <w:r w:rsidR="001274B2" w:rsidRPr="00495AC2">
        <w:rPr>
          <w:bCs/>
        </w:rPr>
        <w:t>_______________</w:t>
      </w:r>
    </w:p>
    <w:p w14:paraId="3F64FDC9" w14:textId="0D9E5B7F" w:rsidR="009D2BAB" w:rsidRPr="00495AC2" w:rsidRDefault="009D2BAB" w:rsidP="007D6CC1">
      <w:pPr>
        <w:spacing w:line="276" w:lineRule="auto"/>
        <w:rPr>
          <w:bCs/>
        </w:rPr>
      </w:pPr>
      <w:r w:rsidRPr="00495AC2">
        <w:rPr>
          <w:bCs/>
        </w:rPr>
        <w:tab/>
        <w:t>Affiliation:</w:t>
      </w:r>
      <w:r w:rsidR="001274B2" w:rsidRPr="00495AC2">
        <w:rPr>
          <w:bCs/>
        </w:rPr>
        <w:tab/>
        <w:t>___</w:t>
      </w:r>
      <w:r w:rsidR="006E02B1" w:rsidRPr="008B067C">
        <w:rPr>
          <w:bCs/>
          <w:u w:val="single"/>
        </w:rPr>
        <w:t>Steven Winter Associates, Inc._</w:t>
      </w:r>
      <w:r w:rsidR="006E02B1">
        <w:rPr>
          <w:bCs/>
        </w:rPr>
        <w:t>__</w:t>
      </w:r>
      <w:r w:rsidR="009B335B">
        <w:rPr>
          <w:bCs/>
        </w:rPr>
        <w:t>_</w:t>
      </w:r>
      <w:r w:rsidR="001274B2" w:rsidRPr="00495AC2">
        <w:rPr>
          <w:bCs/>
        </w:rPr>
        <w:t>________</w:t>
      </w:r>
      <w:r w:rsidR="006E02B1">
        <w:rPr>
          <w:bCs/>
        </w:rPr>
        <w:t>___</w:t>
      </w:r>
      <w:r w:rsidR="001274B2" w:rsidRPr="00495AC2">
        <w:rPr>
          <w:bCs/>
        </w:rPr>
        <w:t>_____________</w:t>
      </w:r>
    </w:p>
    <w:p w14:paraId="4FA63DFE" w14:textId="2DBA9AA3" w:rsidR="009D2BAB" w:rsidRPr="00495AC2" w:rsidRDefault="009D2BAB" w:rsidP="007D6CC1">
      <w:pPr>
        <w:spacing w:line="276" w:lineRule="auto"/>
        <w:rPr>
          <w:bCs/>
        </w:rPr>
      </w:pPr>
      <w:r w:rsidRPr="00495AC2">
        <w:rPr>
          <w:bCs/>
        </w:rPr>
        <w:tab/>
        <w:t>Address:</w:t>
      </w:r>
      <w:r w:rsidR="001274B2" w:rsidRPr="00495AC2">
        <w:rPr>
          <w:bCs/>
        </w:rPr>
        <w:tab/>
        <w:t>___</w:t>
      </w:r>
      <w:r w:rsidR="006E02B1" w:rsidRPr="008B067C">
        <w:rPr>
          <w:u w:val="single"/>
        </w:rPr>
        <w:t>61 Washington Street, 2</w:t>
      </w:r>
      <w:r w:rsidR="006E02B1" w:rsidRPr="008B067C">
        <w:rPr>
          <w:u w:val="single"/>
          <w:vertAlign w:val="superscript"/>
        </w:rPr>
        <w:t>nd</w:t>
      </w:r>
      <w:r w:rsidR="006E02B1" w:rsidRPr="008B067C">
        <w:rPr>
          <w:u w:val="single"/>
        </w:rPr>
        <w:t xml:space="preserve"> floor</w:t>
      </w:r>
      <w:r w:rsidR="006E02B1" w:rsidRPr="00495AC2">
        <w:rPr>
          <w:bCs/>
        </w:rPr>
        <w:t xml:space="preserve"> </w:t>
      </w:r>
      <w:r w:rsidR="006E02B1">
        <w:rPr>
          <w:bCs/>
        </w:rPr>
        <w:t>_</w:t>
      </w:r>
      <w:r w:rsidR="001274B2" w:rsidRPr="00495AC2">
        <w:rPr>
          <w:bCs/>
        </w:rPr>
        <w:t>_________</w:t>
      </w:r>
      <w:r w:rsidR="006E02B1">
        <w:rPr>
          <w:bCs/>
        </w:rPr>
        <w:t>__</w:t>
      </w:r>
      <w:r w:rsidR="001274B2" w:rsidRPr="00495AC2">
        <w:rPr>
          <w:bCs/>
        </w:rPr>
        <w:t>_______________</w:t>
      </w:r>
    </w:p>
    <w:p w14:paraId="28EFFC39" w14:textId="3AA2909D" w:rsidR="001274B2" w:rsidRPr="00495AC2" w:rsidRDefault="001274B2" w:rsidP="007D6CC1">
      <w:pPr>
        <w:spacing w:line="276" w:lineRule="auto"/>
        <w:rPr>
          <w:bCs/>
        </w:rPr>
      </w:pPr>
      <w:r w:rsidRPr="00495AC2">
        <w:rPr>
          <w:bCs/>
        </w:rPr>
        <w:tab/>
        <w:t>City:</w:t>
      </w:r>
      <w:r w:rsidRPr="00495AC2">
        <w:rPr>
          <w:bCs/>
        </w:rPr>
        <w:tab/>
        <w:t>__</w:t>
      </w:r>
      <w:r w:rsidR="006E02B1" w:rsidRPr="008B067C">
        <w:rPr>
          <w:bCs/>
          <w:u w:val="single"/>
        </w:rPr>
        <w:t>Norwalk</w:t>
      </w:r>
      <w:r w:rsidRPr="008B067C">
        <w:rPr>
          <w:bCs/>
          <w:u w:val="single"/>
        </w:rPr>
        <w:t>____</w:t>
      </w:r>
      <w:proofErr w:type="gramStart"/>
      <w:r w:rsidRPr="008B067C">
        <w:rPr>
          <w:bCs/>
          <w:u w:val="single"/>
        </w:rPr>
        <w:t xml:space="preserve">_  </w:t>
      </w:r>
      <w:r w:rsidR="007D6CC1" w:rsidRPr="008B067C">
        <w:rPr>
          <w:bCs/>
          <w:u w:val="single"/>
        </w:rPr>
        <w:tab/>
      </w:r>
      <w:proofErr w:type="gramEnd"/>
      <w:r w:rsidR="007D6CC1" w:rsidRPr="00495AC2">
        <w:rPr>
          <w:bCs/>
        </w:rPr>
        <w:t xml:space="preserve"> </w:t>
      </w:r>
      <w:r w:rsidRPr="00495AC2">
        <w:rPr>
          <w:bCs/>
        </w:rPr>
        <w:t xml:space="preserve">State:   </w:t>
      </w:r>
      <w:r w:rsidRPr="008B067C">
        <w:rPr>
          <w:bCs/>
          <w:u w:val="single"/>
        </w:rPr>
        <w:t>__</w:t>
      </w:r>
      <w:r w:rsidR="006E02B1" w:rsidRPr="008B067C">
        <w:rPr>
          <w:bCs/>
          <w:u w:val="single"/>
        </w:rPr>
        <w:t>CT</w:t>
      </w:r>
      <w:r w:rsidRPr="00495AC2">
        <w:rPr>
          <w:bCs/>
        </w:rPr>
        <w:t>____________  Zip:  __</w:t>
      </w:r>
      <w:r w:rsidR="006E02B1" w:rsidRPr="008B067C">
        <w:rPr>
          <w:u w:val="single"/>
        </w:rPr>
        <w:t>06854</w:t>
      </w:r>
      <w:r w:rsidRPr="008B067C">
        <w:rPr>
          <w:bCs/>
          <w:u w:val="single"/>
        </w:rPr>
        <w:t>_</w:t>
      </w:r>
      <w:r w:rsidRPr="00495AC2">
        <w:rPr>
          <w:bCs/>
        </w:rPr>
        <w:t>___</w:t>
      </w:r>
      <w:r w:rsidR="00973375" w:rsidRPr="00495AC2">
        <w:rPr>
          <w:bCs/>
        </w:rPr>
        <w:t>_</w:t>
      </w:r>
    </w:p>
    <w:p w14:paraId="02EA2FC1" w14:textId="7073A73D" w:rsidR="001274B2" w:rsidRPr="00495AC2" w:rsidRDefault="001274B2" w:rsidP="007D6CC1">
      <w:pPr>
        <w:spacing w:line="276" w:lineRule="auto"/>
        <w:rPr>
          <w:bCs/>
        </w:rPr>
      </w:pPr>
      <w:r w:rsidRPr="00495AC2">
        <w:rPr>
          <w:bCs/>
        </w:rPr>
        <w:tab/>
        <w:t>Email:</w:t>
      </w:r>
      <w:r w:rsidRPr="00495AC2">
        <w:rPr>
          <w:bCs/>
        </w:rPr>
        <w:tab/>
      </w:r>
      <w:r w:rsidRPr="008B067C">
        <w:rPr>
          <w:bCs/>
          <w:u w:val="single"/>
        </w:rPr>
        <w:t>________</w:t>
      </w:r>
      <w:r w:rsidR="006E02B1" w:rsidRPr="008B067C">
        <w:rPr>
          <w:u w:val="single"/>
        </w:rPr>
        <w:t xml:space="preserve"> gayathri@swinter.com</w:t>
      </w:r>
      <w:r w:rsidR="006E02B1" w:rsidRPr="008B067C">
        <w:rPr>
          <w:bCs/>
          <w:u w:val="single"/>
        </w:rPr>
        <w:t xml:space="preserve"> </w:t>
      </w:r>
      <w:r w:rsidRPr="008B067C">
        <w:rPr>
          <w:bCs/>
          <w:u w:val="single"/>
        </w:rPr>
        <w:t>______________________________</w:t>
      </w:r>
    </w:p>
    <w:p w14:paraId="591A2E2C" w14:textId="77777777" w:rsidR="007D6CC1" w:rsidRPr="00495AC2" w:rsidRDefault="007D6CC1" w:rsidP="00330F8B">
      <w:pPr>
        <w:rPr>
          <w:b/>
        </w:rPr>
      </w:pPr>
    </w:p>
    <w:p w14:paraId="243EAD2A" w14:textId="73E7BD72" w:rsidR="009C2C76" w:rsidRPr="00495AC2" w:rsidRDefault="009C2C76" w:rsidP="00330F8B">
      <w:pPr>
        <w:rPr>
          <w:bCs/>
          <w:i/>
          <w:iCs/>
        </w:rPr>
      </w:pPr>
      <w:r w:rsidRPr="00495AC2">
        <w:rPr>
          <w:b/>
        </w:rPr>
        <w:t>Background Statement:</w:t>
      </w:r>
      <w:r w:rsidRPr="00495AC2">
        <w:rPr>
          <w:b/>
        </w:rPr>
        <w:tab/>
      </w:r>
      <w:r w:rsidR="00973375" w:rsidRPr="00495AC2">
        <w:rPr>
          <w:bCs/>
          <w:i/>
          <w:iCs/>
        </w:rPr>
        <w:t>P</w:t>
      </w:r>
      <w:r w:rsidRPr="00495AC2">
        <w:rPr>
          <w:bCs/>
          <w:i/>
          <w:iCs/>
        </w:rPr>
        <w:t>rovided by person requesting the interpretation</w:t>
      </w:r>
      <w:r w:rsidR="00973375" w:rsidRPr="00495AC2">
        <w:rPr>
          <w:bCs/>
          <w:i/>
          <w:iCs/>
        </w:rPr>
        <w:t>.</w:t>
      </w:r>
    </w:p>
    <w:p w14:paraId="6EE00F7F" w14:textId="77777777" w:rsidR="009C2C76" w:rsidRPr="00495AC2" w:rsidRDefault="009C2C76" w:rsidP="00330F8B">
      <w:pPr>
        <w:rPr>
          <w:bCs/>
        </w:rPr>
      </w:pPr>
    </w:p>
    <w:p w14:paraId="021E1DCA" w14:textId="77777777" w:rsidR="006E02B1" w:rsidRDefault="006E02B1" w:rsidP="006E02B1">
      <w:pPr>
        <w:pStyle w:val="Default"/>
        <w:ind w:left="720"/>
      </w:pPr>
      <w:r w:rsidRPr="00322319">
        <w:t>A</w:t>
      </w:r>
      <w:r>
        <w:t xml:space="preserve"> common practice is for solar PV installers to offer no-cost or low-cost solar PV installations and instead establish power purchase agreements or PPA’s with the building owner or homeowner, whereby they purchase the electricity generated by the solar panels. This occurs more often for existing homes than new construction homes, but can be typical of multifamily properties, both new and existing.</w:t>
      </w:r>
    </w:p>
    <w:p w14:paraId="58698993" w14:textId="77777777" w:rsidR="006E02B1" w:rsidRDefault="006E02B1" w:rsidP="006E02B1">
      <w:pPr>
        <w:pStyle w:val="Default"/>
        <w:ind w:left="720"/>
      </w:pPr>
    </w:p>
    <w:p w14:paraId="63CFB946" w14:textId="77777777" w:rsidR="006E02B1" w:rsidRDefault="006E02B1" w:rsidP="006E02B1">
      <w:pPr>
        <w:pStyle w:val="Default"/>
        <w:ind w:left="720"/>
      </w:pPr>
      <w:r>
        <w:t xml:space="preserve">A recent </w:t>
      </w:r>
      <w:hyperlink r:id="rId8" w:history="1">
        <w:r w:rsidRPr="000F631A">
          <w:rPr>
            <w:rStyle w:val="Hyperlink"/>
          </w:rPr>
          <w:t>Interpretation Request</w:t>
        </w:r>
      </w:hyperlink>
      <w:r>
        <w:t xml:space="preserve"> related to shared off-site chillers, stated that: “</w:t>
      </w:r>
      <w:r w:rsidRPr="00322319">
        <w:t xml:space="preserve">all </w:t>
      </w:r>
      <w:r w:rsidRPr="001E16AD">
        <w:rPr>
          <w:u w:val="single"/>
        </w:rPr>
        <w:t>Purchased Energy</w:t>
      </w:r>
      <w:r w:rsidRPr="00322319">
        <w:t xml:space="preserve"> used to serve the end use loads in a Rated Home must be accounted for when performing an Energy Rating</w:t>
      </w:r>
      <w:r>
        <w:t>.”</w:t>
      </w:r>
    </w:p>
    <w:p w14:paraId="3303A05A" w14:textId="77777777" w:rsidR="006E02B1" w:rsidRDefault="006E02B1" w:rsidP="006E02B1">
      <w:pPr>
        <w:pStyle w:val="Default"/>
        <w:ind w:left="720"/>
      </w:pPr>
    </w:p>
    <w:p w14:paraId="2D2B6215" w14:textId="77777777" w:rsidR="006E02B1" w:rsidRDefault="006E02B1" w:rsidP="006E02B1">
      <w:pPr>
        <w:pStyle w:val="Default"/>
        <w:ind w:left="720"/>
      </w:pPr>
      <w:r>
        <w:t>The definitions from ANSI/RESNET/ICC 301-2019 state the following:</w:t>
      </w:r>
    </w:p>
    <w:p w14:paraId="745E7ABF" w14:textId="77777777" w:rsidR="006E02B1" w:rsidRDefault="006E02B1" w:rsidP="006E02B1">
      <w:pPr>
        <w:pStyle w:val="Default"/>
        <w:ind w:left="720"/>
      </w:pPr>
    </w:p>
    <w:p w14:paraId="6797D749" w14:textId="77777777" w:rsidR="006E02B1" w:rsidRDefault="006E02B1" w:rsidP="006E02B1">
      <w:pPr>
        <w:pStyle w:val="Default"/>
        <w:ind w:left="720"/>
      </w:pPr>
      <w:r w:rsidRPr="001E16AD">
        <w:rPr>
          <w:b/>
          <w:bCs/>
          <w:i/>
          <w:iCs/>
        </w:rPr>
        <w:lastRenderedPageBreak/>
        <w:t>On-Site Power Production (OPP)</w:t>
      </w:r>
      <w:r>
        <w:t xml:space="preserve"> – Electric power produced on the site of a Rated Home.  OPP shall be the net electrical power production such that it equals the gross electrical power production minus any purchased fossil fuel energy used to produce the on-site power, converted to equivalent electric energy use at a 40-percent conversion efficiency in accordance with Equation 4.1-3 of this Standard.</w:t>
      </w:r>
    </w:p>
    <w:p w14:paraId="472B0CEC" w14:textId="77777777" w:rsidR="006E02B1" w:rsidRDefault="006E02B1" w:rsidP="006E02B1">
      <w:pPr>
        <w:pStyle w:val="Default"/>
        <w:ind w:left="720"/>
      </w:pPr>
    </w:p>
    <w:p w14:paraId="599B87CF" w14:textId="77777777" w:rsidR="006E02B1" w:rsidRDefault="006E02B1" w:rsidP="006E02B1">
      <w:pPr>
        <w:pStyle w:val="Default"/>
        <w:ind w:left="720"/>
      </w:pPr>
      <w:r w:rsidRPr="001E16AD">
        <w:rPr>
          <w:b/>
          <w:bCs/>
          <w:i/>
          <w:iCs/>
        </w:rPr>
        <w:t>Purchased Energy</w:t>
      </w:r>
      <w:r>
        <w:t xml:space="preserve"> – The portion of the total energy requirement of a home </w:t>
      </w:r>
      <w:r w:rsidRPr="000F631A">
        <w:rPr>
          <w:u w:val="single"/>
        </w:rPr>
        <w:t>purchased</w:t>
      </w:r>
      <w:r>
        <w:t xml:space="preserve"> from a utility </w:t>
      </w:r>
      <w:r w:rsidRPr="000F631A">
        <w:rPr>
          <w:u w:val="single"/>
        </w:rPr>
        <w:t>or other energy supplier</w:t>
      </w:r>
      <w:r>
        <w:t>.</w:t>
      </w:r>
    </w:p>
    <w:p w14:paraId="3EB5F461" w14:textId="77777777" w:rsidR="006E02B1" w:rsidRDefault="006E02B1" w:rsidP="006E02B1">
      <w:pPr>
        <w:pStyle w:val="Default"/>
        <w:ind w:left="720"/>
      </w:pPr>
    </w:p>
    <w:p w14:paraId="656D0175" w14:textId="77777777" w:rsidR="006E02B1" w:rsidRPr="00563F74" w:rsidRDefault="006E02B1" w:rsidP="006E02B1">
      <w:pPr>
        <w:spacing w:before="180"/>
        <w:ind w:left="720"/>
        <w:rPr>
          <w:bCs/>
          <w:iCs/>
          <w:u w:val="single"/>
        </w:rPr>
      </w:pPr>
      <w:r w:rsidRPr="00563F74">
        <w:rPr>
          <w:b/>
          <w:bCs/>
          <w:i/>
          <w:iCs/>
        </w:rPr>
        <w:t xml:space="preserve">Energy Rating – </w:t>
      </w:r>
      <w:r w:rsidRPr="00563F74">
        <w:t>An unbiased indication of a Dwelling Unit’s relative energy performance based on consistent inspection procedures, operating assumptions, climate data and calculation methods in accordance with this Standard.</w:t>
      </w:r>
    </w:p>
    <w:p w14:paraId="21DDC5A4" w14:textId="77777777" w:rsidR="006E02B1" w:rsidRDefault="006E02B1" w:rsidP="006E02B1">
      <w:pPr>
        <w:pStyle w:val="Default"/>
        <w:ind w:left="720"/>
      </w:pPr>
    </w:p>
    <w:p w14:paraId="53F3D9C7" w14:textId="77777777" w:rsidR="006E02B1" w:rsidRDefault="006E02B1" w:rsidP="006E02B1">
      <w:pPr>
        <w:pStyle w:val="Default"/>
        <w:ind w:left="720"/>
        <w:rPr>
          <w:iCs/>
        </w:rPr>
      </w:pPr>
      <w:r w:rsidRPr="00563F74">
        <w:rPr>
          <w:b/>
          <w:i/>
        </w:rPr>
        <w:t xml:space="preserve">Energy Rating Index (ERI) </w:t>
      </w:r>
      <w:r w:rsidRPr="00563F74">
        <w:t xml:space="preserve">– </w:t>
      </w:r>
      <w:r w:rsidRPr="00563F74">
        <w:rPr>
          <w:iCs/>
        </w:rPr>
        <w:t xml:space="preserve">A numerical integer value that represents the relative </w:t>
      </w:r>
      <w:r w:rsidRPr="00A82130">
        <w:rPr>
          <w:iCs/>
          <w:u w:val="single"/>
        </w:rPr>
        <w:t>energy use</w:t>
      </w:r>
      <w:r w:rsidRPr="00563F74">
        <w:rPr>
          <w:iCs/>
        </w:rPr>
        <w:t xml:space="preserve"> of a Rated Home as compared with the </w:t>
      </w:r>
      <w:r w:rsidRPr="00A82130">
        <w:rPr>
          <w:iCs/>
          <w:u w:val="single"/>
        </w:rPr>
        <w:t>energy use</w:t>
      </w:r>
      <w:r w:rsidRPr="00563F74">
        <w:rPr>
          <w:iCs/>
        </w:rPr>
        <w:t xml:space="preserve"> of the Energy Rating Reference Home and where an Index value of 100 represents the energy use of the Energy Rating Reference Home and an Index value of 0 (zero) represents </w:t>
      </w:r>
      <w:r w:rsidRPr="00A82130">
        <w:rPr>
          <w:iCs/>
          <w:u w:val="single"/>
        </w:rPr>
        <w:t>a home that uses zero net Purchased Energy annually</w:t>
      </w:r>
      <w:r>
        <w:rPr>
          <w:iCs/>
        </w:rPr>
        <w:t>.</w:t>
      </w:r>
    </w:p>
    <w:p w14:paraId="4CF67FC8" w14:textId="77777777" w:rsidR="006E02B1" w:rsidRDefault="006E02B1" w:rsidP="006E02B1">
      <w:pPr>
        <w:pStyle w:val="Default"/>
        <w:ind w:left="720"/>
      </w:pPr>
    </w:p>
    <w:p w14:paraId="2791095A" w14:textId="77777777" w:rsidR="006E02B1" w:rsidRDefault="006E02B1" w:rsidP="006E02B1">
      <w:pPr>
        <w:pStyle w:val="Default"/>
        <w:ind w:left="720"/>
      </w:pPr>
      <w:r>
        <w:t xml:space="preserve">The following interpretation is needed because the solar generated electricity purchased through a PPA meets the definition of both OPP </w:t>
      </w:r>
      <w:r w:rsidRPr="00A82130">
        <w:rPr>
          <w:u w:val="single"/>
        </w:rPr>
        <w:t>and</w:t>
      </w:r>
      <w:r>
        <w:t xml:space="preserve"> Purchased Energy, leading to an inconsistency when calculating the ERI, since the inherent assumption in the calculation below from ANSI 301-2019 is that OPP is </w:t>
      </w:r>
      <w:r w:rsidRPr="000F631A">
        <w:rPr>
          <w:b/>
          <w:bCs/>
          <w:u w:val="single"/>
        </w:rPr>
        <w:t>not</w:t>
      </w:r>
      <w:r>
        <w:t xml:space="preserve"> Purchased Energy.</w:t>
      </w:r>
    </w:p>
    <w:p w14:paraId="0220988B" w14:textId="77777777" w:rsidR="006E02B1" w:rsidRDefault="006E02B1" w:rsidP="006E02B1">
      <w:pPr>
        <w:pStyle w:val="Default"/>
        <w:ind w:left="720"/>
      </w:pPr>
    </w:p>
    <w:p w14:paraId="3788AD9E" w14:textId="77777777" w:rsidR="006E02B1" w:rsidRDefault="006E02B1" w:rsidP="006E02B1">
      <w:pPr>
        <w:ind w:left="720"/>
        <w:rPr>
          <w:rFonts w:ascii="Arial" w:hAnsi="Arial" w:cs="Arial"/>
          <w:i/>
          <w:iCs/>
          <w:sz w:val="20"/>
          <w:szCs w:val="20"/>
        </w:rPr>
      </w:pPr>
      <w:r>
        <w:rPr>
          <w:rFonts w:ascii="Arial" w:hAnsi="Arial" w:cs="Arial"/>
          <w:i/>
          <w:iCs/>
          <w:sz w:val="20"/>
          <w:szCs w:val="20"/>
        </w:rPr>
        <w:t xml:space="preserve">Energy Rating Index = </w:t>
      </w:r>
      <w:proofErr w:type="spellStart"/>
      <w:r>
        <w:rPr>
          <w:rFonts w:ascii="Arial" w:hAnsi="Arial" w:cs="Arial"/>
          <w:b/>
          <w:bCs/>
          <w:i/>
          <w:iCs/>
          <w:sz w:val="20"/>
          <w:szCs w:val="20"/>
          <w:u w:val="single"/>
        </w:rPr>
        <w:t>PEfrac</w:t>
      </w:r>
      <w:proofErr w:type="spellEnd"/>
      <w:r>
        <w:rPr>
          <w:rFonts w:ascii="Arial" w:hAnsi="Arial" w:cs="Arial"/>
          <w:i/>
          <w:iCs/>
          <w:sz w:val="20"/>
          <w:szCs w:val="20"/>
        </w:rPr>
        <w:t xml:space="preserve"> * [</w:t>
      </w:r>
      <w:proofErr w:type="spellStart"/>
      <w:r>
        <w:rPr>
          <w:rFonts w:ascii="Arial" w:hAnsi="Arial" w:cs="Arial"/>
          <w:i/>
          <w:iCs/>
          <w:sz w:val="20"/>
          <w:szCs w:val="20"/>
        </w:rPr>
        <w:t>TnML</w:t>
      </w:r>
      <w:proofErr w:type="spellEnd"/>
      <w:r>
        <w:rPr>
          <w:rFonts w:ascii="Arial" w:hAnsi="Arial" w:cs="Arial"/>
          <w:i/>
          <w:iCs/>
          <w:sz w:val="20"/>
          <w:szCs w:val="20"/>
        </w:rPr>
        <w:t xml:space="preserve"> / (TRL* IAF</w:t>
      </w:r>
      <w:r>
        <w:rPr>
          <w:rFonts w:ascii="Arial" w:hAnsi="Arial" w:cs="Arial"/>
          <w:i/>
          <w:iCs/>
          <w:sz w:val="20"/>
          <w:szCs w:val="20"/>
          <w:vertAlign w:val="subscript"/>
        </w:rPr>
        <w:t>RH</w:t>
      </w:r>
      <w:r>
        <w:rPr>
          <w:rFonts w:ascii="Arial" w:hAnsi="Arial" w:cs="Arial"/>
          <w:i/>
          <w:iCs/>
          <w:sz w:val="20"/>
          <w:szCs w:val="20"/>
        </w:rPr>
        <w:t>)] * 100</w:t>
      </w:r>
    </w:p>
    <w:p w14:paraId="117944D2" w14:textId="77777777" w:rsidR="006E02B1" w:rsidRDefault="006E02B1" w:rsidP="006E02B1">
      <w:pPr>
        <w:ind w:left="720"/>
        <w:rPr>
          <w:rFonts w:ascii="Arial" w:hAnsi="Arial" w:cs="Arial"/>
          <w:i/>
          <w:iCs/>
          <w:sz w:val="20"/>
          <w:szCs w:val="20"/>
        </w:rPr>
      </w:pPr>
    </w:p>
    <w:p w14:paraId="7451DC2A" w14:textId="77777777" w:rsidR="006E02B1" w:rsidRDefault="006E02B1" w:rsidP="006E02B1">
      <w:pPr>
        <w:pStyle w:val="equals"/>
        <w:ind w:left="3960"/>
        <w:rPr>
          <w:rFonts w:ascii="Arial" w:hAnsi="Arial" w:cs="Arial"/>
          <w:i/>
          <w:iCs/>
        </w:rPr>
      </w:pPr>
      <w:proofErr w:type="spellStart"/>
      <w:r>
        <w:rPr>
          <w:rFonts w:ascii="Arial" w:hAnsi="Arial" w:cs="Arial"/>
          <w:i/>
          <w:iCs/>
        </w:rPr>
        <w:t>PEfrac</w:t>
      </w:r>
      <w:proofErr w:type="spellEnd"/>
      <w:r>
        <w:rPr>
          <w:rFonts w:ascii="Arial" w:hAnsi="Arial" w:cs="Arial"/>
          <w:i/>
          <w:iCs/>
        </w:rPr>
        <w:t>        = (TEU - OPP) / TEU</w:t>
      </w:r>
    </w:p>
    <w:p w14:paraId="03783A16" w14:textId="77777777" w:rsidR="006E02B1" w:rsidRDefault="006E02B1" w:rsidP="006E02B1">
      <w:pPr>
        <w:pStyle w:val="equals"/>
        <w:ind w:left="3960"/>
        <w:rPr>
          <w:rFonts w:ascii="Arial" w:hAnsi="Arial" w:cs="Arial"/>
          <w:i/>
          <w:iCs/>
        </w:rPr>
      </w:pPr>
      <w:r>
        <w:rPr>
          <w:rFonts w:ascii="Arial" w:hAnsi="Arial" w:cs="Arial"/>
          <w:i/>
          <w:iCs/>
        </w:rPr>
        <w:t xml:space="preserve">TEU           = Total </w:t>
      </w:r>
      <w:r>
        <w:rPr>
          <w:rFonts w:ascii="Arial" w:hAnsi="Arial" w:cs="Arial"/>
          <w:b/>
          <w:bCs/>
          <w:i/>
          <w:iCs/>
          <w:u w:val="single"/>
        </w:rPr>
        <w:t>energy use</w:t>
      </w:r>
      <w:r>
        <w:rPr>
          <w:rFonts w:ascii="Arial" w:hAnsi="Arial" w:cs="Arial"/>
          <w:i/>
          <w:iCs/>
        </w:rPr>
        <w:t xml:space="preserve"> of the Rated Home including all rated and nonrated energy features where all fossil fuel site energy uses (</w:t>
      </w:r>
      <w:proofErr w:type="spellStart"/>
      <w:r>
        <w:rPr>
          <w:rFonts w:ascii="Arial" w:hAnsi="Arial" w:cs="Arial"/>
          <w:i/>
          <w:iCs/>
        </w:rPr>
        <w:t>Btu</w:t>
      </w:r>
      <w:r>
        <w:rPr>
          <w:rFonts w:ascii="Arial" w:hAnsi="Arial" w:cs="Arial"/>
          <w:i/>
          <w:iCs/>
          <w:vertAlign w:val="subscript"/>
        </w:rPr>
        <w:t>fossil</w:t>
      </w:r>
      <w:proofErr w:type="spellEnd"/>
      <w:r>
        <w:rPr>
          <w:rFonts w:ascii="Arial" w:hAnsi="Arial" w:cs="Arial"/>
          <w:i/>
          <w:iCs/>
        </w:rPr>
        <w:t>) are converted to equivalent electric energy use (</w:t>
      </w:r>
      <w:proofErr w:type="spellStart"/>
      <w:r>
        <w:rPr>
          <w:rFonts w:ascii="Arial" w:hAnsi="Arial" w:cs="Arial"/>
          <w:i/>
          <w:iCs/>
        </w:rPr>
        <w:t>kWh</w:t>
      </w:r>
      <w:r>
        <w:rPr>
          <w:rFonts w:ascii="Arial" w:hAnsi="Arial" w:cs="Arial"/>
          <w:i/>
          <w:iCs/>
          <w:vertAlign w:val="subscript"/>
        </w:rPr>
        <w:t>eq</w:t>
      </w:r>
      <w:proofErr w:type="spellEnd"/>
      <w:r>
        <w:rPr>
          <w:rFonts w:ascii="Arial" w:hAnsi="Arial" w:cs="Arial"/>
          <w:i/>
          <w:iCs/>
        </w:rPr>
        <w:t>) in accordance with Equation 4.1-3.</w:t>
      </w:r>
    </w:p>
    <w:p w14:paraId="3659172A" w14:textId="77777777" w:rsidR="006E02B1" w:rsidRDefault="006E02B1" w:rsidP="006E02B1">
      <w:pPr>
        <w:pStyle w:val="equals"/>
        <w:ind w:left="3960"/>
        <w:rPr>
          <w:rFonts w:ascii="Arial" w:hAnsi="Arial" w:cs="Arial"/>
          <w:i/>
          <w:iCs/>
        </w:rPr>
      </w:pPr>
      <w:r>
        <w:rPr>
          <w:rFonts w:ascii="Arial" w:hAnsi="Arial" w:cs="Arial"/>
          <w:i/>
          <w:iCs/>
        </w:rPr>
        <w:t>OPP           = On-Site Power Production as defined by Section 4.2.2.6 of this Standard.</w:t>
      </w:r>
    </w:p>
    <w:p w14:paraId="12DA7071" w14:textId="77777777" w:rsidR="006E02B1" w:rsidRDefault="006E02B1" w:rsidP="006E02B1">
      <w:pPr>
        <w:pStyle w:val="Default"/>
        <w:ind w:left="720"/>
      </w:pPr>
    </w:p>
    <w:p w14:paraId="61184BC8" w14:textId="77777777" w:rsidR="006E02B1" w:rsidRDefault="006E02B1" w:rsidP="006E02B1">
      <w:pPr>
        <w:pStyle w:val="Default"/>
        <w:ind w:left="720"/>
      </w:pPr>
      <w:r>
        <w:t xml:space="preserve">Related to this topic, the RESNET Board of Directors in 2015 issued a policy which stated: “It shall be the policy of </w:t>
      </w:r>
      <w:r w:rsidRPr="006F27B0">
        <w:rPr>
          <w:u w:val="single"/>
        </w:rPr>
        <w:t>RESNET</w:t>
      </w:r>
      <w:r>
        <w:t xml:space="preserve"> that the net power production of on-site power production shall be considered non-purchased energy regardless of the ownership of the on-site power production system.” However, that was developed in specific response to PV systems that are </w:t>
      </w:r>
      <w:r w:rsidRPr="00A82130">
        <w:rPr>
          <w:u w:val="single"/>
        </w:rPr>
        <w:t>leased</w:t>
      </w:r>
      <w:r>
        <w:t xml:space="preserve">, which is different than a PPA. In 2018, the RESNET Board revisited this policy </w:t>
      </w:r>
      <w:proofErr w:type="gramStart"/>
      <w:r>
        <w:t>with regard to</w:t>
      </w:r>
      <w:proofErr w:type="gramEnd"/>
      <w:r>
        <w:t xml:space="preserve"> RECS, and again upheld the policy.</w:t>
      </w:r>
    </w:p>
    <w:p w14:paraId="7C20225A" w14:textId="77777777" w:rsidR="006E02B1" w:rsidRDefault="006E02B1" w:rsidP="006E02B1">
      <w:pPr>
        <w:pStyle w:val="Default"/>
        <w:ind w:left="720"/>
      </w:pPr>
    </w:p>
    <w:p w14:paraId="77D2C9B5" w14:textId="77777777" w:rsidR="006E02B1" w:rsidRDefault="006E02B1" w:rsidP="006E02B1">
      <w:pPr>
        <w:pStyle w:val="Default"/>
        <w:ind w:left="720"/>
      </w:pPr>
      <w:r>
        <w:lastRenderedPageBreak/>
        <w:t>This interpretation seeks clarity specifically regarding PPA’s, since they were not a consideration when developing the initial policy and it is not clear if the RESNET Board policy is only limited to HERS Ratings, since the policy language is not part of ANSI/RESNET/ICC 301.</w:t>
      </w:r>
    </w:p>
    <w:p w14:paraId="14BE1F8B" w14:textId="77777777" w:rsidR="001745C4" w:rsidRPr="00495AC2" w:rsidRDefault="001745C4" w:rsidP="007F3FCF">
      <w:pPr>
        <w:ind w:left="720"/>
        <w:rPr>
          <w:bCs/>
        </w:rPr>
      </w:pPr>
    </w:p>
    <w:p w14:paraId="6410F561" w14:textId="0437C928" w:rsidR="009D2BAB" w:rsidRPr="00495AC2" w:rsidRDefault="009C2C76" w:rsidP="00330F8B">
      <w:pPr>
        <w:rPr>
          <w:bCs/>
          <w:i/>
          <w:iCs/>
        </w:rPr>
      </w:pPr>
      <w:r w:rsidRPr="00495AC2">
        <w:rPr>
          <w:b/>
        </w:rPr>
        <w:t>Proposed Interpretation:</w:t>
      </w:r>
      <w:r w:rsidRPr="00495AC2">
        <w:rPr>
          <w:bCs/>
        </w:rPr>
        <w:tab/>
      </w:r>
      <w:r w:rsidR="00973375" w:rsidRPr="00495AC2">
        <w:rPr>
          <w:bCs/>
          <w:i/>
          <w:iCs/>
        </w:rPr>
        <w:t>P</w:t>
      </w:r>
      <w:r w:rsidRPr="00495AC2">
        <w:rPr>
          <w:bCs/>
          <w:i/>
          <w:iCs/>
        </w:rPr>
        <w:t xml:space="preserve">rovided by person requesting the </w:t>
      </w:r>
      <w:r w:rsidR="00973375" w:rsidRPr="00495AC2">
        <w:rPr>
          <w:bCs/>
          <w:i/>
          <w:iCs/>
        </w:rPr>
        <w:t>interpretation.</w:t>
      </w:r>
    </w:p>
    <w:p w14:paraId="5E626DBB" w14:textId="011881FE" w:rsidR="009C2C76" w:rsidRPr="00495AC2" w:rsidRDefault="009C2C76" w:rsidP="00330F8B">
      <w:pPr>
        <w:rPr>
          <w:bCs/>
          <w:i/>
          <w:iCs/>
        </w:rPr>
      </w:pPr>
    </w:p>
    <w:p w14:paraId="0AADD37F" w14:textId="77777777" w:rsidR="006E02B1" w:rsidRDefault="006E02B1" w:rsidP="006E02B1">
      <w:pPr>
        <w:ind w:left="720"/>
      </w:pPr>
      <w:r>
        <w:t>While On-Site Power Production (OPP) may not have initially been considered Purchased Energy, where it is “purchased” from a supplier, such as through a Power Purchase Agreement (PPA), it is no longer considered “OPP” for the purpose of calculating an ERI.</w:t>
      </w:r>
    </w:p>
    <w:p w14:paraId="449352A6" w14:textId="136E9405" w:rsidR="009C2C76" w:rsidRDefault="009C2C76" w:rsidP="006E02B1"/>
    <w:p w14:paraId="068747B9" w14:textId="77777777" w:rsidR="007F3FCF" w:rsidRDefault="007F3FCF" w:rsidP="00330F8B">
      <w:pPr>
        <w:rPr>
          <w:iCs/>
        </w:rPr>
      </w:pPr>
    </w:p>
    <w:p w14:paraId="5C6FBBE7" w14:textId="040665F4" w:rsidR="009C2C76" w:rsidRDefault="009C2C76" w:rsidP="00330F8B">
      <w:pPr>
        <w:rPr>
          <w:iCs/>
        </w:rPr>
      </w:pPr>
    </w:p>
    <w:p w14:paraId="1EFD1994" w14:textId="6248AB64" w:rsidR="009C2C76" w:rsidRPr="009B335B" w:rsidRDefault="009C2C76" w:rsidP="00330F8B">
      <w:pPr>
        <w:rPr>
          <w:b/>
          <w:bCs/>
          <w:iCs/>
        </w:rPr>
      </w:pPr>
      <w:r w:rsidRPr="009B335B">
        <w:rPr>
          <w:b/>
          <w:bCs/>
          <w:iCs/>
        </w:rPr>
        <w:t>SDC Response:</w:t>
      </w:r>
    </w:p>
    <w:p w14:paraId="18E40F78" w14:textId="003236E7" w:rsidR="009C2C76" w:rsidRPr="009B335B" w:rsidRDefault="009C2C76" w:rsidP="00330F8B">
      <w:pPr>
        <w:rPr>
          <w:b/>
          <w:bCs/>
          <w:iCs/>
        </w:rPr>
      </w:pPr>
    </w:p>
    <w:p w14:paraId="2170FA43" w14:textId="38FBEB63" w:rsidR="009C2C76" w:rsidRPr="009B335B" w:rsidRDefault="009C2C76" w:rsidP="00330F8B">
      <w:pPr>
        <w:rPr>
          <w:iCs/>
        </w:rPr>
      </w:pPr>
      <w:r w:rsidRPr="009B335B">
        <w:rPr>
          <w:iCs/>
        </w:rPr>
        <w:t>Is the proposed interpretation correct?</w:t>
      </w:r>
      <w:r w:rsidRPr="009B335B">
        <w:rPr>
          <w:iCs/>
        </w:rPr>
        <w:tab/>
        <w:t>_____ Yes</w:t>
      </w:r>
      <w:r w:rsidRPr="009B335B">
        <w:rPr>
          <w:iCs/>
        </w:rPr>
        <w:tab/>
        <w:t>___</w:t>
      </w:r>
      <w:r w:rsidR="009904A1" w:rsidRPr="008B067C">
        <w:rPr>
          <w:iCs/>
          <w:u w:val="single"/>
        </w:rPr>
        <w:t>X</w:t>
      </w:r>
      <w:r w:rsidRPr="009B335B">
        <w:rPr>
          <w:iCs/>
        </w:rPr>
        <w:t>__ No</w:t>
      </w:r>
    </w:p>
    <w:p w14:paraId="71906A5E" w14:textId="77777777" w:rsidR="00037065" w:rsidRPr="009B335B" w:rsidRDefault="00037065" w:rsidP="00330F8B">
      <w:pPr>
        <w:rPr>
          <w:iCs/>
        </w:rPr>
      </w:pPr>
    </w:p>
    <w:p w14:paraId="4AE6A176" w14:textId="3381FDB9" w:rsidR="00037065" w:rsidRDefault="009F3585" w:rsidP="00330F8B">
      <w:pPr>
        <w:rPr>
          <w:b/>
          <w:bCs/>
          <w:iCs/>
        </w:rPr>
      </w:pPr>
      <w:r w:rsidRPr="009B335B">
        <w:rPr>
          <w:b/>
          <w:bCs/>
          <w:iCs/>
        </w:rPr>
        <w:t>SDC Comments</w:t>
      </w:r>
      <w:r w:rsidR="00973375" w:rsidRPr="009B335B">
        <w:rPr>
          <w:b/>
          <w:bCs/>
          <w:iCs/>
        </w:rPr>
        <w:t>:</w:t>
      </w:r>
    </w:p>
    <w:p w14:paraId="1CEF63FF" w14:textId="26DBF38C" w:rsidR="009904A1" w:rsidRDefault="009904A1" w:rsidP="00330F8B">
      <w:pPr>
        <w:rPr>
          <w:b/>
          <w:bCs/>
          <w:iCs/>
        </w:rPr>
      </w:pPr>
    </w:p>
    <w:p w14:paraId="16E9F235" w14:textId="77777777" w:rsidR="009904A1" w:rsidRPr="009904A1" w:rsidRDefault="009904A1" w:rsidP="009904A1">
      <w:pPr>
        <w:ind w:right="-360"/>
        <w:rPr>
          <w:bCs/>
        </w:rPr>
      </w:pPr>
      <w:r w:rsidRPr="009904A1">
        <w:rPr>
          <w:bCs/>
        </w:rPr>
        <w:t>The Energy Rating Index is intended to be an asset rating that evaluates the assets of the building. If there is an On-Site Power Production (OPP) system, it is a building asset. The OPP should be considered by the rating regardless of whether it is “purchased” from a supplier, such as through a Power Purchase Agreement (PPA).</w:t>
      </w:r>
    </w:p>
    <w:p w14:paraId="5F1B0764" w14:textId="77777777" w:rsidR="009904A1" w:rsidRPr="009904A1" w:rsidRDefault="009904A1" w:rsidP="00330F8B">
      <w:pPr>
        <w:rPr>
          <w:bCs/>
          <w:iCs/>
        </w:rPr>
      </w:pPr>
    </w:p>
    <w:sectPr w:rsidR="009904A1" w:rsidRPr="009904A1" w:rsidSect="00C36402">
      <w:headerReference w:type="even" r:id="rId9"/>
      <w:headerReference w:type="default" r:id="rId10"/>
      <w:footerReference w:type="even" r:id="rId11"/>
      <w:footerReference w:type="default" r:id="rId12"/>
      <w:headerReference w:type="first" r:id="rId13"/>
      <w:footerReference w:type="first" r:id="rId14"/>
      <w:pgSz w:w="12240" w:h="15840"/>
      <w:pgMar w:top="3168" w:right="1440" w:bottom="1440" w:left="1440" w:header="1077"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B7FBF" w14:textId="77777777" w:rsidR="00F5020A" w:rsidRDefault="00F5020A" w:rsidP="00B840E0">
      <w:r>
        <w:separator/>
      </w:r>
    </w:p>
  </w:endnote>
  <w:endnote w:type="continuationSeparator" w:id="0">
    <w:p w14:paraId="03E8C200" w14:textId="77777777" w:rsidR="00F5020A" w:rsidRDefault="00F5020A" w:rsidP="00B84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8" w14:textId="77777777" w:rsidR="007F6194" w:rsidRDefault="007F6194" w:rsidP="00B72A71">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9" w14:textId="2E593F55" w:rsidR="007F6194" w:rsidRPr="007F6194" w:rsidRDefault="00F84316" w:rsidP="007F6194">
    <w:pPr>
      <w:pStyle w:val="Footer"/>
      <w:jc w:val="center"/>
    </w:pPr>
    <w:r>
      <w:rPr>
        <w:noProof/>
      </w:rPr>
      <w:drawing>
        <wp:inline distT="0" distB="0" distL="0" distR="0" wp14:anchorId="1324A4CD" wp14:editId="56379B9A">
          <wp:extent cx="4087495" cy="819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87495" cy="8191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B" w14:textId="77777777" w:rsidR="00F77494" w:rsidRDefault="00F774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8CB304" w14:textId="77777777" w:rsidR="00F5020A" w:rsidRDefault="00F5020A" w:rsidP="00B840E0">
      <w:r>
        <w:separator/>
      </w:r>
    </w:p>
  </w:footnote>
  <w:footnote w:type="continuationSeparator" w:id="0">
    <w:p w14:paraId="187837CC" w14:textId="77777777" w:rsidR="00F5020A" w:rsidRDefault="00F5020A" w:rsidP="00B84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5" w14:textId="77777777" w:rsidR="007F6194" w:rsidRDefault="007F6194" w:rsidP="00B840E0">
    <w:pPr>
      <w:pStyle w:val="Header"/>
    </w:pPr>
    <w:r>
      <w:t>[Type text]</w:t>
    </w:r>
    <w:r>
      <w:tab/>
      <w:t>[Type text]</w:t>
    </w:r>
    <w:r>
      <w:tab/>
      <w:t>[Type text]</w:t>
    </w:r>
  </w:p>
  <w:p w14:paraId="1324A4C6" w14:textId="77777777" w:rsidR="007F6194" w:rsidRDefault="007F6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7" w14:textId="45CFB9FB" w:rsidR="007F6194" w:rsidRPr="007F6194" w:rsidRDefault="00F84316" w:rsidP="00B448AB">
    <w:pPr>
      <w:pStyle w:val="Header"/>
      <w:jc w:val="center"/>
    </w:pPr>
    <w:r>
      <w:rPr>
        <w:noProof/>
      </w:rPr>
      <w:drawing>
        <wp:anchor distT="0" distB="0" distL="114300" distR="114300" simplePos="0" relativeHeight="251657728" behindDoc="1" locked="0" layoutInCell="1" allowOverlap="1" wp14:anchorId="1324A4CC" wp14:editId="15A06858">
          <wp:simplePos x="0" y="0"/>
          <wp:positionH relativeFrom="column">
            <wp:posOffset>-228600</wp:posOffset>
          </wp:positionH>
          <wp:positionV relativeFrom="paragraph">
            <wp:posOffset>-23495</wp:posOffset>
          </wp:positionV>
          <wp:extent cx="6400800" cy="7251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2517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4A4CA" w14:textId="77777777" w:rsidR="00F77494" w:rsidRDefault="00F774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D2B"/>
    <w:multiLevelType w:val="hybridMultilevel"/>
    <w:tmpl w:val="752CB1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46AAF"/>
    <w:multiLevelType w:val="hybridMultilevel"/>
    <w:tmpl w:val="2354A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197D84"/>
    <w:multiLevelType w:val="hybridMultilevel"/>
    <w:tmpl w:val="A0905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494"/>
    <w:rsid w:val="000042F7"/>
    <w:rsid w:val="00014A79"/>
    <w:rsid w:val="00037065"/>
    <w:rsid w:val="00047EC0"/>
    <w:rsid w:val="000D7046"/>
    <w:rsid w:val="000E4646"/>
    <w:rsid w:val="001274B2"/>
    <w:rsid w:val="001745C4"/>
    <w:rsid w:val="00186CB5"/>
    <w:rsid w:val="001E27CF"/>
    <w:rsid w:val="00210F0F"/>
    <w:rsid w:val="00220EBB"/>
    <w:rsid w:val="0023054D"/>
    <w:rsid w:val="002A02F8"/>
    <w:rsid w:val="002A759B"/>
    <w:rsid w:val="00330F8B"/>
    <w:rsid w:val="00360E54"/>
    <w:rsid w:val="00382CC1"/>
    <w:rsid w:val="00386EA6"/>
    <w:rsid w:val="00463682"/>
    <w:rsid w:val="00480CC6"/>
    <w:rsid w:val="00495AC2"/>
    <w:rsid w:val="004A6140"/>
    <w:rsid w:val="00503911"/>
    <w:rsid w:val="00590B21"/>
    <w:rsid w:val="005F54D3"/>
    <w:rsid w:val="00621616"/>
    <w:rsid w:val="006410D1"/>
    <w:rsid w:val="006E02B1"/>
    <w:rsid w:val="006E77A5"/>
    <w:rsid w:val="00746C5A"/>
    <w:rsid w:val="007810A9"/>
    <w:rsid w:val="0079219A"/>
    <w:rsid w:val="00796B76"/>
    <w:rsid w:val="007D6CC1"/>
    <w:rsid w:val="007F3FCF"/>
    <w:rsid w:val="007F6194"/>
    <w:rsid w:val="00803C35"/>
    <w:rsid w:val="008701BE"/>
    <w:rsid w:val="00877AB6"/>
    <w:rsid w:val="00887AC8"/>
    <w:rsid w:val="008B067C"/>
    <w:rsid w:val="008D0B09"/>
    <w:rsid w:val="00935F3C"/>
    <w:rsid w:val="00973375"/>
    <w:rsid w:val="00974381"/>
    <w:rsid w:val="009904A1"/>
    <w:rsid w:val="00994D3D"/>
    <w:rsid w:val="009A1310"/>
    <w:rsid w:val="009B335B"/>
    <w:rsid w:val="009C2C76"/>
    <w:rsid w:val="009D2BAB"/>
    <w:rsid w:val="009F3585"/>
    <w:rsid w:val="00A94586"/>
    <w:rsid w:val="00AC6CEB"/>
    <w:rsid w:val="00B448AB"/>
    <w:rsid w:val="00B72A71"/>
    <w:rsid w:val="00B840E0"/>
    <w:rsid w:val="00B85876"/>
    <w:rsid w:val="00B90DA9"/>
    <w:rsid w:val="00BE430D"/>
    <w:rsid w:val="00C36402"/>
    <w:rsid w:val="00C371B8"/>
    <w:rsid w:val="00C66D21"/>
    <w:rsid w:val="00CE5B7D"/>
    <w:rsid w:val="00D87E1D"/>
    <w:rsid w:val="00D92327"/>
    <w:rsid w:val="00D95366"/>
    <w:rsid w:val="00EB322C"/>
    <w:rsid w:val="00EB5233"/>
    <w:rsid w:val="00EF2E2A"/>
    <w:rsid w:val="00F23AB4"/>
    <w:rsid w:val="00F46E82"/>
    <w:rsid w:val="00F5020A"/>
    <w:rsid w:val="00F77494"/>
    <w:rsid w:val="00F84316"/>
    <w:rsid w:val="00F86111"/>
    <w:rsid w:val="00FD7162"/>
    <w:rsid w:val="00FF088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24A4C0"/>
  <w15:docId w15:val="{84974D91-1EBD-452D-974E-BFF509B57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4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0E0"/>
    <w:pPr>
      <w:tabs>
        <w:tab w:val="center" w:pos="4320"/>
        <w:tab w:val="right" w:pos="8640"/>
      </w:tabs>
    </w:pPr>
  </w:style>
  <w:style w:type="character" w:customStyle="1" w:styleId="HeaderChar">
    <w:name w:val="Header Char"/>
    <w:link w:val="Header"/>
    <w:uiPriority w:val="99"/>
    <w:rsid w:val="00B840E0"/>
    <w:rPr>
      <w:sz w:val="24"/>
      <w:szCs w:val="24"/>
    </w:rPr>
  </w:style>
  <w:style w:type="paragraph" w:styleId="Footer">
    <w:name w:val="footer"/>
    <w:basedOn w:val="Normal"/>
    <w:link w:val="FooterChar"/>
    <w:uiPriority w:val="99"/>
    <w:unhideWhenUsed/>
    <w:rsid w:val="00B840E0"/>
    <w:pPr>
      <w:tabs>
        <w:tab w:val="center" w:pos="4320"/>
        <w:tab w:val="right" w:pos="8640"/>
      </w:tabs>
    </w:pPr>
  </w:style>
  <w:style w:type="character" w:customStyle="1" w:styleId="FooterChar">
    <w:name w:val="Footer Char"/>
    <w:link w:val="Footer"/>
    <w:uiPriority w:val="99"/>
    <w:rsid w:val="00B840E0"/>
    <w:rPr>
      <w:sz w:val="24"/>
      <w:szCs w:val="24"/>
    </w:rPr>
  </w:style>
  <w:style w:type="paragraph" w:styleId="ListParagraph">
    <w:name w:val="List Paragraph"/>
    <w:basedOn w:val="Normal"/>
    <w:uiPriority w:val="34"/>
    <w:qFormat/>
    <w:rsid w:val="00F77494"/>
    <w:pPr>
      <w:ind w:left="720"/>
      <w:contextualSpacing/>
    </w:pPr>
  </w:style>
  <w:style w:type="character" w:styleId="Hyperlink">
    <w:name w:val="Hyperlink"/>
    <w:uiPriority w:val="99"/>
    <w:unhideWhenUsed/>
    <w:rsid w:val="00F77494"/>
    <w:rPr>
      <w:color w:val="0000FF"/>
      <w:u w:val="single"/>
    </w:rPr>
  </w:style>
  <w:style w:type="paragraph" w:styleId="PlainText">
    <w:name w:val="Plain Text"/>
    <w:basedOn w:val="Normal"/>
    <w:link w:val="PlainTextChar"/>
    <w:uiPriority w:val="99"/>
    <w:unhideWhenUsed/>
    <w:rsid w:val="007810A9"/>
    <w:rPr>
      <w:rFonts w:ascii="Calibri" w:eastAsia="Calibri" w:hAnsi="Calibri" w:cs="Consolas"/>
      <w:sz w:val="22"/>
      <w:szCs w:val="21"/>
    </w:rPr>
  </w:style>
  <w:style w:type="character" w:customStyle="1" w:styleId="PlainTextChar">
    <w:name w:val="Plain Text Char"/>
    <w:link w:val="PlainText"/>
    <w:uiPriority w:val="99"/>
    <w:rsid w:val="007810A9"/>
    <w:rPr>
      <w:rFonts w:ascii="Calibri" w:eastAsia="Calibri" w:hAnsi="Calibri" w:cs="Consolas"/>
      <w:sz w:val="22"/>
      <w:szCs w:val="21"/>
    </w:rPr>
  </w:style>
  <w:style w:type="paragraph" w:customStyle="1" w:styleId="Default">
    <w:name w:val="Default"/>
    <w:rsid w:val="006E02B1"/>
    <w:pPr>
      <w:autoSpaceDE w:val="0"/>
      <w:autoSpaceDN w:val="0"/>
      <w:adjustRightInd w:val="0"/>
    </w:pPr>
    <w:rPr>
      <w:rFonts w:ascii="Times New Roman" w:eastAsia="Times New Roman" w:hAnsi="Times New Roman"/>
      <w:color w:val="000000"/>
      <w:sz w:val="24"/>
      <w:szCs w:val="24"/>
    </w:rPr>
  </w:style>
  <w:style w:type="character" w:customStyle="1" w:styleId="equalsChar">
    <w:name w:val="equals Char"/>
    <w:basedOn w:val="DefaultParagraphFont"/>
    <w:link w:val="equals"/>
    <w:locked/>
    <w:rsid w:val="006E02B1"/>
    <w:rPr>
      <w:rFonts w:ascii="Times New Roman" w:hAnsi="Times New Roman"/>
    </w:rPr>
  </w:style>
  <w:style w:type="paragraph" w:customStyle="1" w:styleId="equals">
    <w:name w:val="equals"/>
    <w:basedOn w:val="Normal"/>
    <w:link w:val="equalsChar"/>
    <w:rsid w:val="006E02B1"/>
    <w:pPr>
      <w:ind w:left="3240" w:hanging="1224"/>
    </w:pPr>
    <w:rPr>
      <w:rFonts w:eastAsia="MS Minch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7797175">
      <w:bodyDiv w:val="1"/>
      <w:marLeft w:val="0"/>
      <w:marRight w:val="0"/>
      <w:marTop w:val="0"/>
      <w:marBottom w:val="0"/>
      <w:divBdr>
        <w:top w:val="none" w:sz="0" w:space="0" w:color="auto"/>
        <w:left w:val="none" w:sz="0" w:space="0" w:color="auto"/>
        <w:bottom w:val="none" w:sz="0" w:space="0" w:color="auto"/>
        <w:right w:val="none" w:sz="0" w:space="0" w:color="auto"/>
      </w:divBdr>
    </w:div>
    <w:div w:id="664019002">
      <w:bodyDiv w:val="1"/>
      <w:marLeft w:val="0"/>
      <w:marRight w:val="0"/>
      <w:marTop w:val="0"/>
      <w:marBottom w:val="0"/>
      <w:divBdr>
        <w:top w:val="none" w:sz="0" w:space="0" w:color="auto"/>
        <w:left w:val="none" w:sz="0" w:space="0" w:color="auto"/>
        <w:bottom w:val="none" w:sz="0" w:space="0" w:color="auto"/>
        <w:right w:val="none" w:sz="0" w:space="0" w:color="auto"/>
      </w:divBdr>
    </w:div>
    <w:div w:id="1848012909">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www.resnet.us/wp-content/uploads/No.-301-2014-017-Off-Site-Chiller.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el\Documents\RESNET\New%20RESNET%20Logo\RESNET_Letterhead_temp_Fin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89ABB-B213-4C55-AF41-33E9D6DF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RESNET_Letterhead_temp_Final</Template>
  <TotalTime>2</TotalTime>
  <Pages>3</Pages>
  <Words>764</Words>
  <Characters>4360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Fourth Demension</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Laurel</dc:creator>
  <cp:lastModifiedBy>Richard Dixon</cp:lastModifiedBy>
  <cp:revision>4</cp:revision>
  <cp:lastPrinted>2012-05-15T20:51:00Z</cp:lastPrinted>
  <dcterms:created xsi:type="dcterms:W3CDTF">2020-05-24T21:18:00Z</dcterms:created>
  <dcterms:modified xsi:type="dcterms:W3CDTF">2020-06-12T03:06:00Z</dcterms:modified>
</cp:coreProperties>
</file>