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3041" w14:textId="77777777" w:rsidR="0058318D" w:rsidRDefault="0058318D" w:rsidP="0058318D"/>
    <w:p w14:paraId="40A5164A" w14:textId="136FC020" w:rsidR="0058318D" w:rsidRPr="00D50D94" w:rsidRDefault="0058318D" w:rsidP="0058318D">
      <w:r>
        <w:rPr>
          <w:b/>
          <w:u w:val="single"/>
        </w:rPr>
        <w:t>Interpretation:</w:t>
      </w:r>
      <w:r>
        <w:tab/>
      </w:r>
      <w:r w:rsidR="00653421">
        <w:t>Duct Insulation Inspection</w:t>
      </w:r>
    </w:p>
    <w:p w14:paraId="1854E535" w14:textId="77777777" w:rsidR="0058318D" w:rsidRDefault="0058318D" w:rsidP="0058318D">
      <w:pPr>
        <w:rPr>
          <w:b/>
          <w:u w:val="single"/>
        </w:rPr>
      </w:pPr>
    </w:p>
    <w:p w14:paraId="0BE9F14F" w14:textId="040CAC85" w:rsidR="0058318D" w:rsidRPr="00D50D94" w:rsidRDefault="0058318D" w:rsidP="0058318D">
      <w:r>
        <w:rPr>
          <w:b/>
          <w:u w:val="single"/>
        </w:rPr>
        <w:t>Designation</w:t>
      </w:r>
      <w:r>
        <w:tab/>
      </w:r>
      <w:r>
        <w:tab/>
      </w:r>
      <w:r w:rsidR="00276CF3">
        <w:t xml:space="preserve">MINHERS </w:t>
      </w:r>
      <w:r w:rsidR="00653421">
        <w:t>Interpretation 2019-02</w:t>
      </w:r>
    </w:p>
    <w:p w14:paraId="28DB0904" w14:textId="77777777" w:rsidR="0058318D" w:rsidRDefault="0058318D" w:rsidP="0058318D">
      <w:pPr>
        <w:rPr>
          <w:b/>
          <w:u w:val="single"/>
        </w:rPr>
      </w:pPr>
    </w:p>
    <w:p w14:paraId="75F5A376" w14:textId="6D8AFE5B" w:rsidR="0058318D" w:rsidRPr="00D50D94" w:rsidRDefault="0058318D" w:rsidP="0058318D">
      <w:r>
        <w:rPr>
          <w:b/>
          <w:u w:val="single"/>
        </w:rPr>
        <w:t>Approved:</w:t>
      </w:r>
      <w:r>
        <w:tab/>
      </w:r>
      <w:r>
        <w:tab/>
      </w:r>
      <w:r w:rsidR="002145C7">
        <w:t>September 12</w:t>
      </w:r>
      <w:r w:rsidR="00653421">
        <w:t>, 2019</w:t>
      </w:r>
      <w:r>
        <w:t xml:space="preserve"> by RESNET SDC 300</w:t>
      </w:r>
    </w:p>
    <w:p w14:paraId="6B8CCADE" w14:textId="77777777" w:rsidR="0058318D" w:rsidRDefault="0058318D" w:rsidP="0058318D">
      <w:pPr>
        <w:rPr>
          <w:b/>
          <w:u w:val="single"/>
        </w:rPr>
      </w:pPr>
    </w:p>
    <w:p w14:paraId="134FA129" w14:textId="48C5A35B" w:rsidR="0058318D" w:rsidRPr="00D50D94" w:rsidRDefault="0058318D" w:rsidP="0058318D">
      <w:r>
        <w:rPr>
          <w:b/>
          <w:u w:val="single"/>
        </w:rPr>
        <w:t>Effective Date:</w:t>
      </w:r>
      <w:r>
        <w:tab/>
      </w:r>
      <w:r w:rsidR="002145C7">
        <w:t>October</w:t>
      </w:r>
      <w:bookmarkStart w:id="0" w:name="_GoBack"/>
      <w:bookmarkEnd w:id="0"/>
      <w:r w:rsidR="00653421">
        <w:t xml:space="preserve"> 1</w:t>
      </w:r>
      <w:r w:rsidR="002145C7">
        <w:t>2</w:t>
      </w:r>
      <w:r w:rsidR="00653421">
        <w:t>, 2019</w:t>
      </w:r>
    </w:p>
    <w:p w14:paraId="70E654C5" w14:textId="77777777" w:rsidR="0058318D" w:rsidRPr="00D50D94" w:rsidRDefault="0058318D" w:rsidP="0058318D">
      <w:pPr>
        <w:rPr>
          <w:b/>
        </w:rPr>
      </w:pPr>
    </w:p>
    <w:p w14:paraId="4F4EF038" w14:textId="77777777" w:rsidR="0058318D" w:rsidRDefault="0058318D" w:rsidP="0058318D"/>
    <w:tbl>
      <w:tblPr>
        <w:tblW w:w="9558" w:type="dxa"/>
        <w:tblLayout w:type="fixed"/>
        <w:tblLook w:val="0000" w:firstRow="0" w:lastRow="0" w:firstColumn="0" w:lastColumn="0" w:noHBand="0" w:noVBand="0"/>
      </w:tblPr>
      <w:tblGrid>
        <w:gridCol w:w="1728"/>
        <w:gridCol w:w="43"/>
        <w:gridCol w:w="767"/>
        <w:gridCol w:w="540"/>
        <w:gridCol w:w="900"/>
        <w:gridCol w:w="450"/>
        <w:gridCol w:w="831"/>
        <w:gridCol w:w="1149"/>
        <w:gridCol w:w="900"/>
        <w:gridCol w:w="810"/>
        <w:gridCol w:w="1440"/>
      </w:tblGrid>
      <w:tr w:rsidR="0058318D" w14:paraId="72434B1B" w14:textId="77777777" w:rsidTr="00886BFD">
        <w:tc>
          <w:tcPr>
            <w:tcW w:w="1771" w:type="dxa"/>
            <w:gridSpan w:val="2"/>
          </w:tcPr>
          <w:p w14:paraId="2262687E" w14:textId="77777777" w:rsidR="0058318D" w:rsidRDefault="0058318D" w:rsidP="0067014E">
            <w:pPr>
              <w:rPr>
                <w:b/>
                <w:u w:val="single"/>
              </w:rPr>
            </w:pPr>
            <w:r>
              <w:rPr>
                <w:b/>
                <w:u w:val="single"/>
              </w:rPr>
              <w:t>R</w:t>
            </w:r>
            <w:bookmarkStart w:id="1" w:name="Check1"/>
            <w:r>
              <w:rPr>
                <w:b/>
                <w:u w:val="single"/>
              </w:rPr>
              <w:t>equest from:</w:t>
            </w:r>
          </w:p>
        </w:tc>
        <w:bookmarkEnd w:id="1"/>
        <w:tc>
          <w:tcPr>
            <w:tcW w:w="1307" w:type="dxa"/>
            <w:gridSpan w:val="2"/>
          </w:tcPr>
          <w:p w14:paraId="344F5C93" w14:textId="77777777" w:rsidR="0058318D" w:rsidRDefault="0058318D" w:rsidP="0067014E">
            <w:r>
              <w:t xml:space="preserve">Name: </w:t>
            </w:r>
          </w:p>
        </w:tc>
        <w:tc>
          <w:tcPr>
            <w:tcW w:w="6480" w:type="dxa"/>
            <w:gridSpan w:val="7"/>
          </w:tcPr>
          <w:p w14:paraId="639F5315" w14:textId="3AD853C0" w:rsidR="0058318D" w:rsidRDefault="00780FC5" w:rsidP="0067014E">
            <w:r>
              <w:t xml:space="preserve">John </w:t>
            </w:r>
            <w:proofErr w:type="gramStart"/>
            <w:r>
              <w:t xml:space="preserve">Rodenhizer  </w:t>
            </w:r>
            <w:r w:rsidRPr="00780FC5">
              <w:t>9335873</w:t>
            </w:r>
            <w:proofErr w:type="gramEnd"/>
            <w:r>
              <w:t xml:space="preserve"> (RTIN)</w:t>
            </w:r>
          </w:p>
        </w:tc>
      </w:tr>
      <w:tr w:rsidR="0058318D" w14:paraId="5022CBFF" w14:textId="77777777" w:rsidTr="00886BFD">
        <w:tc>
          <w:tcPr>
            <w:tcW w:w="1771" w:type="dxa"/>
            <w:gridSpan w:val="2"/>
          </w:tcPr>
          <w:p w14:paraId="1AA53C07" w14:textId="77777777" w:rsidR="0058318D" w:rsidRDefault="0058318D" w:rsidP="0067014E"/>
        </w:tc>
        <w:tc>
          <w:tcPr>
            <w:tcW w:w="1307" w:type="dxa"/>
            <w:gridSpan w:val="2"/>
          </w:tcPr>
          <w:p w14:paraId="4FFC9DB3" w14:textId="77777777" w:rsidR="0058318D" w:rsidRDefault="0058318D" w:rsidP="0067014E"/>
        </w:tc>
        <w:tc>
          <w:tcPr>
            <w:tcW w:w="6480" w:type="dxa"/>
            <w:gridSpan w:val="7"/>
            <w:tcBorders>
              <w:top w:val="single" w:sz="4" w:space="0" w:color="auto"/>
            </w:tcBorders>
          </w:tcPr>
          <w:p w14:paraId="293ACEF8" w14:textId="77777777" w:rsidR="0058318D" w:rsidRDefault="0058318D" w:rsidP="0067014E"/>
        </w:tc>
      </w:tr>
      <w:tr w:rsidR="0058318D" w14:paraId="5EFAE92F" w14:textId="77777777" w:rsidTr="00886BFD">
        <w:tc>
          <w:tcPr>
            <w:tcW w:w="1771" w:type="dxa"/>
            <w:gridSpan w:val="2"/>
          </w:tcPr>
          <w:p w14:paraId="61F8CF8D" w14:textId="77777777" w:rsidR="0058318D" w:rsidRDefault="0058318D" w:rsidP="0067014E"/>
        </w:tc>
        <w:tc>
          <w:tcPr>
            <w:tcW w:w="1307" w:type="dxa"/>
            <w:gridSpan w:val="2"/>
          </w:tcPr>
          <w:p w14:paraId="213F2CDD" w14:textId="77777777" w:rsidR="0058318D" w:rsidRDefault="0058318D" w:rsidP="0067014E">
            <w:r>
              <w:t>Affiliation:</w:t>
            </w:r>
          </w:p>
        </w:tc>
        <w:tc>
          <w:tcPr>
            <w:tcW w:w="6480" w:type="dxa"/>
            <w:gridSpan w:val="7"/>
            <w:tcBorders>
              <w:bottom w:val="single" w:sz="4" w:space="0" w:color="auto"/>
            </w:tcBorders>
          </w:tcPr>
          <w:p w14:paraId="0FA8EF8F" w14:textId="351FCF1C" w:rsidR="0058318D" w:rsidRDefault="00780FC5" w:rsidP="0067014E">
            <w:r>
              <w:t>JSR Adaptive Energy Solutions LLC</w:t>
            </w:r>
          </w:p>
        </w:tc>
      </w:tr>
      <w:tr w:rsidR="0058318D" w14:paraId="3D6F8556" w14:textId="77777777" w:rsidTr="00886BFD">
        <w:trPr>
          <w:cantSplit/>
        </w:trPr>
        <w:tc>
          <w:tcPr>
            <w:tcW w:w="1771" w:type="dxa"/>
            <w:gridSpan w:val="2"/>
          </w:tcPr>
          <w:p w14:paraId="5AD09EAB" w14:textId="77777777" w:rsidR="0058318D" w:rsidRDefault="0058318D" w:rsidP="0067014E"/>
        </w:tc>
        <w:tc>
          <w:tcPr>
            <w:tcW w:w="1307" w:type="dxa"/>
            <w:gridSpan w:val="2"/>
          </w:tcPr>
          <w:p w14:paraId="1063E3DC" w14:textId="77777777" w:rsidR="0058318D" w:rsidRDefault="0058318D" w:rsidP="0067014E"/>
        </w:tc>
        <w:tc>
          <w:tcPr>
            <w:tcW w:w="6480" w:type="dxa"/>
            <w:gridSpan w:val="7"/>
          </w:tcPr>
          <w:p w14:paraId="63292B50" w14:textId="77777777" w:rsidR="0058318D" w:rsidRDefault="0058318D" w:rsidP="0067014E"/>
        </w:tc>
      </w:tr>
      <w:tr w:rsidR="0058318D" w14:paraId="4E93AF2C" w14:textId="77777777" w:rsidTr="00886BFD">
        <w:trPr>
          <w:cantSplit/>
        </w:trPr>
        <w:tc>
          <w:tcPr>
            <w:tcW w:w="1771" w:type="dxa"/>
            <w:gridSpan w:val="2"/>
          </w:tcPr>
          <w:p w14:paraId="7A5B15F2" w14:textId="77777777" w:rsidR="0058318D" w:rsidRDefault="0058318D" w:rsidP="0067014E"/>
        </w:tc>
        <w:tc>
          <w:tcPr>
            <w:tcW w:w="1307" w:type="dxa"/>
            <w:gridSpan w:val="2"/>
          </w:tcPr>
          <w:p w14:paraId="1365DFB9" w14:textId="77777777" w:rsidR="0058318D" w:rsidRDefault="0058318D" w:rsidP="0067014E">
            <w:r>
              <w:t>Address:</w:t>
            </w:r>
          </w:p>
        </w:tc>
        <w:tc>
          <w:tcPr>
            <w:tcW w:w="6480" w:type="dxa"/>
            <w:gridSpan w:val="7"/>
            <w:tcBorders>
              <w:bottom w:val="single" w:sz="4" w:space="0" w:color="auto"/>
            </w:tcBorders>
          </w:tcPr>
          <w:p w14:paraId="46448AF5" w14:textId="408CDC70" w:rsidR="0058318D" w:rsidRDefault="00780FC5" w:rsidP="0067014E">
            <w:r>
              <w:t>6 Pilgrim Road</w:t>
            </w:r>
          </w:p>
        </w:tc>
      </w:tr>
      <w:tr w:rsidR="0058318D" w14:paraId="1E832BD4" w14:textId="77777777" w:rsidTr="00886BFD">
        <w:trPr>
          <w:cantSplit/>
        </w:trPr>
        <w:tc>
          <w:tcPr>
            <w:tcW w:w="9558" w:type="dxa"/>
            <w:gridSpan w:val="11"/>
          </w:tcPr>
          <w:p w14:paraId="12B4007B" w14:textId="77777777" w:rsidR="0058318D" w:rsidRDefault="0058318D" w:rsidP="0067014E"/>
        </w:tc>
      </w:tr>
      <w:tr w:rsidR="0058318D" w14:paraId="68077B7F" w14:textId="77777777" w:rsidTr="00886BFD">
        <w:trPr>
          <w:cantSplit/>
        </w:trPr>
        <w:tc>
          <w:tcPr>
            <w:tcW w:w="1771" w:type="dxa"/>
            <w:gridSpan w:val="2"/>
          </w:tcPr>
          <w:p w14:paraId="29351FE3" w14:textId="77777777" w:rsidR="0058318D" w:rsidRDefault="0058318D" w:rsidP="0067014E"/>
        </w:tc>
        <w:tc>
          <w:tcPr>
            <w:tcW w:w="767" w:type="dxa"/>
          </w:tcPr>
          <w:p w14:paraId="7614FFF5" w14:textId="77777777" w:rsidR="0058318D" w:rsidRDefault="0058318D" w:rsidP="0067014E">
            <w:r>
              <w:t>City:</w:t>
            </w:r>
          </w:p>
        </w:tc>
        <w:tc>
          <w:tcPr>
            <w:tcW w:w="1890" w:type="dxa"/>
            <w:gridSpan w:val="3"/>
            <w:tcBorders>
              <w:bottom w:val="single" w:sz="4" w:space="0" w:color="auto"/>
            </w:tcBorders>
          </w:tcPr>
          <w:p w14:paraId="1EAC588F" w14:textId="26E58FFF" w:rsidR="0058318D" w:rsidRDefault="00780FC5" w:rsidP="0067014E">
            <w:r>
              <w:t xml:space="preserve">S. Hamilton </w:t>
            </w:r>
          </w:p>
        </w:tc>
        <w:tc>
          <w:tcPr>
            <w:tcW w:w="831" w:type="dxa"/>
          </w:tcPr>
          <w:p w14:paraId="54CE37D8" w14:textId="77777777" w:rsidR="0058318D" w:rsidRDefault="0058318D" w:rsidP="0067014E">
            <w:r>
              <w:t>State:</w:t>
            </w:r>
          </w:p>
        </w:tc>
        <w:tc>
          <w:tcPr>
            <w:tcW w:w="2049" w:type="dxa"/>
            <w:gridSpan w:val="2"/>
            <w:tcBorders>
              <w:bottom w:val="single" w:sz="4" w:space="0" w:color="auto"/>
            </w:tcBorders>
          </w:tcPr>
          <w:p w14:paraId="064147C4" w14:textId="463B383C" w:rsidR="0058318D" w:rsidRDefault="00780FC5" w:rsidP="0067014E">
            <w:r>
              <w:t>MA</w:t>
            </w:r>
          </w:p>
        </w:tc>
        <w:tc>
          <w:tcPr>
            <w:tcW w:w="810" w:type="dxa"/>
          </w:tcPr>
          <w:p w14:paraId="116AEC11" w14:textId="77777777" w:rsidR="0058318D" w:rsidRDefault="0058318D" w:rsidP="0067014E">
            <w:r>
              <w:t>Zip:</w:t>
            </w:r>
          </w:p>
        </w:tc>
        <w:tc>
          <w:tcPr>
            <w:tcW w:w="1440" w:type="dxa"/>
            <w:tcBorders>
              <w:bottom w:val="single" w:sz="4" w:space="0" w:color="auto"/>
            </w:tcBorders>
          </w:tcPr>
          <w:p w14:paraId="4DEF150D" w14:textId="340076A9" w:rsidR="0058318D" w:rsidRDefault="00780FC5" w:rsidP="0067014E">
            <w:r>
              <w:t>01982</w:t>
            </w:r>
          </w:p>
        </w:tc>
      </w:tr>
      <w:tr w:rsidR="0058318D" w14:paraId="2D25D29A" w14:textId="77777777" w:rsidTr="00886BFD">
        <w:trPr>
          <w:cantSplit/>
        </w:trPr>
        <w:tc>
          <w:tcPr>
            <w:tcW w:w="9558" w:type="dxa"/>
            <w:gridSpan w:val="11"/>
          </w:tcPr>
          <w:p w14:paraId="0219A6EF" w14:textId="77777777" w:rsidR="0058318D" w:rsidRDefault="0058318D" w:rsidP="0067014E"/>
        </w:tc>
      </w:tr>
      <w:tr w:rsidR="0058318D" w14:paraId="34E65479" w14:textId="77777777" w:rsidTr="00886BFD">
        <w:tc>
          <w:tcPr>
            <w:tcW w:w="1771" w:type="dxa"/>
            <w:gridSpan w:val="2"/>
          </w:tcPr>
          <w:p w14:paraId="1F0D2522" w14:textId="77777777" w:rsidR="0058318D" w:rsidRDefault="0058318D" w:rsidP="0067014E"/>
        </w:tc>
        <w:tc>
          <w:tcPr>
            <w:tcW w:w="1307" w:type="dxa"/>
            <w:gridSpan w:val="2"/>
          </w:tcPr>
          <w:p w14:paraId="565642E5" w14:textId="77777777" w:rsidR="0058318D" w:rsidRDefault="0058318D" w:rsidP="0067014E">
            <w:r>
              <w:t>Telephone:</w:t>
            </w:r>
          </w:p>
        </w:tc>
        <w:tc>
          <w:tcPr>
            <w:tcW w:w="6480" w:type="dxa"/>
            <w:gridSpan w:val="7"/>
            <w:tcBorders>
              <w:bottom w:val="single" w:sz="4" w:space="0" w:color="auto"/>
            </w:tcBorders>
          </w:tcPr>
          <w:p w14:paraId="46513836" w14:textId="15F6B79B" w:rsidR="0058318D" w:rsidRDefault="00780FC5" w:rsidP="0067014E">
            <w:r>
              <w:t>978-468-0297</w:t>
            </w:r>
          </w:p>
        </w:tc>
      </w:tr>
      <w:tr w:rsidR="0058318D" w14:paraId="4C9968AA" w14:textId="77777777" w:rsidTr="00886BFD">
        <w:trPr>
          <w:cantSplit/>
        </w:trPr>
        <w:tc>
          <w:tcPr>
            <w:tcW w:w="9558" w:type="dxa"/>
            <w:gridSpan w:val="11"/>
          </w:tcPr>
          <w:p w14:paraId="03436C2B" w14:textId="77777777" w:rsidR="0058318D" w:rsidRDefault="0058318D" w:rsidP="0067014E"/>
        </w:tc>
      </w:tr>
      <w:tr w:rsidR="0058318D" w14:paraId="432397CF" w14:textId="77777777" w:rsidTr="00886BFD">
        <w:tc>
          <w:tcPr>
            <w:tcW w:w="1771" w:type="dxa"/>
            <w:gridSpan w:val="2"/>
          </w:tcPr>
          <w:p w14:paraId="345120B2" w14:textId="77777777" w:rsidR="0058318D" w:rsidRDefault="0058318D" w:rsidP="0067014E"/>
        </w:tc>
        <w:tc>
          <w:tcPr>
            <w:tcW w:w="1307" w:type="dxa"/>
            <w:gridSpan w:val="2"/>
          </w:tcPr>
          <w:p w14:paraId="27601C77" w14:textId="77777777" w:rsidR="0058318D" w:rsidRDefault="0058318D" w:rsidP="0067014E">
            <w:r>
              <w:t>E-mail:</w:t>
            </w:r>
          </w:p>
        </w:tc>
        <w:tc>
          <w:tcPr>
            <w:tcW w:w="6480" w:type="dxa"/>
            <w:gridSpan w:val="7"/>
            <w:tcBorders>
              <w:bottom w:val="single" w:sz="4" w:space="0" w:color="auto"/>
            </w:tcBorders>
          </w:tcPr>
          <w:p w14:paraId="2D30C5DE" w14:textId="50464C84" w:rsidR="0058318D" w:rsidRDefault="00780FC5" w:rsidP="0067014E">
            <w:r>
              <w:t>jsr@jsradaptivenergy.com</w:t>
            </w:r>
          </w:p>
        </w:tc>
      </w:tr>
      <w:tr w:rsidR="0058318D" w14:paraId="25C0E992" w14:textId="77777777" w:rsidTr="00886BFD">
        <w:trPr>
          <w:cantSplit/>
        </w:trPr>
        <w:tc>
          <w:tcPr>
            <w:tcW w:w="9558" w:type="dxa"/>
            <w:gridSpan w:val="11"/>
          </w:tcPr>
          <w:p w14:paraId="4783C8F3" w14:textId="77777777" w:rsidR="0058318D" w:rsidRDefault="0058318D" w:rsidP="0067014E"/>
        </w:tc>
      </w:tr>
      <w:tr w:rsidR="0058318D" w14:paraId="6000A15E" w14:textId="77777777" w:rsidTr="00886BFD">
        <w:trPr>
          <w:cantSplit/>
        </w:trPr>
        <w:tc>
          <w:tcPr>
            <w:tcW w:w="1771" w:type="dxa"/>
            <w:gridSpan w:val="2"/>
          </w:tcPr>
          <w:p w14:paraId="74CD50F7" w14:textId="77777777" w:rsidR="0058318D" w:rsidRDefault="0058318D" w:rsidP="0067014E">
            <w:pPr>
              <w:rPr>
                <w:b/>
                <w:u w:val="single"/>
              </w:rPr>
            </w:pPr>
            <w:r>
              <w:rPr>
                <w:b/>
                <w:u w:val="single"/>
              </w:rPr>
              <w:t>Reference:</w:t>
            </w:r>
          </w:p>
        </w:tc>
        <w:tc>
          <w:tcPr>
            <w:tcW w:w="7787" w:type="dxa"/>
            <w:gridSpan w:val="9"/>
          </w:tcPr>
          <w:p w14:paraId="03A80626" w14:textId="4F236BEE" w:rsidR="0058318D" w:rsidRDefault="0058318D" w:rsidP="0067014E">
            <w:r>
              <w:t>This request for interpretation refers to the requirements presented in</w:t>
            </w:r>
            <w:r w:rsidR="007A340D">
              <w:t xml:space="preserve"> Standard</w:t>
            </w:r>
            <w:r>
              <w:t>:</w:t>
            </w:r>
          </w:p>
        </w:tc>
      </w:tr>
      <w:tr w:rsidR="0058318D" w14:paraId="38165113" w14:textId="77777777" w:rsidTr="00886BFD">
        <w:trPr>
          <w:cantSplit/>
        </w:trPr>
        <w:tc>
          <w:tcPr>
            <w:tcW w:w="1771" w:type="dxa"/>
            <w:gridSpan w:val="2"/>
          </w:tcPr>
          <w:p w14:paraId="133B6A85" w14:textId="77777777" w:rsidR="0058318D" w:rsidRDefault="0058318D" w:rsidP="0067014E"/>
        </w:tc>
        <w:tc>
          <w:tcPr>
            <w:tcW w:w="2207" w:type="dxa"/>
            <w:gridSpan w:val="3"/>
            <w:tcBorders>
              <w:bottom w:val="single" w:sz="4" w:space="0" w:color="auto"/>
            </w:tcBorders>
          </w:tcPr>
          <w:p w14:paraId="69721BD9" w14:textId="1CDC2C5A" w:rsidR="0058318D" w:rsidRDefault="00563E0E" w:rsidP="0067014E">
            <w:r>
              <w:t>A-10 Building Element, Heating and Cooling Distribution System</w:t>
            </w:r>
          </w:p>
        </w:tc>
        <w:tc>
          <w:tcPr>
            <w:tcW w:w="2430" w:type="dxa"/>
            <w:gridSpan w:val="3"/>
          </w:tcPr>
          <w:p w14:paraId="59A34220" w14:textId="77777777" w:rsidR="0058318D" w:rsidRDefault="0058318D" w:rsidP="0067014E"/>
        </w:tc>
        <w:tc>
          <w:tcPr>
            <w:tcW w:w="3150" w:type="dxa"/>
            <w:gridSpan w:val="3"/>
            <w:tcBorders>
              <w:bottom w:val="single" w:sz="4" w:space="0" w:color="auto"/>
            </w:tcBorders>
          </w:tcPr>
          <w:p w14:paraId="672CADD9" w14:textId="05F867C8" w:rsidR="0058318D" w:rsidRDefault="00563E0E" w:rsidP="0067014E">
            <w:r>
              <w:t xml:space="preserve">RESNET Standards Continuous Maintenance </w:t>
            </w:r>
          </w:p>
        </w:tc>
      </w:tr>
      <w:tr w:rsidR="0058318D" w14:paraId="32F277DB" w14:textId="77777777" w:rsidTr="00886BFD">
        <w:trPr>
          <w:cantSplit/>
        </w:trPr>
        <w:tc>
          <w:tcPr>
            <w:tcW w:w="9558" w:type="dxa"/>
            <w:gridSpan w:val="11"/>
          </w:tcPr>
          <w:p w14:paraId="4B310750" w14:textId="77777777" w:rsidR="0058318D" w:rsidRDefault="0058318D" w:rsidP="0067014E"/>
        </w:tc>
      </w:tr>
      <w:tr w:rsidR="0058318D" w14:paraId="2C10AC68" w14:textId="77777777" w:rsidTr="00886BFD">
        <w:tc>
          <w:tcPr>
            <w:tcW w:w="1771" w:type="dxa"/>
            <w:gridSpan w:val="2"/>
          </w:tcPr>
          <w:p w14:paraId="1AECE6B3" w14:textId="77777777" w:rsidR="0058318D" w:rsidRDefault="0058318D" w:rsidP="0067014E"/>
        </w:tc>
        <w:tc>
          <w:tcPr>
            <w:tcW w:w="2207" w:type="dxa"/>
            <w:gridSpan w:val="3"/>
          </w:tcPr>
          <w:p w14:paraId="0D5B2836" w14:textId="77777777" w:rsidR="0058318D" w:rsidRDefault="0058318D" w:rsidP="0067014E">
            <w:r>
              <w:t>Page Number(s):</w:t>
            </w:r>
          </w:p>
        </w:tc>
        <w:tc>
          <w:tcPr>
            <w:tcW w:w="5580" w:type="dxa"/>
            <w:gridSpan w:val="6"/>
            <w:tcBorders>
              <w:bottom w:val="single" w:sz="4" w:space="0" w:color="auto"/>
            </w:tcBorders>
          </w:tcPr>
          <w:p w14:paraId="7D226885" w14:textId="4F77179D" w:rsidR="0058318D" w:rsidRDefault="0058318D" w:rsidP="0067014E">
            <w:r>
              <w:t>page</w:t>
            </w:r>
            <w:r w:rsidR="007A340D">
              <w:t xml:space="preserve"> xx</w:t>
            </w:r>
          </w:p>
        </w:tc>
      </w:tr>
      <w:tr w:rsidR="0058318D" w14:paraId="5FB74177" w14:textId="77777777" w:rsidTr="00886BFD">
        <w:tc>
          <w:tcPr>
            <w:tcW w:w="1771" w:type="dxa"/>
            <w:gridSpan w:val="2"/>
          </w:tcPr>
          <w:p w14:paraId="16B2CF73" w14:textId="77777777" w:rsidR="0058318D" w:rsidRDefault="0058318D" w:rsidP="0067014E"/>
        </w:tc>
        <w:tc>
          <w:tcPr>
            <w:tcW w:w="2207" w:type="dxa"/>
            <w:gridSpan w:val="3"/>
          </w:tcPr>
          <w:p w14:paraId="64CD350F" w14:textId="77777777" w:rsidR="0058318D" w:rsidRDefault="0058318D" w:rsidP="0067014E">
            <w:r>
              <w:t>Section(s):</w:t>
            </w:r>
          </w:p>
        </w:tc>
        <w:tc>
          <w:tcPr>
            <w:tcW w:w="5580" w:type="dxa"/>
            <w:gridSpan w:val="6"/>
            <w:tcBorders>
              <w:bottom w:val="single" w:sz="4" w:space="0" w:color="auto"/>
            </w:tcBorders>
          </w:tcPr>
          <w:p w14:paraId="2F7968D3" w14:textId="250A80C2" w:rsidR="0058318D" w:rsidRDefault="00563E0E" w:rsidP="0067014E">
            <w:r>
              <w:t>A-10.2</w:t>
            </w:r>
          </w:p>
        </w:tc>
      </w:tr>
      <w:tr w:rsidR="0058318D" w14:paraId="74CD976F" w14:textId="77777777" w:rsidTr="00886BFD">
        <w:tc>
          <w:tcPr>
            <w:tcW w:w="1771" w:type="dxa"/>
            <w:gridSpan w:val="2"/>
          </w:tcPr>
          <w:p w14:paraId="145751C4" w14:textId="77777777" w:rsidR="0058318D" w:rsidRDefault="0058318D" w:rsidP="0067014E"/>
        </w:tc>
        <w:tc>
          <w:tcPr>
            <w:tcW w:w="2207" w:type="dxa"/>
            <w:gridSpan w:val="3"/>
          </w:tcPr>
          <w:p w14:paraId="74E89661" w14:textId="77777777" w:rsidR="0058318D" w:rsidRDefault="0058318D" w:rsidP="0067014E">
            <w:r>
              <w:t>Table(s):</w:t>
            </w:r>
          </w:p>
        </w:tc>
        <w:tc>
          <w:tcPr>
            <w:tcW w:w="5580" w:type="dxa"/>
            <w:gridSpan w:val="6"/>
            <w:tcBorders>
              <w:top w:val="single" w:sz="4" w:space="0" w:color="auto"/>
            </w:tcBorders>
          </w:tcPr>
          <w:p w14:paraId="19DE00B3" w14:textId="26D1D07B" w:rsidR="0058318D" w:rsidRDefault="0058318D" w:rsidP="0067014E"/>
        </w:tc>
      </w:tr>
      <w:tr w:rsidR="0058318D" w14:paraId="2FDB2669" w14:textId="77777777" w:rsidTr="00886BFD">
        <w:tc>
          <w:tcPr>
            <w:tcW w:w="1771" w:type="dxa"/>
            <w:gridSpan w:val="2"/>
          </w:tcPr>
          <w:p w14:paraId="0E377750" w14:textId="77777777" w:rsidR="0058318D" w:rsidRDefault="0058318D" w:rsidP="0067014E"/>
        </w:tc>
        <w:tc>
          <w:tcPr>
            <w:tcW w:w="2207" w:type="dxa"/>
            <w:gridSpan w:val="3"/>
          </w:tcPr>
          <w:p w14:paraId="00E8E074" w14:textId="77777777" w:rsidR="0058318D" w:rsidRDefault="0058318D" w:rsidP="0067014E">
            <w:r>
              <w:t>Relating to:</w:t>
            </w:r>
          </w:p>
        </w:tc>
        <w:tc>
          <w:tcPr>
            <w:tcW w:w="5580" w:type="dxa"/>
            <w:gridSpan w:val="6"/>
            <w:tcBorders>
              <w:top w:val="single" w:sz="4" w:space="0" w:color="auto"/>
              <w:bottom w:val="single" w:sz="4" w:space="0" w:color="auto"/>
            </w:tcBorders>
          </w:tcPr>
          <w:p w14:paraId="00F771F3" w14:textId="28F15A6D" w:rsidR="0058318D" w:rsidRDefault="00563E0E" w:rsidP="0067014E">
            <w:r>
              <w:t>Inspection of Duct Insulation</w:t>
            </w:r>
            <w:r w:rsidR="00195157">
              <w:t>. Does not clarify the use radiant barriers with airspace</w:t>
            </w:r>
          </w:p>
        </w:tc>
      </w:tr>
      <w:tr w:rsidR="0058318D" w14:paraId="683DC2E5" w14:textId="77777777" w:rsidTr="00886BFD">
        <w:trPr>
          <w:cantSplit/>
        </w:trPr>
        <w:tc>
          <w:tcPr>
            <w:tcW w:w="9558" w:type="dxa"/>
            <w:gridSpan w:val="11"/>
          </w:tcPr>
          <w:p w14:paraId="055D52CA" w14:textId="77777777" w:rsidR="0058318D" w:rsidRDefault="0058318D" w:rsidP="0067014E"/>
        </w:tc>
      </w:tr>
      <w:tr w:rsidR="0058318D" w14:paraId="4C9981EF" w14:textId="77777777" w:rsidTr="00886BFD">
        <w:trPr>
          <w:cantSplit/>
        </w:trPr>
        <w:tc>
          <w:tcPr>
            <w:tcW w:w="1771" w:type="dxa"/>
            <w:gridSpan w:val="2"/>
          </w:tcPr>
          <w:p w14:paraId="246AB388" w14:textId="6DCAFB9C" w:rsidR="0058318D" w:rsidRDefault="0058318D" w:rsidP="0067014E">
            <w:pPr>
              <w:rPr>
                <w:b/>
                <w:u w:val="single"/>
              </w:rPr>
            </w:pPr>
            <w:r>
              <w:rPr>
                <w:b/>
                <w:u w:val="single"/>
              </w:rPr>
              <w:lastRenderedPageBreak/>
              <w:t>B</w:t>
            </w:r>
            <w:bookmarkStart w:id="2" w:name="Text12"/>
            <w:r>
              <w:rPr>
                <w:b/>
                <w:u w:val="single"/>
              </w:rPr>
              <w:t>ackground</w:t>
            </w:r>
            <w:r w:rsidR="00572EFC" w:rsidRPr="00E37EFC">
              <w:rPr>
                <w:b/>
                <w:color w:val="FF0000"/>
                <w:u w:val="single"/>
              </w:rPr>
              <w:t xml:space="preserve"> </w:t>
            </w:r>
            <w:r w:rsidR="00572EFC" w:rsidRPr="00E37EFC">
              <w:rPr>
                <w:b/>
                <w:u w:val="single"/>
              </w:rPr>
              <w:t>from Requester</w:t>
            </w:r>
            <w:r>
              <w:rPr>
                <w:b/>
                <w:u w:val="single"/>
              </w:rPr>
              <w:t>:</w:t>
            </w:r>
          </w:p>
        </w:tc>
        <w:bookmarkEnd w:id="2"/>
        <w:tc>
          <w:tcPr>
            <w:tcW w:w="7787" w:type="dxa"/>
            <w:gridSpan w:val="9"/>
            <w:tcBorders>
              <w:bottom w:val="single" w:sz="4" w:space="0" w:color="auto"/>
            </w:tcBorders>
          </w:tcPr>
          <w:p w14:paraId="157AEB04" w14:textId="5CA70F46" w:rsidR="0058318D" w:rsidRDefault="00563E0E" w:rsidP="0067014E">
            <w:pPr>
              <w:pStyle w:val="Default"/>
            </w:pPr>
            <w:r>
              <w:t xml:space="preserve">The use of a radiant barrier with air space to meet prescriptive R-value requirements. There seems to be some ambiguity in the Rater community with </w:t>
            </w:r>
            <w:r w:rsidR="00195157">
              <w:t xml:space="preserve">this </w:t>
            </w:r>
            <w:r>
              <w:t>regard to bubble wrap insulation and the claims of the manufactures</w:t>
            </w:r>
            <w:r w:rsidR="00195157">
              <w:t>,</w:t>
            </w:r>
            <w:r>
              <w:t xml:space="preserve"> that it meets a certain R-value with an airspace. RESNET has worked hard to ensure standards that are in line with the “I” </w:t>
            </w:r>
            <w:proofErr w:type="gramStart"/>
            <w:r>
              <w:t>codes</w:t>
            </w:r>
            <w:proofErr w:type="gramEnd"/>
            <w:r>
              <w:t xml:space="preserve"> </w:t>
            </w:r>
            <w:r w:rsidR="005605A5">
              <w:t>yet it has been unclear on the use of Bubble wrap on ductwork. Raters need to be consistent in their ratings and not allow an advantage to use one rater over another because of different rating practices. The International Mechanical Code is clear on this,</w:t>
            </w:r>
          </w:p>
          <w:p w14:paraId="14DBF3D5" w14:textId="77777777" w:rsidR="005605A5" w:rsidRDefault="005605A5" w:rsidP="0067014E">
            <w:pPr>
              <w:pStyle w:val="Default"/>
            </w:pPr>
          </w:p>
          <w:p w14:paraId="2A62CF0F" w14:textId="77777777" w:rsidR="005605A5" w:rsidRDefault="005605A5" w:rsidP="0067014E">
            <w:pPr>
              <w:pStyle w:val="Default"/>
              <w:rPr>
                <w:rFonts w:ascii="Arial" w:hAnsi="Arial" w:cs="Arial"/>
                <w:color w:val="222222"/>
                <w:shd w:val="clear" w:color="auto" w:fill="FFFFFF"/>
              </w:rPr>
            </w:pPr>
            <w:r>
              <w:rPr>
                <w:rFonts w:ascii="Arial" w:hAnsi="Arial" w:cs="Arial"/>
                <w:color w:val="222222"/>
                <w:shd w:val="clear" w:color="auto" w:fill="FFFFFF"/>
              </w:rPr>
              <w:t xml:space="preserve">IMC 604.7 Identification. External duct insulation, except spray polyurethane foam, and factory-insulated flexible duct shall be legibly printed or identified at intervals not greater than 36 inches (914 mm) with the name of the manufacturer, the thermal resistance R-value at the specified installed thickness and the flame spread and smoke-developed indexes of the composite materials. </w:t>
            </w:r>
            <w:r w:rsidRPr="005605A5">
              <w:rPr>
                <w:rFonts w:ascii="Arial" w:hAnsi="Arial" w:cs="Arial"/>
                <w:b/>
                <w:color w:val="222222"/>
                <w:shd w:val="clear" w:color="auto" w:fill="FFFFFF"/>
              </w:rPr>
              <w:t>Duct insulation product R-values shall be based on insulation only, excluding air films, vapor retarders or other duct components,</w:t>
            </w:r>
            <w:r>
              <w:rPr>
                <w:rFonts w:ascii="Arial" w:hAnsi="Arial" w:cs="Arial"/>
                <w:color w:val="222222"/>
                <w:shd w:val="clear" w:color="auto" w:fill="FFFFFF"/>
              </w:rPr>
              <w:t xml:space="preserve"> and shall be based on tested C-values at 75ºF (24ºC) mean temperature at the installed thick-ness, in accordance with recognized industry procedures.</w:t>
            </w:r>
          </w:p>
          <w:p w14:paraId="56EB58FD" w14:textId="77777777" w:rsidR="005605A5" w:rsidRDefault="005605A5" w:rsidP="0067014E">
            <w:pPr>
              <w:pStyle w:val="Default"/>
              <w:rPr>
                <w:rFonts w:ascii="Arial" w:hAnsi="Arial" w:cs="Arial"/>
                <w:color w:val="222222"/>
                <w:shd w:val="clear" w:color="auto" w:fill="FFFFFF"/>
              </w:rPr>
            </w:pPr>
          </w:p>
          <w:p w14:paraId="2C762C98" w14:textId="162643EE" w:rsidR="005605A5" w:rsidRPr="00886BFD" w:rsidRDefault="005605A5" w:rsidP="0067014E">
            <w:pPr>
              <w:pStyle w:val="Default"/>
            </w:pPr>
            <w:r>
              <w:rPr>
                <w:rFonts w:ascii="Arial" w:hAnsi="Arial" w:cs="Arial"/>
                <w:color w:val="222222"/>
                <w:shd w:val="clear" w:color="auto" w:fill="FFFFFF"/>
              </w:rPr>
              <w:t xml:space="preserve">In </w:t>
            </w:r>
            <w:proofErr w:type="spellStart"/>
            <w:proofErr w:type="gramStart"/>
            <w:r>
              <w:rPr>
                <w:rFonts w:ascii="Arial" w:hAnsi="Arial" w:cs="Arial"/>
                <w:color w:val="222222"/>
                <w:shd w:val="clear" w:color="auto" w:fill="FFFFFF"/>
              </w:rPr>
              <w:t>a</w:t>
            </w:r>
            <w:proofErr w:type="spellEnd"/>
            <w:proofErr w:type="gramEnd"/>
            <w:r>
              <w:rPr>
                <w:rFonts w:ascii="Arial" w:hAnsi="Arial" w:cs="Arial"/>
                <w:color w:val="222222"/>
                <w:shd w:val="clear" w:color="auto" w:fill="FFFFFF"/>
              </w:rPr>
              <w:t xml:space="preserve"> effort to promote clarity across the industry to reduce errors in ratings this should be addressed.</w:t>
            </w:r>
            <w:r w:rsidR="00DD28ED">
              <w:rPr>
                <w:rFonts w:ascii="Arial" w:hAnsi="Arial" w:cs="Arial"/>
                <w:color w:val="222222"/>
                <w:shd w:val="clear" w:color="auto" w:fill="FFFFFF"/>
              </w:rPr>
              <w:t xml:space="preserve"> Insulation alignment is enforced in all other areas.</w:t>
            </w:r>
          </w:p>
        </w:tc>
      </w:tr>
      <w:tr w:rsidR="00886BFD" w14:paraId="55549B7E" w14:textId="77777777" w:rsidTr="00886BFD">
        <w:trPr>
          <w:cantSplit/>
        </w:trPr>
        <w:tc>
          <w:tcPr>
            <w:tcW w:w="1771" w:type="dxa"/>
            <w:gridSpan w:val="2"/>
          </w:tcPr>
          <w:p w14:paraId="381A88F0" w14:textId="77777777" w:rsidR="00886BFD" w:rsidRDefault="00886BFD" w:rsidP="00886BFD"/>
        </w:tc>
        <w:tc>
          <w:tcPr>
            <w:tcW w:w="7787" w:type="dxa"/>
            <w:gridSpan w:val="9"/>
          </w:tcPr>
          <w:p w14:paraId="6D04343B" w14:textId="685B4D81" w:rsidR="00886BFD" w:rsidRDefault="00886BFD" w:rsidP="00886BFD">
            <w:r>
              <w:t xml:space="preserve">  </w:t>
            </w:r>
            <w:r>
              <w:rPr>
                <w:i/>
              </w:rPr>
              <w:t>(This statement should identify what is unclear or contradictory in the standard and why clarification is necessary.)</w:t>
            </w:r>
          </w:p>
        </w:tc>
      </w:tr>
      <w:tr w:rsidR="00886BFD" w14:paraId="45868380" w14:textId="77777777" w:rsidTr="00886BFD">
        <w:trPr>
          <w:cantSplit/>
        </w:trPr>
        <w:tc>
          <w:tcPr>
            <w:tcW w:w="9558" w:type="dxa"/>
            <w:gridSpan w:val="11"/>
          </w:tcPr>
          <w:p w14:paraId="29DE0585" w14:textId="77777777" w:rsidR="00886BFD" w:rsidRPr="00E37EFC" w:rsidRDefault="00886BFD" w:rsidP="00886BFD"/>
        </w:tc>
      </w:tr>
      <w:tr w:rsidR="00886BFD" w14:paraId="3C46EEC8" w14:textId="77777777" w:rsidTr="00886BFD">
        <w:trPr>
          <w:cantSplit/>
        </w:trPr>
        <w:tc>
          <w:tcPr>
            <w:tcW w:w="1771" w:type="dxa"/>
            <w:gridSpan w:val="2"/>
          </w:tcPr>
          <w:p w14:paraId="546FAA94" w14:textId="29050E72" w:rsidR="00886BFD" w:rsidRPr="00E37EFC" w:rsidRDefault="00572EFC" w:rsidP="00886BFD">
            <w:pPr>
              <w:rPr>
                <w:b/>
                <w:u w:val="single"/>
              </w:rPr>
            </w:pPr>
            <w:r w:rsidRPr="00E37EFC">
              <w:rPr>
                <w:b/>
                <w:u w:val="single"/>
              </w:rPr>
              <w:t xml:space="preserve">Requester’s </w:t>
            </w:r>
            <w:r w:rsidR="00886BFD" w:rsidRPr="00E37EFC">
              <w:rPr>
                <w:b/>
                <w:u w:val="single"/>
              </w:rPr>
              <w:t>Interpretation:</w:t>
            </w:r>
          </w:p>
        </w:tc>
        <w:tc>
          <w:tcPr>
            <w:tcW w:w="7787" w:type="dxa"/>
            <w:gridSpan w:val="9"/>
            <w:tcBorders>
              <w:bottom w:val="single" w:sz="4" w:space="0" w:color="auto"/>
            </w:tcBorders>
          </w:tcPr>
          <w:p w14:paraId="5AEFCAE1" w14:textId="00517760" w:rsidR="00886BFD" w:rsidRPr="00886BFD" w:rsidRDefault="005605A5" w:rsidP="00886BFD">
            <w:r>
              <w:t>This has a large effect on a HERS rating</w:t>
            </w:r>
            <w:r w:rsidR="00DD28ED">
              <w:t>s,</w:t>
            </w:r>
            <w:r>
              <w:t xml:space="preserve"> when duct work </w:t>
            </w:r>
            <w:proofErr w:type="gramStart"/>
            <w:r>
              <w:t>is located in</w:t>
            </w:r>
            <w:proofErr w:type="gramEnd"/>
            <w:r>
              <w:t xml:space="preserve"> unconditioned </w:t>
            </w:r>
            <w:r w:rsidR="00DD28ED">
              <w:t>spaces. RESNET’s alignment with the “I” codes have streamlined the industry and produced consistent accountability in HERS ratings. The IMC is clear in its requirement for duct insulation and therefore RESNET should make a ruling to align with the IMC.</w:t>
            </w:r>
          </w:p>
        </w:tc>
      </w:tr>
      <w:tr w:rsidR="00886BFD" w14:paraId="51C39083" w14:textId="77777777" w:rsidTr="00886BFD">
        <w:trPr>
          <w:cantSplit/>
        </w:trPr>
        <w:tc>
          <w:tcPr>
            <w:tcW w:w="1771" w:type="dxa"/>
            <w:gridSpan w:val="2"/>
          </w:tcPr>
          <w:p w14:paraId="08434EB8" w14:textId="77777777" w:rsidR="00886BFD" w:rsidRDefault="00886BFD" w:rsidP="00886BFD"/>
        </w:tc>
        <w:tc>
          <w:tcPr>
            <w:tcW w:w="7787" w:type="dxa"/>
            <w:gridSpan w:val="9"/>
          </w:tcPr>
          <w:p w14:paraId="192F9714" w14:textId="24E6E0D7" w:rsidR="00886BFD" w:rsidRDefault="00886BFD" w:rsidP="00886BFD">
            <w:pPr>
              <w:rPr>
                <w:sz w:val="16"/>
              </w:rPr>
            </w:pPr>
            <w:r>
              <w:rPr>
                <w:i/>
              </w:rPr>
              <w:t>(State what you consider the clarification should be. Note: Interpretations are solely the opinion of the SDC. There is no public review or comment incorporated in their development. Interpretations should not create new requirements for national consensus standards.)</w:t>
            </w:r>
          </w:p>
        </w:tc>
      </w:tr>
      <w:tr w:rsidR="00886BFD" w14:paraId="4EF36B02" w14:textId="77777777" w:rsidTr="00886BFD">
        <w:trPr>
          <w:cantSplit/>
          <w:trHeight w:val="360"/>
        </w:trPr>
        <w:tc>
          <w:tcPr>
            <w:tcW w:w="9558" w:type="dxa"/>
            <w:gridSpan w:val="11"/>
          </w:tcPr>
          <w:p w14:paraId="568BDEE9" w14:textId="2DC69005" w:rsidR="00886BFD" w:rsidRDefault="00886BFD" w:rsidP="00886BFD"/>
        </w:tc>
      </w:tr>
      <w:tr w:rsidR="00886BFD" w14:paraId="37696171" w14:textId="77777777" w:rsidTr="00886BFD">
        <w:trPr>
          <w:cantSplit/>
        </w:trPr>
        <w:tc>
          <w:tcPr>
            <w:tcW w:w="1728" w:type="dxa"/>
          </w:tcPr>
          <w:p w14:paraId="6B5D07D0" w14:textId="77777777" w:rsidR="00886BFD" w:rsidRDefault="00886BFD" w:rsidP="00886BFD">
            <w:pPr>
              <w:rPr>
                <w:b/>
                <w:u w:val="single"/>
              </w:rPr>
            </w:pPr>
            <w:r>
              <w:rPr>
                <w:b/>
                <w:u w:val="single"/>
              </w:rPr>
              <w:t>Question:</w:t>
            </w:r>
          </w:p>
        </w:tc>
        <w:tc>
          <w:tcPr>
            <w:tcW w:w="7830" w:type="dxa"/>
            <w:gridSpan w:val="10"/>
          </w:tcPr>
          <w:p w14:paraId="6B019977" w14:textId="505D4AD5" w:rsidR="00886BFD" w:rsidRDefault="00886BFD" w:rsidP="00886BFD">
            <w:pPr>
              <w:rPr>
                <w:sz w:val="16"/>
              </w:rPr>
            </w:pPr>
            <w:r>
              <w:t>Is this Interpretation correct?</w:t>
            </w:r>
            <w:r w:rsidR="00DD28ED">
              <w:t xml:space="preserve"> </w:t>
            </w:r>
          </w:p>
        </w:tc>
      </w:tr>
      <w:tr w:rsidR="00886BFD" w14:paraId="1660D954" w14:textId="77777777" w:rsidTr="00886BFD">
        <w:trPr>
          <w:cantSplit/>
        </w:trPr>
        <w:tc>
          <w:tcPr>
            <w:tcW w:w="1728" w:type="dxa"/>
          </w:tcPr>
          <w:p w14:paraId="60CC0597" w14:textId="77777777" w:rsidR="00886BFD" w:rsidRDefault="00886BFD" w:rsidP="00886BFD"/>
        </w:tc>
        <w:tc>
          <w:tcPr>
            <w:tcW w:w="7830" w:type="dxa"/>
            <w:gridSpan w:val="10"/>
          </w:tcPr>
          <w:p w14:paraId="0DFF4E05" w14:textId="77777777" w:rsidR="00886BFD" w:rsidRDefault="00886BFD" w:rsidP="00886BFD"/>
        </w:tc>
      </w:tr>
      <w:tr w:rsidR="00886BFD" w14:paraId="31407C5D" w14:textId="77777777" w:rsidTr="00886BFD">
        <w:trPr>
          <w:cantSplit/>
        </w:trPr>
        <w:tc>
          <w:tcPr>
            <w:tcW w:w="9558" w:type="dxa"/>
            <w:gridSpan w:val="11"/>
          </w:tcPr>
          <w:p w14:paraId="1C7E383F" w14:textId="77777777" w:rsidR="00886BFD" w:rsidRDefault="00886BFD" w:rsidP="00886BFD"/>
        </w:tc>
      </w:tr>
      <w:tr w:rsidR="00886BFD" w14:paraId="0A3F516C" w14:textId="77777777" w:rsidTr="00886BFD">
        <w:trPr>
          <w:cantSplit/>
        </w:trPr>
        <w:tc>
          <w:tcPr>
            <w:tcW w:w="1771" w:type="dxa"/>
            <w:gridSpan w:val="2"/>
          </w:tcPr>
          <w:p w14:paraId="11EFCD76" w14:textId="248313B8" w:rsidR="00886BFD" w:rsidRDefault="00572EFC" w:rsidP="00886BFD">
            <w:pPr>
              <w:rPr>
                <w:b/>
                <w:u w:val="single"/>
              </w:rPr>
            </w:pPr>
            <w:r w:rsidRPr="00E37EFC">
              <w:rPr>
                <w:b/>
                <w:u w:val="single"/>
              </w:rPr>
              <w:lastRenderedPageBreak/>
              <w:t xml:space="preserve">SDC300 </w:t>
            </w:r>
            <w:r w:rsidR="00886BFD">
              <w:rPr>
                <w:b/>
                <w:u w:val="single"/>
              </w:rPr>
              <w:t>Answer:</w:t>
            </w:r>
          </w:p>
        </w:tc>
        <w:tc>
          <w:tcPr>
            <w:tcW w:w="7787" w:type="dxa"/>
            <w:gridSpan w:val="9"/>
          </w:tcPr>
          <w:p w14:paraId="37A9DAE5" w14:textId="7D8B01CB" w:rsidR="00886BFD" w:rsidRPr="007A340D" w:rsidRDefault="008777EA" w:rsidP="00886BFD">
            <w:r>
              <w:t>No.</w:t>
            </w:r>
          </w:p>
        </w:tc>
      </w:tr>
      <w:tr w:rsidR="00886BFD" w14:paraId="75996319" w14:textId="77777777" w:rsidTr="00886BFD">
        <w:trPr>
          <w:cantSplit/>
        </w:trPr>
        <w:tc>
          <w:tcPr>
            <w:tcW w:w="9558" w:type="dxa"/>
            <w:gridSpan w:val="11"/>
          </w:tcPr>
          <w:p w14:paraId="3A2341A0" w14:textId="77777777" w:rsidR="00886BFD" w:rsidRDefault="00886BFD" w:rsidP="00886BFD"/>
        </w:tc>
      </w:tr>
      <w:tr w:rsidR="00886BFD" w14:paraId="7002A9A9" w14:textId="77777777" w:rsidTr="00886BFD">
        <w:trPr>
          <w:cantSplit/>
        </w:trPr>
        <w:tc>
          <w:tcPr>
            <w:tcW w:w="1771" w:type="dxa"/>
            <w:gridSpan w:val="2"/>
          </w:tcPr>
          <w:p w14:paraId="187BBD55" w14:textId="374BAA92" w:rsidR="00886BFD" w:rsidRDefault="00572EFC" w:rsidP="00886BFD">
            <w:pPr>
              <w:rPr>
                <w:b/>
                <w:u w:val="single"/>
              </w:rPr>
            </w:pPr>
            <w:r w:rsidRPr="00E37EFC">
              <w:rPr>
                <w:b/>
                <w:u w:val="single"/>
              </w:rPr>
              <w:lastRenderedPageBreak/>
              <w:t xml:space="preserve">SDC300 </w:t>
            </w:r>
            <w:r w:rsidR="00886BFD">
              <w:rPr>
                <w:b/>
                <w:u w:val="single"/>
              </w:rPr>
              <w:t>Comments:</w:t>
            </w:r>
          </w:p>
        </w:tc>
        <w:tc>
          <w:tcPr>
            <w:tcW w:w="7787" w:type="dxa"/>
            <w:gridSpan w:val="9"/>
          </w:tcPr>
          <w:p w14:paraId="4088AC99" w14:textId="6A7A078E" w:rsidR="00EF5233" w:rsidRDefault="0065366C" w:rsidP="00886BFD">
            <w:r>
              <w:t>This request seeks an interpretation</w:t>
            </w:r>
            <w:r w:rsidR="00EF5233">
              <w:t xml:space="preserve"> on language that does not currently exist in MINHERS or ANSI/RESNET/ ICC 301-2019</w:t>
            </w:r>
            <w:r w:rsidR="008865C9">
              <w:t xml:space="preserve"> so </w:t>
            </w:r>
            <w:r>
              <w:t>the SDC300 is</w:t>
            </w:r>
            <w:r w:rsidR="008865C9">
              <w:t xml:space="preserve"> unable to agree with your interpretation</w:t>
            </w:r>
            <w:r w:rsidR="00EF5233">
              <w:t xml:space="preserve">. </w:t>
            </w:r>
          </w:p>
          <w:p w14:paraId="4CE42E9A" w14:textId="68DCACB3" w:rsidR="00EF5233" w:rsidRDefault="00EF5233" w:rsidP="00886BFD"/>
          <w:p w14:paraId="69C1F626" w14:textId="6C317694" w:rsidR="00E577C7" w:rsidRDefault="00E577C7" w:rsidP="00886BFD">
            <w:r>
              <w:t xml:space="preserve">First, please note that the </w:t>
            </w:r>
            <w:r w:rsidR="0065366C">
              <w:t>B</w:t>
            </w:r>
            <w:r>
              <w:t xml:space="preserve">ackground and </w:t>
            </w:r>
            <w:r w:rsidR="0065366C">
              <w:t>I</w:t>
            </w:r>
            <w:r>
              <w:t xml:space="preserve">nterpretation provided </w:t>
            </w:r>
            <w:r w:rsidR="0065366C">
              <w:t xml:space="preserve">by the Requester </w:t>
            </w:r>
            <w:r>
              <w:t>mix</w:t>
            </w:r>
            <w:r w:rsidR="006A7E7A">
              <w:t>es</w:t>
            </w:r>
            <w:r>
              <w:t xml:space="preserve"> terms referring to different product types.  “Radiant barriers” and “reflective insulation” are two different types of products that have different requirements and characteristics.  It is our assumption that </w:t>
            </w:r>
            <w:r w:rsidR="0065366C">
              <w:t>the Requester is</w:t>
            </w:r>
            <w:r>
              <w:t xml:space="preserve"> referring to “reflective insulation” installed around ductwork for the purpose </w:t>
            </w:r>
            <w:r w:rsidR="006A7E7A">
              <w:t>of</w:t>
            </w:r>
            <w:r>
              <w:t xml:space="preserve"> serving as duct insulation.</w:t>
            </w:r>
          </w:p>
          <w:p w14:paraId="79719955" w14:textId="77777777" w:rsidR="00E577C7" w:rsidRDefault="00E577C7" w:rsidP="00886BFD"/>
          <w:p w14:paraId="74DA384C" w14:textId="1F17BAF3" w:rsidR="00EF5233" w:rsidRDefault="0065366C" w:rsidP="00886BFD">
            <w:r>
              <w:t xml:space="preserve">The </w:t>
            </w:r>
            <w:r w:rsidRPr="00E37EFC">
              <w:t>SDC</w:t>
            </w:r>
            <w:r w:rsidR="00C7085E" w:rsidRPr="00E37EFC">
              <w:t xml:space="preserve"> </w:t>
            </w:r>
            <w:r w:rsidRPr="00E37EFC">
              <w:t>300</w:t>
            </w:r>
            <w:r>
              <w:t xml:space="preserve"> </w:t>
            </w:r>
            <w:r w:rsidR="00EF5233">
              <w:t>agree</w:t>
            </w:r>
            <w:r>
              <w:t>s</w:t>
            </w:r>
            <w:r w:rsidR="00EF5233">
              <w:t xml:space="preserve"> that there could and should be more clarity added </w:t>
            </w:r>
            <w:r>
              <w:t xml:space="preserve">to the Standards </w:t>
            </w:r>
            <w:r w:rsidR="00EF5233">
              <w:t xml:space="preserve">regarding the use of “reflective insulation” on ducts.  This is a work item that will </w:t>
            </w:r>
            <w:r>
              <w:t>be</w:t>
            </w:r>
            <w:r w:rsidR="00F946B9">
              <w:t xml:space="preserve"> </w:t>
            </w:r>
            <w:r w:rsidR="00EF5233">
              <w:t>consider</w:t>
            </w:r>
            <w:r>
              <w:t>ed</w:t>
            </w:r>
            <w:r w:rsidR="00EF5233">
              <w:t xml:space="preserve"> </w:t>
            </w:r>
            <w:r w:rsidR="00F946B9">
              <w:t>as part of our future work plan</w:t>
            </w:r>
            <w:r w:rsidR="00EF5233">
              <w:t>.</w:t>
            </w:r>
          </w:p>
          <w:p w14:paraId="2B450B2D" w14:textId="77777777" w:rsidR="00EF5233" w:rsidRDefault="00EF5233" w:rsidP="00886BFD"/>
          <w:p w14:paraId="184FA04F" w14:textId="7E94FEFE" w:rsidR="008865C9" w:rsidRDefault="0065366C" w:rsidP="00886BFD">
            <w:r>
              <w:t xml:space="preserve">The Requester’s </w:t>
            </w:r>
            <w:r w:rsidR="008777EA">
              <w:t xml:space="preserve">statement that MINHERS Appendix A, section A-10.2 describes the inspection of duct insulation is correct, as is </w:t>
            </w:r>
            <w:r>
              <w:t xml:space="preserve">the </w:t>
            </w:r>
            <w:r w:rsidR="008777EA">
              <w:t xml:space="preserve">statement that it “does not clarify the use of radiant barriers with airspace.”  </w:t>
            </w:r>
            <w:r w:rsidR="008865C9">
              <w:t>The same holds true for</w:t>
            </w:r>
            <w:r w:rsidR="008777EA">
              <w:t xml:space="preserve">, ANSI/RESNET/ICC 301-2019, Appendix B, under Heating and Cooling Distribution System, Insulation </w:t>
            </w:r>
            <w:r w:rsidR="00E577C7">
              <w:t xml:space="preserve">as it </w:t>
            </w:r>
            <w:r w:rsidR="008777EA">
              <w:t xml:space="preserve">does not </w:t>
            </w:r>
            <w:r w:rsidR="00E577C7">
              <w:t xml:space="preserve">specifically </w:t>
            </w:r>
            <w:r w:rsidR="008777EA">
              <w:t>address these products</w:t>
            </w:r>
            <w:r w:rsidR="00F531A2">
              <w:t xml:space="preserve"> either</w:t>
            </w:r>
            <w:r w:rsidR="008777EA">
              <w:t xml:space="preserve">.  </w:t>
            </w:r>
          </w:p>
          <w:p w14:paraId="57AB2BAE" w14:textId="77777777" w:rsidR="008865C9" w:rsidRDefault="008865C9" w:rsidP="00886BFD"/>
          <w:p w14:paraId="36BD3EB9" w14:textId="1BAABFE8" w:rsidR="00886BFD" w:rsidRDefault="008865C9" w:rsidP="00886BFD">
            <w:r>
              <w:t>An</w:t>
            </w:r>
            <w:r w:rsidR="008777EA">
              <w:t xml:space="preserve"> </w:t>
            </w:r>
            <w:r w:rsidR="0065366C">
              <w:t>“</w:t>
            </w:r>
            <w:r w:rsidR="008777EA">
              <w:t>interpretation</w:t>
            </w:r>
            <w:r w:rsidR="0065366C">
              <w:t>”</w:t>
            </w:r>
            <w:r w:rsidR="008777EA">
              <w:t xml:space="preserve"> cannot be used </w:t>
            </w:r>
            <w:r w:rsidR="00FF2777">
              <w:t xml:space="preserve">to </w:t>
            </w:r>
            <w:r w:rsidR="008777EA">
              <w:t xml:space="preserve">increase the scope of this requirement to explicitly exclude </w:t>
            </w:r>
            <w:r w:rsidR="006A7E7A">
              <w:t>“</w:t>
            </w:r>
            <w:r>
              <w:t xml:space="preserve">reflective insulation” installed </w:t>
            </w:r>
            <w:r w:rsidR="008777EA">
              <w:t>on ductwork</w:t>
            </w:r>
            <w:r w:rsidR="00FD5A4F">
              <w:t xml:space="preserve"> or to write new standard language</w:t>
            </w:r>
            <w:r w:rsidR="00FD5A4F" w:rsidRPr="00E37EFC">
              <w:t>.</w:t>
            </w:r>
            <w:r w:rsidR="00045EFD" w:rsidRPr="00E37EFC">
              <w:t xml:space="preserve"> </w:t>
            </w:r>
            <w:r w:rsidR="0065366C" w:rsidRPr="00E37EFC">
              <w:t xml:space="preserve"> </w:t>
            </w:r>
            <w:r w:rsidR="00C7085E" w:rsidRPr="00E37EFC">
              <w:t>A</w:t>
            </w:r>
            <w:r w:rsidR="0065366C" w:rsidRPr="00E37EFC">
              <w:t xml:space="preserve">n “amendment” to the Standards </w:t>
            </w:r>
            <w:r w:rsidR="00C7085E" w:rsidRPr="00E37EFC">
              <w:t>would have to</w:t>
            </w:r>
            <w:r w:rsidR="0065366C" w:rsidRPr="00E37EFC">
              <w:t xml:space="preserve"> be proposed and approved to accomplish that</w:t>
            </w:r>
            <w:r w:rsidR="00F531A2" w:rsidRPr="00E37EFC">
              <w:t>.</w:t>
            </w:r>
            <w:r w:rsidR="00D1632F" w:rsidRPr="00E37EFC">
              <w:t xml:space="preserve">  </w:t>
            </w:r>
          </w:p>
          <w:p w14:paraId="7EBDA86C" w14:textId="4CF33F9A" w:rsidR="00F531A2" w:rsidRDefault="00F531A2" w:rsidP="00886BFD"/>
          <w:p w14:paraId="0B033417" w14:textId="052DAB21" w:rsidR="00045EFD" w:rsidRDefault="00045EFD" w:rsidP="00886BFD">
            <w:r>
              <w:t>While the SDC300 answer is “no”</w:t>
            </w:r>
            <w:r w:rsidR="006E45EC">
              <w:t xml:space="preserve"> for the above reasons</w:t>
            </w:r>
            <w:r>
              <w:t xml:space="preserve">, the following guidance may be useful. </w:t>
            </w:r>
          </w:p>
          <w:p w14:paraId="266CCB29" w14:textId="77777777" w:rsidR="00045EFD" w:rsidRDefault="00045EFD" w:rsidP="00886BFD"/>
          <w:p w14:paraId="2ADBE744" w14:textId="60F1606F" w:rsidR="00F531A2" w:rsidRDefault="0065366C" w:rsidP="00886BFD">
            <w:r>
              <w:t>While i</w:t>
            </w:r>
            <w:r w:rsidR="00F531A2">
              <w:t xml:space="preserve">n both MINHERS and 301-2019, the definitions of R-Value are given the units </w:t>
            </w:r>
            <w:r w:rsidR="00F531A2" w:rsidRPr="00F531A2">
              <w:t>h-ft</w:t>
            </w:r>
            <w:r w:rsidR="00F531A2" w:rsidRPr="00F531A2">
              <w:rPr>
                <w:vertAlign w:val="superscript"/>
              </w:rPr>
              <w:t>2</w:t>
            </w:r>
            <w:r w:rsidR="00F531A2" w:rsidRPr="00F531A2">
              <w:t>-F/Btu</w:t>
            </w:r>
            <w:r>
              <w:t>, they</w:t>
            </w:r>
            <w:r w:rsidR="00F531A2">
              <w:t xml:space="preserve"> are </w:t>
            </w:r>
            <w:r w:rsidR="00F531A2" w:rsidRPr="00E37EFC">
              <w:rPr>
                <w:u w:val="single"/>
              </w:rPr>
              <w:t>not</w:t>
            </w:r>
            <w:r w:rsidR="00F531A2">
              <w:t xml:space="preserve"> </w:t>
            </w:r>
            <w:r>
              <w:t xml:space="preserve">currently </w:t>
            </w:r>
            <w:r w:rsidR="00F531A2">
              <w:t>constrained by compliance with an ASTM standard.</w:t>
            </w:r>
            <w:r w:rsidR="008865C9">
              <w:t xml:space="preserve">  </w:t>
            </w:r>
            <w:r w:rsidR="008865C9" w:rsidRPr="00E37EFC">
              <w:rPr>
                <w:u w:val="single"/>
              </w:rPr>
              <w:t>However</w:t>
            </w:r>
            <w:r w:rsidR="008865C9">
              <w:t xml:space="preserve">, </w:t>
            </w:r>
            <w:r w:rsidR="00FD5A4F">
              <w:t>the Federal Trade Commission (</w:t>
            </w:r>
            <w:r w:rsidR="008865C9">
              <w:t>FTC</w:t>
            </w:r>
            <w:r w:rsidR="00FD5A4F">
              <w:t>)</w:t>
            </w:r>
            <w:r w:rsidR="008865C9">
              <w:t xml:space="preserve"> </w:t>
            </w:r>
            <w:r w:rsidR="00FD5A4F">
              <w:t xml:space="preserve">Part 460 - Labeling and Advertising Home Insulation </w:t>
            </w:r>
            <w:r w:rsidR="00FD5A4F" w:rsidRPr="00E37EFC">
              <w:rPr>
                <w:u w:val="single"/>
              </w:rPr>
              <w:t>does</w:t>
            </w:r>
            <w:r w:rsidR="00FD5A4F">
              <w:t xml:space="preserve"> address the test standards by which certain insulation product types must by tested </w:t>
            </w:r>
            <w:proofErr w:type="gramStart"/>
            <w:r w:rsidR="00FD5A4F">
              <w:t>in order for</w:t>
            </w:r>
            <w:proofErr w:type="gramEnd"/>
            <w:r w:rsidR="00FD5A4F">
              <w:t xml:space="preserve"> manufacturers to </w:t>
            </w:r>
            <w:r w:rsidR="00FD5A4F" w:rsidRPr="00E37EFC">
              <w:rPr>
                <w:u w:val="single"/>
              </w:rPr>
              <w:t>claim</w:t>
            </w:r>
            <w:r w:rsidR="00FD5A4F">
              <w:t xml:space="preserve"> and </w:t>
            </w:r>
            <w:r w:rsidR="00FD5A4F" w:rsidRPr="00E37EFC">
              <w:rPr>
                <w:u w:val="single"/>
              </w:rPr>
              <w:t>label</w:t>
            </w:r>
            <w:r w:rsidR="00FD5A4F">
              <w:t xml:space="preserve"> their products with a given </w:t>
            </w:r>
            <w:r w:rsidR="008865C9">
              <w:t>R-value</w:t>
            </w:r>
            <w:r w:rsidR="00FD5A4F">
              <w:t>. For example:</w:t>
            </w:r>
          </w:p>
          <w:p w14:paraId="6E8C6C14" w14:textId="60AD2198" w:rsidR="008865C9" w:rsidRDefault="008865C9" w:rsidP="00886BFD"/>
          <w:p w14:paraId="3CE86543" w14:textId="5F66498B" w:rsidR="00B2718E" w:rsidRDefault="00B2718E" w:rsidP="00B2718E">
            <w:pPr>
              <w:ind w:left="720"/>
            </w:pPr>
            <w:r>
              <w:t>460.5, R-value tests, subsection (c).</w:t>
            </w:r>
          </w:p>
          <w:p w14:paraId="6CEEA865" w14:textId="7C1E9934" w:rsidR="00B2718E" w:rsidRDefault="00B2718E" w:rsidP="00572EFC">
            <w:pPr>
              <w:ind w:left="720"/>
            </w:pPr>
            <w:r>
              <w:lastRenderedPageBreak/>
              <w:t>Reflective Insulation systems with more than one sheet, and single sheet systems that are intended for applications that do not meet the conditions specified in Table 3 in the ASHRAE Handbook, Chapter 25, must be tested with ASTM C1363-11, “Standard Test Method for the Thermal Performance of Building Assemblies by Means of a Hot Box Apparatus,” in a test panel constructed according to ASTM C1224-15, “Standard Specification for Reflective Insulation for Building Applications” and under the test conditions specified in ASTM C1224-15. To get the R-value from the results of those tests, use the formula specified in ASTM C1224-15.</w:t>
            </w:r>
          </w:p>
          <w:p w14:paraId="1E61F403" w14:textId="484C82B9" w:rsidR="00F531A2" w:rsidRDefault="00F531A2" w:rsidP="00886BFD"/>
          <w:p w14:paraId="443FABE2" w14:textId="25F52001" w:rsidR="00B2718E" w:rsidRDefault="000960A8" w:rsidP="00886BFD">
            <w:r>
              <w:t>Additionally,</w:t>
            </w:r>
            <w:r w:rsidR="00742B8B">
              <w:t xml:space="preserve"> ANSI/RESNET/ICC 301-2019, Appendix A Section A-2.3 addresses the installation of Reflective Insulation and Radiant Barriers.  Although it does not specifically mention ducts</w:t>
            </w:r>
            <w:r w:rsidR="006A7E7A">
              <w:t>,</w:t>
            </w:r>
            <w:r w:rsidR="00742B8B">
              <w:t xml:space="preserve"> the general principles for reflective insulation are applicable as the product relies on an enclosed air space for most of its claimed thermal performance.</w:t>
            </w:r>
          </w:p>
          <w:p w14:paraId="62E0B3AA" w14:textId="77777777" w:rsidR="00742B8B" w:rsidRDefault="00742B8B" w:rsidP="00886BFD"/>
          <w:p w14:paraId="6A53FB17" w14:textId="77777777" w:rsidR="006E45EC" w:rsidRDefault="00742B8B" w:rsidP="00886BFD">
            <w:r>
              <w:t xml:space="preserve">Manufacturers are also required to provide installation instructions which must be followed to achieve the claimed thermal performance of their specific product(s) </w:t>
            </w:r>
            <w:r w:rsidR="006A7E7A">
              <w:t xml:space="preserve">according to </w:t>
            </w:r>
            <w:r>
              <w:t xml:space="preserve">ANSI/RESNET/ICC 301-2019, Appendix A Section A-1.1, Minimum General Installation Requirements. </w:t>
            </w:r>
            <w:r w:rsidR="00F531A2">
              <w:t xml:space="preserve"> If this installation is not achieved, then the published R-Value </w:t>
            </w:r>
            <w:r w:rsidR="006A7E7A">
              <w:t>is</w:t>
            </w:r>
            <w:r w:rsidR="00F531A2">
              <w:t xml:space="preserve"> not valid.</w:t>
            </w:r>
            <w:r w:rsidR="007F16A6">
              <w:t xml:space="preserve">  </w:t>
            </w:r>
          </w:p>
          <w:p w14:paraId="1E97E70B" w14:textId="77777777" w:rsidR="006E45EC" w:rsidRDefault="006E45EC" w:rsidP="00886BFD"/>
          <w:p w14:paraId="45E702B9" w14:textId="32D488FC" w:rsidR="007E0311" w:rsidRDefault="007F16A6" w:rsidP="00886BFD">
            <w:r>
              <w:t xml:space="preserve">It is the responsibility of the HERS Rater to determine </w:t>
            </w:r>
            <w:proofErr w:type="gramStart"/>
            <w:r>
              <w:t>whether or not</w:t>
            </w:r>
            <w:proofErr w:type="gramEnd"/>
            <w:r>
              <w:t xml:space="preserve"> that installation is achieved in the field and can therefore be assigned the published R-Value.</w:t>
            </w:r>
          </w:p>
          <w:p w14:paraId="69874D67" w14:textId="77777777" w:rsidR="007E0311" w:rsidRDefault="007E0311" w:rsidP="00886BFD"/>
          <w:p w14:paraId="0A1F4056" w14:textId="6BF3DDAF" w:rsidR="008777EA" w:rsidRDefault="008777EA" w:rsidP="00886BFD"/>
          <w:p w14:paraId="151C0BF0" w14:textId="77777777" w:rsidR="00886BFD" w:rsidRDefault="00886BFD">
            <w:pPr>
              <w:rPr>
                <w:sz w:val="16"/>
              </w:rPr>
            </w:pPr>
          </w:p>
        </w:tc>
      </w:tr>
    </w:tbl>
    <w:p w14:paraId="18966ACD" w14:textId="77777777" w:rsidR="00621616" w:rsidRPr="00330F8B" w:rsidRDefault="00621616" w:rsidP="00330F8B"/>
    <w:sectPr w:rsidR="00621616" w:rsidRPr="00330F8B" w:rsidSect="00C36402">
      <w:headerReference w:type="even" r:id="rId12"/>
      <w:headerReference w:type="default" r:id="rId13"/>
      <w:footerReference w:type="even" r:id="rId14"/>
      <w:footerReference w:type="default" r:id="rId15"/>
      <w:headerReference w:type="first" r:id="rId16"/>
      <w:footerReference w:type="first" r:id="rId17"/>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2126" w14:textId="77777777" w:rsidR="008F25A6" w:rsidRDefault="008F25A6" w:rsidP="00B840E0">
      <w:r>
        <w:separator/>
      </w:r>
    </w:p>
  </w:endnote>
  <w:endnote w:type="continuationSeparator" w:id="0">
    <w:p w14:paraId="7A8B6CD4" w14:textId="77777777" w:rsidR="008F25A6" w:rsidRDefault="008F25A6"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321D"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7B22" w14:textId="06907FCC" w:rsidR="007F6194" w:rsidRPr="007F6194" w:rsidRDefault="0058318D" w:rsidP="007F6194">
    <w:pPr>
      <w:pStyle w:val="Footer"/>
      <w:jc w:val="center"/>
    </w:pPr>
    <w:r>
      <w:rPr>
        <w:noProof/>
      </w:rPr>
      <w:drawing>
        <wp:inline distT="0" distB="0" distL="0" distR="0" wp14:anchorId="22F9E985" wp14:editId="7B910C44">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E577"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798B" w14:textId="77777777" w:rsidR="008F25A6" w:rsidRDefault="008F25A6" w:rsidP="00B840E0">
      <w:r>
        <w:separator/>
      </w:r>
    </w:p>
  </w:footnote>
  <w:footnote w:type="continuationSeparator" w:id="0">
    <w:p w14:paraId="7A9E91AD" w14:textId="77777777" w:rsidR="008F25A6" w:rsidRDefault="008F25A6"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D998" w14:textId="77777777" w:rsidR="007F6194" w:rsidRDefault="007F6194" w:rsidP="00B840E0">
    <w:pPr>
      <w:pStyle w:val="Header"/>
    </w:pPr>
    <w:r>
      <w:t>[Type text]</w:t>
    </w:r>
    <w:r>
      <w:tab/>
      <w:t>[Type text]</w:t>
    </w:r>
    <w:r>
      <w:tab/>
      <w:t>[Type text]</w:t>
    </w:r>
  </w:p>
  <w:p w14:paraId="499454CA"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AA32" w14:textId="2500BED0" w:rsidR="007F6194" w:rsidRPr="007F6194" w:rsidRDefault="0058318D" w:rsidP="00B448AB">
    <w:pPr>
      <w:pStyle w:val="Header"/>
      <w:jc w:val="center"/>
    </w:pPr>
    <w:r>
      <w:rPr>
        <w:noProof/>
      </w:rPr>
      <w:drawing>
        <wp:anchor distT="0" distB="0" distL="114300" distR="114300" simplePos="0" relativeHeight="251657728" behindDoc="1" locked="0" layoutInCell="1" allowOverlap="1" wp14:anchorId="38EACE52" wp14:editId="6E1B36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FD7F"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D3C96"/>
    <w:multiLevelType w:val="hybridMultilevel"/>
    <w:tmpl w:val="F1C0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45EFD"/>
    <w:rsid w:val="00047EC0"/>
    <w:rsid w:val="000960A8"/>
    <w:rsid w:val="000A539A"/>
    <w:rsid w:val="000D7046"/>
    <w:rsid w:val="000E4646"/>
    <w:rsid w:val="00157B82"/>
    <w:rsid w:val="00192498"/>
    <w:rsid w:val="00195157"/>
    <w:rsid w:val="001E27CF"/>
    <w:rsid w:val="001F2F4E"/>
    <w:rsid w:val="002145C7"/>
    <w:rsid w:val="00220EBB"/>
    <w:rsid w:val="0023054D"/>
    <w:rsid w:val="002634EE"/>
    <w:rsid w:val="00276CF3"/>
    <w:rsid w:val="002870A6"/>
    <w:rsid w:val="002A02F8"/>
    <w:rsid w:val="002A759B"/>
    <w:rsid w:val="003253AA"/>
    <w:rsid w:val="00330F8B"/>
    <w:rsid w:val="00360E54"/>
    <w:rsid w:val="00382CC1"/>
    <w:rsid w:val="00386EA6"/>
    <w:rsid w:val="00463682"/>
    <w:rsid w:val="004A6140"/>
    <w:rsid w:val="005605A5"/>
    <w:rsid w:val="00563E0E"/>
    <w:rsid w:val="00572EFC"/>
    <w:rsid w:val="0058318D"/>
    <w:rsid w:val="005D3AC5"/>
    <w:rsid w:val="00621542"/>
    <w:rsid w:val="00621616"/>
    <w:rsid w:val="006410D1"/>
    <w:rsid w:val="00653421"/>
    <w:rsid w:val="0065366C"/>
    <w:rsid w:val="006A7E7A"/>
    <w:rsid w:val="006D2364"/>
    <w:rsid w:val="006E45EC"/>
    <w:rsid w:val="006E77A5"/>
    <w:rsid w:val="00730C10"/>
    <w:rsid w:val="00742B8B"/>
    <w:rsid w:val="00746C5A"/>
    <w:rsid w:val="007472B1"/>
    <w:rsid w:val="00780FC5"/>
    <w:rsid w:val="007810A9"/>
    <w:rsid w:val="0079219A"/>
    <w:rsid w:val="007A340D"/>
    <w:rsid w:val="007E0311"/>
    <w:rsid w:val="007F16A6"/>
    <w:rsid w:val="007F6194"/>
    <w:rsid w:val="00816470"/>
    <w:rsid w:val="008214ED"/>
    <w:rsid w:val="0083075C"/>
    <w:rsid w:val="008701BE"/>
    <w:rsid w:val="008777EA"/>
    <w:rsid w:val="008865C9"/>
    <w:rsid w:val="00886BFD"/>
    <w:rsid w:val="008F25A6"/>
    <w:rsid w:val="009222C7"/>
    <w:rsid w:val="00A81AA9"/>
    <w:rsid w:val="00B2718E"/>
    <w:rsid w:val="00B448AB"/>
    <w:rsid w:val="00B46CB0"/>
    <w:rsid w:val="00B72A71"/>
    <w:rsid w:val="00B840E0"/>
    <w:rsid w:val="00B85876"/>
    <w:rsid w:val="00BA2B46"/>
    <w:rsid w:val="00BE430D"/>
    <w:rsid w:val="00C36402"/>
    <w:rsid w:val="00C66D21"/>
    <w:rsid w:val="00C7085E"/>
    <w:rsid w:val="00C91E75"/>
    <w:rsid w:val="00D02727"/>
    <w:rsid w:val="00D15951"/>
    <w:rsid w:val="00D1632F"/>
    <w:rsid w:val="00D87E1D"/>
    <w:rsid w:val="00DD28ED"/>
    <w:rsid w:val="00E37EFC"/>
    <w:rsid w:val="00E577C7"/>
    <w:rsid w:val="00E867BD"/>
    <w:rsid w:val="00EB322C"/>
    <w:rsid w:val="00EB5233"/>
    <w:rsid w:val="00EF2E2A"/>
    <w:rsid w:val="00EF5233"/>
    <w:rsid w:val="00F46E82"/>
    <w:rsid w:val="00F531A2"/>
    <w:rsid w:val="00F77494"/>
    <w:rsid w:val="00F86111"/>
    <w:rsid w:val="00F946B9"/>
    <w:rsid w:val="00FD5A4F"/>
    <w:rsid w:val="00FF0883"/>
    <w:rsid w:val="00FF27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0617ACB"/>
  <w15:docId w15:val="{CDC20182-232D-4269-94BB-A00FB910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58318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F53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085E"/>
    <w:rPr>
      <w:sz w:val="16"/>
      <w:szCs w:val="16"/>
    </w:rPr>
  </w:style>
  <w:style w:type="paragraph" w:styleId="CommentText">
    <w:name w:val="annotation text"/>
    <w:basedOn w:val="Normal"/>
    <w:link w:val="CommentTextChar"/>
    <w:uiPriority w:val="99"/>
    <w:semiHidden/>
    <w:unhideWhenUsed/>
    <w:rsid w:val="00C7085E"/>
    <w:rPr>
      <w:sz w:val="20"/>
      <w:szCs w:val="20"/>
    </w:rPr>
  </w:style>
  <w:style w:type="character" w:customStyle="1" w:styleId="CommentTextChar">
    <w:name w:val="Comment Text Char"/>
    <w:basedOn w:val="DefaultParagraphFont"/>
    <w:link w:val="CommentText"/>
    <w:uiPriority w:val="99"/>
    <w:semiHidden/>
    <w:rsid w:val="00C708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085E"/>
    <w:rPr>
      <w:b/>
      <w:bCs/>
    </w:rPr>
  </w:style>
  <w:style w:type="character" w:customStyle="1" w:styleId="CommentSubjectChar">
    <w:name w:val="Comment Subject Char"/>
    <w:basedOn w:val="CommentTextChar"/>
    <w:link w:val="CommentSubject"/>
    <w:uiPriority w:val="99"/>
    <w:semiHidden/>
    <w:rsid w:val="00C7085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8ce77a0-e67f-416b-bd02-45cda2d68ae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CB6CCEBFCA58142B396A6DBD68C3EBB" ma:contentTypeVersion="12" ma:contentTypeDescription="Create a new document." ma:contentTypeScope="" ma:versionID="6a891fa009bb00623321a13691add181">
  <xsd:schema xmlns:xsd="http://www.w3.org/2001/XMLSchema" xmlns:xs="http://www.w3.org/2001/XMLSchema" xmlns:p="http://schemas.microsoft.com/office/2006/metadata/properties" xmlns:ns3="76a56100-c9db-461e-9021-87e045e17b39" targetNamespace="http://schemas.microsoft.com/office/2006/metadata/properties" ma:root="true" ma:fieldsID="feb86899ec62bc3f87728221caa50453" ns3:_="">
    <xsd:import namespace="76a56100-c9db-461e-9021-87e045e17b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56100-c9db-461e-9021-87e045e1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039C-7E06-420F-8B44-00FC02C035F6}">
  <ds:schemaRefs>
    <ds:schemaRef ds:uri="http://schemas.microsoft.com/office/2006/documentManagement/types"/>
    <ds:schemaRef ds:uri="http://purl.org/dc/terms/"/>
    <ds:schemaRef ds:uri="76a56100-c9db-461e-9021-87e045e17b39"/>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09A2AA-E2D2-46DF-9576-2925D0B07F8A}">
  <ds:schemaRefs>
    <ds:schemaRef ds:uri="http://schemas.microsoft.com/sharepoint/v3/contenttype/forms"/>
  </ds:schemaRefs>
</ds:datastoreItem>
</file>

<file path=customXml/itemProps3.xml><?xml version="1.0" encoding="utf-8"?>
<ds:datastoreItem xmlns:ds="http://schemas.openxmlformats.org/officeDocument/2006/customXml" ds:itemID="{8CE4CFAB-6B70-4C26-BB17-9146E873D9B1}">
  <ds:schemaRefs>
    <ds:schemaRef ds:uri="Microsoft.SharePoint.Taxonomy.ContentTypeSync"/>
  </ds:schemaRefs>
</ds:datastoreItem>
</file>

<file path=customXml/itemProps4.xml><?xml version="1.0" encoding="utf-8"?>
<ds:datastoreItem xmlns:ds="http://schemas.openxmlformats.org/officeDocument/2006/customXml" ds:itemID="{FAA01C9D-380B-4436-A2E9-B44B2C5E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56100-c9db-461e-9021-87e045e1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104CF-7BDF-4F36-93AC-3C5E737E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2</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dc:creator>
  <cp:lastModifiedBy>Richard Dixon</cp:lastModifiedBy>
  <cp:revision>2</cp:revision>
  <cp:lastPrinted>2012-05-15T20:51:00Z</cp:lastPrinted>
  <dcterms:created xsi:type="dcterms:W3CDTF">2019-09-13T01:38:00Z</dcterms:created>
  <dcterms:modified xsi:type="dcterms:W3CDTF">2019-09-13T01:38:00Z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0x010100DCB6CCEBFCA58142B396A6DBD68C3EBB</vt:lpwstr>
  </property>
</Properties>
</file>