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0762" w14:textId="39457757" w:rsidR="006B4893" w:rsidRDefault="006B4893"/>
    <w:p w14:paraId="39002052" w14:textId="7A7F1CC8" w:rsidR="00C1477A" w:rsidRPr="00A6647A" w:rsidRDefault="00A6647A" w:rsidP="00A6647A">
      <w:pPr>
        <w:spacing w:before="240"/>
        <w:jc w:val="center"/>
        <w:rPr>
          <w:b/>
          <w:bCs/>
          <w:sz w:val="56"/>
          <w:szCs w:val="56"/>
        </w:rPr>
      </w:pPr>
      <w:r w:rsidRPr="00A6647A">
        <w:rPr>
          <w:b/>
          <w:bCs/>
          <w:sz w:val="56"/>
          <w:szCs w:val="56"/>
        </w:rPr>
        <w:t>Draft PDS-01</w:t>
      </w:r>
    </w:p>
    <w:p w14:paraId="4D947D0E" w14:textId="408C4647" w:rsidR="00A6647A" w:rsidRPr="00A6647A" w:rsidRDefault="00A6647A" w:rsidP="00A6647A">
      <w:pPr>
        <w:spacing w:before="240"/>
        <w:jc w:val="center"/>
        <w:rPr>
          <w:b/>
          <w:bCs/>
          <w:sz w:val="56"/>
          <w:szCs w:val="56"/>
        </w:rPr>
      </w:pPr>
      <w:r w:rsidRPr="00A6647A">
        <w:rPr>
          <w:b/>
          <w:bCs/>
          <w:sz w:val="56"/>
          <w:szCs w:val="56"/>
        </w:rPr>
        <w:t>BSR/RESNET/ICC 380-2022</w:t>
      </w:r>
    </w:p>
    <w:p w14:paraId="337E788D" w14:textId="5A917A89" w:rsidR="00A6647A" w:rsidRPr="00A6647A" w:rsidRDefault="00A6647A" w:rsidP="00A6647A">
      <w:pPr>
        <w:spacing w:before="240"/>
        <w:jc w:val="center"/>
        <w:rPr>
          <w:b/>
          <w:bCs/>
          <w:sz w:val="56"/>
          <w:szCs w:val="56"/>
        </w:rPr>
      </w:pPr>
      <w:r w:rsidRPr="00A6647A">
        <w:rPr>
          <w:b/>
          <w:bCs/>
          <w:sz w:val="56"/>
          <w:szCs w:val="56"/>
        </w:rPr>
        <w:t>Addendum A-202x</w:t>
      </w:r>
    </w:p>
    <w:p w14:paraId="0AECE608" w14:textId="3D41677F" w:rsidR="00A6647A" w:rsidRDefault="00A6647A" w:rsidP="00A6647A">
      <w:pPr>
        <w:jc w:val="center"/>
        <w:rPr>
          <w:sz w:val="32"/>
          <w:szCs w:val="32"/>
        </w:rPr>
      </w:pPr>
    </w:p>
    <w:p w14:paraId="112C3B85" w14:textId="4CE0263A" w:rsidR="00A6647A" w:rsidRDefault="00A6647A" w:rsidP="00A6647A">
      <w:pPr>
        <w:rPr>
          <w:sz w:val="32"/>
          <w:szCs w:val="32"/>
        </w:rPr>
      </w:pPr>
    </w:p>
    <w:p w14:paraId="4E276B7E" w14:textId="77777777" w:rsidR="00A6647A" w:rsidRDefault="00A6647A" w:rsidP="00A6647A">
      <w:pPr>
        <w:rPr>
          <w:sz w:val="32"/>
          <w:szCs w:val="32"/>
        </w:rPr>
      </w:pPr>
    </w:p>
    <w:p w14:paraId="7C53B7E5" w14:textId="7D171B4C" w:rsidR="00A6647A" w:rsidRPr="00A6647A" w:rsidRDefault="00A6647A" w:rsidP="00A6647A">
      <w:pPr>
        <w:rPr>
          <w:sz w:val="32"/>
          <w:szCs w:val="32"/>
        </w:rPr>
      </w:pPr>
      <w:r>
        <w:rPr>
          <w:b/>
          <w:bCs/>
          <w:i/>
          <w:iCs/>
          <w:color w:val="0070C0"/>
        </w:rPr>
        <w:t>Modify Standard ANSI/RESNET/ICC 380-2022 as follows:</w:t>
      </w:r>
    </w:p>
    <w:p w14:paraId="6354F5A5" w14:textId="4D60B8E5" w:rsidR="00C1477A" w:rsidRDefault="00C1477A"/>
    <w:p w14:paraId="6E4C6534" w14:textId="77777777" w:rsidR="00C1477A" w:rsidRPr="00FF00A0" w:rsidRDefault="00C1477A" w:rsidP="00C1477A">
      <w:pPr>
        <w:pStyle w:val="Heading1"/>
        <w:numPr>
          <w:ilvl w:val="0"/>
          <w:numId w:val="1"/>
        </w:numPr>
        <w:tabs>
          <w:tab w:val="num" w:pos="360"/>
        </w:tabs>
        <w:spacing w:before="0" w:after="120"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FF00A0">
        <w:rPr>
          <w:rFonts w:ascii="Times New Roman" w:hAnsi="Times New Roman"/>
          <w:color w:val="auto"/>
          <w:sz w:val="24"/>
          <w:szCs w:val="24"/>
        </w:rPr>
        <w:t>Normative references.</w:t>
      </w:r>
    </w:p>
    <w:p w14:paraId="03D3653E" w14:textId="77777777" w:rsidR="00C1477A" w:rsidRPr="00FF00A0" w:rsidRDefault="00C1477A" w:rsidP="00C1477A">
      <w:pPr>
        <w:spacing w:after="120" w:line="240" w:lineRule="auto"/>
        <w:rPr>
          <w:color w:val="auto"/>
        </w:rPr>
      </w:pPr>
      <w:bookmarkStart w:id="0" w:name="_Hlk512102518"/>
      <w:r w:rsidRPr="00FF00A0">
        <w:rPr>
          <w:color w:val="auto"/>
        </w:rPr>
        <w:t xml:space="preserve">ACCA, “Manual B Balancing and Testing Air and Hydronic Systems.” Air Conditioning Contractors of America. Arlington, VA. </w:t>
      </w:r>
    </w:p>
    <w:p w14:paraId="5FDFBDFC" w14:textId="77777777" w:rsidR="00C1477A" w:rsidRPr="00FF00A0" w:rsidRDefault="00C1477A" w:rsidP="00C1477A">
      <w:pPr>
        <w:spacing w:after="120" w:line="240" w:lineRule="auto"/>
        <w:rPr>
          <w:color w:val="auto"/>
        </w:rPr>
      </w:pPr>
      <w:r w:rsidRPr="00FF00A0">
        <w:rPr>
          <w:color w:val="auto"/>
        </w:rPr>
        <w:t>ACCA, “Manual D Residential Duct Systems” [ANSI/ACCA 1 Manual D-2016]. Air Conditioning Contractors of America. Arlington, VA.</w:t>
      </w:r>
    </w:p>
    <w:p w14:paraId="25884ACF" w14:textId="77777777" w:rsidR="00C1477A" w:rsidRPr="00FF00A0" w:rsidRDefault="00C1477A" w:rsidP="00C1477A">
      <w:pPr>
        <w:spacing w:after="120" w:line="240" w:lineRule="auto"/>
        <w:rPr>
          <w:rFonts w:eastAsia="Times New Roman"/>
          <w:color w:val="auto"/>
          <w:kern w:val="0"/>
        </w:rPr>
      </w:pPr>
      <w:r w:rsidRPr="00FF00A0">
        <w:rPr>
          <w:color w:val="auto"/>
        </w:rPr>
        <w:t>ACCA, “Manual J Residential Load Calculation,” 8th Edition, [ANSI/ACCA 2 Manual J-2016]. Air Conditioning Contractors of America, Arlington, VA.</w:t>
      </w:r>
    </w:p>
    <w:p w14:paraId="78AAAE01" w14:textId="77777777" w:rsidR="00C1477A" w:rsidRPr="00FF00A0" w:rsidRDefault="00C1477A" w:rsidP="00C1477A">
      <w:pPr>
        <w:spacing w:after="120" w:line="240" w:lineRule="auto"/>
        <w:rPr>
          <w:color w:val="auto"/>
        </w:rPr>
      </w:pPr>
      <w:r w:rsidRPr="00FF00A0">
        <w:rPr>
          <w:color w:val="auto"/>
        </w:rPr>
        <w:t>ACCA, “Manual S Residential Heating and Cooling Equipment Selection,” 2nd Edition, [ANSI/ACCA 3 Manual S-2014]. Air Conditioning Contractors of America. Arlington, VA.</w:t>
      </w:r>
    </w:p>
    <w:bookmarkEnd w:id="0"/>
    <w:p w14:paraId="46E24F27" w14:textId="4C00BE8E" w:rsidR="00C1477A" w:rsidRPr="00FF00A0" w:rsidRDefault="00C1477A" w:rsidP="00C1477A">
      <w:pPr>
        <w:spacing w:after="120" w:line="240" w:lineRule="auto"/>
        <w:rPr>
          <w:i/>
          <w:iCs/>
          <w:color w:val="auto"/>
          <w:kern w:val="0"/>
          <w:sz w:val="22"/>
          <w:szCs w:val="22"/>
        </w:rPr>
      </w:pPr>
      <w:r w:rsidRPr="00FF00A0">
        <w:rPr>
          <w:color w:val="auto"/>
        </w:rPr>
        <w:t>ANSI/RESNET/ICC  301-</w:t>
      </w:r>
      <w:r w:rsidRPr="00DC4390">
        <w:rPr>
          <w:color w:val="FF0000"/>
          <w:u w:val="single"/>
        </w:rPr>
        <w:t>2022</w:t>
      </w:r>
      <w:r w:rsidRPr="00DC4390">
        <w:rPr>
          <w:strike/>
          <w:color w:val="FF0000"/>
        </w:rPr>
        <w:t>2019</w:t>
      </w:r>
      <w:r w:rsidRPr="00FF00A0">
        <w:rPr>
          <w:color w:val="auto"/>
        </w:rPr>
        <w:t xml:space="preserve"> “Standard for the Calculation and Labeling of the Energy Performance of Dwelling and Sleeping Units using an Energy Rating Index” and ANSI approved Addenda. Residential Energy Services Network. Oceanside, CA. </w:t>
      </w:r>
    </w:p>
    <w:p w14:paraId="73036F7F" w14:textId="77777777" w:rsidR="00C1477A" w:rsidRPr="00FF00A0" w:rsidRDefault="00C1477A" w:rsidP="00C1477A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color w:val="auto"/>
        </w:rPr>
      </w:pPr>
      <w:r w:rsidRPr="00FF00A0">
        <w:rPr>
          <w:color w:val="auto"/>
        </w:rPr>
        <w:t xml:space="preserve">ASHRAE Standard 62.2-2019 “Ventilation and Acceptable Indoor Air Quality in </w:t>
      </w:r>
      <w:r w:rsidRPr="00FF00A0">
        <w:rPr>
          <w:strike/>
          <w:color w:val="auto"/>
        </w:rPr>
        <w:t xml:space="preserve">Low-Rise </w:t>
      </w:r>
      <w:r w:rsidRPr="00FF00A0">
        <w:rPr>
          <w:color w:val="auto"/>
        </w:rPr>
        <w:t>Residential Buildings”. ASHRAE. Atlanta, GA.</w:t>
      </w:r>
    </w:p>
    <w:p w14:paraId="65D93D4A" w14:textId="77777777" w:rsidR="00C1477A" w:rsidRPr="00FF00A0" w:rsidRDefault="00C1477A" w:rsidP="00C1477A">
      <w:pPr>
        <w:spacing w:after="120" w:line="240" w:lineRule="auto"/>
        <w:rPr>
          <w:color w:val="auto"/>
        </w:rPr>
      </w:pPr>
      <w:r w:rsidRPr="00FF00A0">
        <w:rPr>
          <w:color w:val="auto"/>
        </w:rPr>
        <w:t xml:space="preserve">ASHRAE 152-2014 “Method of Test for Determining the Design and Seasonal Efficiencies of Residential Thermal Distribution Systems.” ASHRAE. Atlanta, GA. </w:t>
      </w:r>
    </w:p>
    <w:p w14:paraId="5A113E49" w14:textId="5510DE9E" w:rsidR="00C1477A" w:rsidRPr="00FF00A0" w:rsidRDefault="00C1477A" w:rsidP="00C1477A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color w:val="auto"/>
        </w:rPr>
      </w:pPr>
      <w:r w:rsidRPr="00FF00A0">
        <w:rPr>
          <w:color w:val="auto"/>
        </w:rPr>
        <w:t xml:space="preserve">ASTM E1554-13 </w:t>
      </w:r>
      <w:r w:rsidRPr="00DC4390">
        <w:rPr>
          <w:color w:val="FF0000"/>
          <w:u w:val="single"/>
        </w:rPr>
        <w:t xml:space="preserve">(2018) </w:t>
      </w:r>
      <w:r w:rsidRPr="00FF00A0">
        <w:rPr>
          <w:color w:val="auto"/>
        </w:rPr>
        <w:t xml:space="preserve">“Standard Test Methods for Determining Air Leakage of Air Distribution Systems by Fan Pressurization,” published by ASTM International. (www.astm.org) </w:t>
      </w:r>
    </w:p>
    <w:p w14:paraId="628F60C4" w14:textId="77777777" w:rsidR="00C1477A" w:rsidRPr="00FF00A0" w:rsidRDefault="00C1477A" w:rsidP="00C1477A">
      <w:pPr>
        <w:spacing w:after="120" w:line="240" w:lineRule="auto"/>
        <w:ind w:left="720" w:right="-270" w:hanging="720"/>
        <w:rPr>
          <w:color w:val="auto"/>
        </w:rPr>
      </w:pPr>
      <w:bookmarkStart w:id="1" w:name="_Hlk512103567"/>
      <w:r w:rsidRPr="00FF00A0">
        <w:rPr>
          <w:color w:val="auto"/>
        </w:rPr>
        <w:t xml:space="preserve">2018 </w:t>
      </w:r>
      <w:r w:rsidRPr="00FF00A0">
        <w:rPr>
          <w:i/>
          <w:color w:val="auto"/>
        </w:rPr>
        <w:t>International Building Code</w:t>
      </w:r>
      <w:r w:rsidRPr="00FF00A0">
        <w:rPr>
          <w:color w:val="auto"/>
        </w:rPr>
        <w:t xml:space="preserve">. International Code Council. Washington, D.C. </w:t>
      </w:r>
      <w:bookmarkEnd w:id="1"/>
    </w:p>
    <w:p w14:paraId="12A20FFF" w14:textId="77777777" w:rsidR="00C1477A" w:rsidRDefault="00C1477A"/>
    <w:sectPr w:rsidR="00C1477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9A67" w14:textId="77777777" w:rsidR="00E72F82" w:rsidRDefault="00E72F82" w:rsidP="00D419A5">
      <w:pPr>
        <w:spacing w:line="240" w:lineRule="auto"/>
      </w:pPr>
      <w:r>
        <w:separator/>
      </w:r>
    </w:p>
  </w:endnote>
  <w:endnote w:type="continuationSeparator" w:id="0">
    <w:p w14:paraId="1C8F7EC6" w14:textId="77777777" w:rsidR="00E72F82" w:rsidRDefault="00E72F82" w:rsidP="00D41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D542" w14:textId="77777777" w:rsidR="00E72F82" w:rsidRDefault="00E72F82" w:rsidP="00D419A5">
      <w:pPr>
        <w:spacing w:line="240" w:lineRule="auto"/>
      </w:pPr>
      <w:r>
        <w:separator/>
      </w:r>
    </w:p>
  </w:footnote>
  <w:footnote w:type="continuationSeparator" w:id="0">
    <w:p w14:paraId="3D4FE01A" w14:textId="77777777" w:rsidR="00E72F82" w:rsidRDefault="00E72F82" w:rsidP="00D419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F95B" w14:textId="21FA1A30" w:rsidR="00D419A5" w:rsidRDefault="00D419A5">
    <w:pPr>
      <w:pStyle w:val="Header"/>
    </w:pPr>
    <w:r>
      <w:t>PDS01Std380-2022AdndmA-RefStds</w:t>
    </w:r>
    <w:r w:rsidR="00ED29FF">
      <w:t>_webcmnt</w:t>
    </w:r>
  </w:p>
  <w:p w14:paraId="5547EDDD" w14:textId="77777777" w:rsidR="00D419A5" w:rsidRDefault="00D41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1146"/>
    <w:multiLevelType w:val="multilevel"/>
    <w:tmpl w:val="4E9408D0"/>
    <w:lvl w:ilvl="0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008" w:hanging="648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872" w:hanging="864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3041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7A"/>
    <w:rsid w:val="006B4893"/>
    <w:rsid w:val="00A6647A"/>
    <w:rsid w:val="00AF5925"/>
    <w:rsid w:val="00C1477A"/>
    <w:rsid w:val="00D419A5"/>
    <w:rsid w:val="00DC4390"/>
    <w:rsid w:val="00E72F82"/>
    <w:rsid w:val="00E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E6B8"/>
  <w15:chartTrackingRefBased/>
  <w15:docId w15:val="{1DD3C9F9-7289-4A33-877A-CBA0D07F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77A"/>
    <w:pPr>
      <w:suppressAutoHyphens/>
      <w:spacing w:after="0" w:line="100" w:lineRule="atLeast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77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77A"/>
    <w:rPr>
      <w:rFonts w:ascii="Calibri" w:eastAsia="MS Gothic" w:hAnsi="Calibri" w:cs="Times New Roman"/>
      <w:b/>
      <w:bCs/>
      <w:color w:val="000000"/>
      <w:kern w:val="32"/>
      <w:sz w:val="32"/>
      <w:szCs w:val="32"/>
    </w:rPr>
  </w:style>
  <w:style w:type="paragraph" w:styleId="Revision">
    <w:name w:val="Revision"/>
    <w:hidden/>
    <w:uiPriority w:val="99"/>
    <w:semiHidden/>
    <w:rsid w:val="00C1477A"/>
    <w:pPr>
      <w:spacing w:after="0" w:line="240" w:lineRule="auto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19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9A5"/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19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9A5"/>
    <w:rPr>
      <w:rFonts w:ascii="Times New Roman" w:hAnsi="Times New Roman" w:cs="Times New Roman"/>
      <w:color w:val="000000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Dixon</dc:creator>
  <cp:keywords/>
  <dc:description/>
  <cp:lastModifiedBy>Rick Dixon</cp:lastModifiedBy>
  <cp:revision>4</cp:revision>
  <dcterms:created xsi:type="dcterms:W3CDTF">2023-02-22T17:05:00Z</dcterms:created>
  <dcterms:modified xsi:type="dcterms:W3CDTF">2023-02-22T17:06:00Z</dcterms:modified>
</cp:coreProperties>
</file>