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1F81" w14:textId="76A1373A" w:rsidR="00E72E0D" w:rsidRDefault="00E72E0D"/>
    <w:p w14:paraId="07DF5AFE" w14:textId="1CF58D43" w:rsidR="00001213" w:rsidRPr="00765381" w:rsidRDefault="00001213" w:rsidP="001E3B10">
      <w:pPr>
        <w:jc w:val="center"/>
        <w:rPr>
          <w:rFonts w:ascii="Arial" w:hAnsi="Arial" w:cs="Arial"/>
          <w:b/>
          <w:bCs/>
          <w:sz w:val="48"/>
          <w:szCs w:val="48"/>
        </w:rPr>
      </w:pPr>
      <w:r w:rsidRPr="00765381">
        <w:rPr>
          <w:rFonts w:ascii="Arial" w:hAnsi="Arial" w:cs="Arial"/>
          <w:b/>
          <w:bCs/>
          <w:sz w:val="48"/>
          <w:szCs w:val="48"/>
        </w:rPr>
        <w:t>Draft PDS-01</w:t>
      </w:r>
    </w:p>
    <w:p w14:paraId="21D09DD0" w14:textId="31B8569C" w:rsidR="001E3B10" w:rsidRPr="00765381" w:rsidRDefault="001E3B10" w:rsidP="001E3B10">
      <w:pPr>
        <w:jc w:val="center"/>
        <w:rPr>
          <w:rFonts w:ascii="Arial" w:hAnsi="Arial" w:cs="Arial"/>
          <w:b/>
          <w:bCs/>
          <w:sz w:val="48"/>
          <w:szCs w:val="48"/>
        </w:rPr>
      </w:pPr>
      <w:r w:rsidRPr="00765381">
        <w:rPr>
          <w:rFonts w:ascii="Arial" w:hAnsi="Arial" w:cs="Arial"/>
          <w:b/>
          <w:bCs/>
          <w:sz w:val="48"/>
          <w:szCs w:val="48"/>
        </w:rPr>
        <w:t>BSR/RESNET/ICC 301-2022 Addendum B-202x, CO2e Index</w:t>
      </w:r>
    </w:p>
    <w:p w14:paraId="1E5B7F59" w14:textId="37312EC2" w:rsidR="001E3B10" w:rsidRPr="00765381" w:rsidRDefault="001E3B10" w:rsidP="001E3B10">
      <w:pPr>
        <w:rPr>
          <w:rFonts w:ascii="Arial" w:hAnsi="Arial" w:cs="Arial"/>
          <w:b/>
          <w:bCs/>
          <w:sz w:val="28"/>
          <w:szCs w:val="28"/>
        </w:rPr>
      </w:pPr>
    </w:p>
    <w:p w14:paraId="6EE3D274" w14:textId="0AB9E784" w:rsidR="00141D41" w:rsidRPr="00765381" w:rsidRDefault="00141D41" w:rsidP="00141D41">
      <w:pPr>
        <w:ind w:left="630" w:hanging="270"/>
        <w:rPr>
          <w:rFonts w:ascii="Arial" w:hAnsi="Arial" w:cs="Arial"/>
          <w:b/>
          <w:bCs/>
          <w:i/>
          <w:iCs/>
          <w:color w:val="0070C0"/>
        </w:rPr>
      </w:pPr>
      <w:r w:rsidRPr="00765381">
        <w:rPr>
          <w:rFonts w:ascii="Arial" w:eastAsiaTheme="majorEastAsia" w:hAnsi="Arial" w:cs="Arial"/>
          <w:b/>
          <w:bCs/>
          <w:i/>
          <w:iCs/>
          <w:color w:val="0070C0"/>
        </w:rPr>
        <w:t xml:space="preserve">Revise </w:t>
      </w:r>
      <w:r w:rsidR="00765381" w:rsidRPr="00765381">
        <w:rPr>
          <w:rFonts w:ascii="Arial" w:eastAsiaTheme="majorEastAsia" w:hAnsi="Arial" w:cs="Arial"/>
          <w:b/>
          <w:bCs/>
          <w:i/>
          <w:iCs/>
          <w:color w:val="0070C0"/>
        </w:rPr>
        <w:t>t</w:t>
      </w:r>
      <w:r w:rsidRPr="00765381">
        <w:rPr>
          <w:rFonts w:ascii="Arial" w:eastAsiaTheme="majorEastAsia" w:hAnsi="Arial" w:cs="Arial"/>
          <w:b/>
          <w:bCs/>
          <w:i/>
          <w:iCs/>
          <w:color w:val="0070C0"/>
        </w:rPr>
        <w:t>able note x.</w:t>
      </w:r>
      <w:r w:rsidR="00765381" w:rsidRPr="00765381">
        <w:rPr>
          <w:rFonts w:ascii="Arial" w:eastAsiaTheme="majorEastAsia" w:hAnsi="Arial" w:cs="Arial"/>
          <w:b/>
          <w:bCs/>
          <w:i/>
          <w:iCs/>
          <w:color w:val="0070C0"/>
        </w:rPr>
        <w:t xml:space="preserve"> for Table </w:t>
      </w:r>
      <w:r w:rsidR="00765381" w:rsidRPr="00765381">
        <w:rPr>
          <w:rFonts w:ascii="Arial" w:hAnsi="Arial" w:cs="Arial"/>
          <w:b/>
          <w:bCs/>
          <w:i/>
          <w:iCs/>
          <w:color w:val="0070C0"/>
        </w:rPr>
        <w:t>4.2.2(1) Specifications for the Energy Rating Reference and Rated Homes</w:t>
      </w:r>
      <w:r w:rsidRPr="00765381">
        <w:rPr>
          <w:rFonts w:ascii="Arial" w:eastAsiaTheme="majorEastAsia" w:hAnsi="Arial" w:cs="Arial"/>
          <w:b/>
          <w:bCs/>
          <w:i/>
          <w:iCs/>
          <w:color w:val="0070C0"/>
        </w:rPr>
        <w:t xml:space="preserve"> as follows:</w:t>
      </w:r>
    </w:p>
    <w:p w14:paraId="2F70C5A5" w14:textId="0970ACFD" w:rsidR="00DF7AFA" w:rsidRPr="00DF7AFA" w:rsidRDefault="00DF7AFA" w:rsidP="00DF7AFA">
      <w:pPr>
        <w:ind w:left="630" w:hanging="270"/>
        <w:rPr>
          <w:rFonts w:ascii="Arial" w:hAnsi="Arial" w:cs="Arial"/>
          <w:w w:val="105"/>
        </w:rPr>
      </w:pPr>
      <w:r w:rsidRPr="00141D41">
        <w:rPr>
          <w:rFonts w:ascii="Arial" w:hAnsi="Arial" w:cs="Arial"/>
          <w:b/>
          <w:bCs/>
        </w:rPr>
        <w:t>x.</w:t>
      </w:r>
      <w:r w:rsidRPr="000B100C">
        <w:rPr>
          <w:rFonts w:ascii="Arial" w:hAnsi="Arial" w:cs="Arial"/>
        </w:rPr>
        <w:t xml:space="preserve"> Any untested forced air distribution system is permitted to be modeled with a DSE of 0.70. </w:t>
      </w:r>
      <w:r w:rsidRPr="000B100C">
        <w:rPr>
          <w:rFonts w:ascii="Arial" w:hAnsi="Arial" w:cs="Arial"/>
          <w:w w:val="105"/>
        </w:rPr>
        <w:t xml:space="preserve">When both of the following conditions are met and documented, duct leakage testing is also not required. </w:t>
      </w:r>
    </w:p>
    <w:p w14:paraId="145B1B6B" w14:textId="77777777" w:rsidR="00DF7AFA" w:rsidRPr="00DF7AFA" w:rsidRDefault="00DF7AFA" w:rsidP="00DF7AFA">
      <w:pPr>
        <w:pStyle w:val="BodyText"/>
        <w:widowControl w:val="0"/>
        <w:numPr>
          <w:ilvl w:val="0"/>
          <w:numId w:val="1"/>
        </w:numPr>
        <w:tabs>
          <w:tab w:val="left" w:pos="900"/>
        </w:tabs>
        <w:kinsoku w:val="0"/>
        <w:overflowPunct w:val="0"/>
        <w:autoSpaceDE w:val="0"/>
        <w:autoSpaceDN w:val="0"/>
        <w:adjustRightInd w:val="0"/>
        <w:spacing w:before="81" w:after="0"/>
        <w:ind w:right="182"/>
        <w:rPr>
          <w:rFonts w:ascii="Arial" w:hAnsi="Arial" w:cs="Arial"/>
          <w:w w:val="105"/>
          <w:sz w:val="22"/>
          <w:szCs w:val="22"/>
        </w:rPr>
      </w:pPr>
      <w:r w:rsidRPr="00DF7AFA">
        <w:rPr>
          <w:rFonts w:ascii="Arial" w:hAnsi="Arial" w:cs="Arial"/>
          <w:w w:val="105"/>
          <w:sz w:val="22"/>
          <w:szCs w:val="22"/>
        </w:rPr>
        <w:t xml:space="preserve">At a pre-drywall stage of construction, 100 percent of the ductwork and </w:t>
      </w:r>
      <w:proofErr w:type="spellStart"/>
      <w:r w:rsidRPr="00DF7AFA">
        <w:rPr>
          <w:rFonts w:ascii="Arial" w:hAnsi="Arial" w:cs="Arial"/>
          <w:w w:val="105"/>
          <w:sz w:val="22"/>
          <w:szCs w:val="22"/>
        </w:rPr>
        <w:t>airhandler</w:t>
      </w:r>
      <w:proofErr w:type="spellEnd"/>
      <w:r w:rsidRPr="00DF7AFA">
        <w:rPr>
          <w:rFonts w:ascii="Arial" w:hAnsi="Arial" w:cs="Arial"/>
          <w:w w:val="105"/>
          <w:sz w:val="22"/>
          <w:szCs w:val="22"/>
        </w:rPr>
        <w:t xml:space="preserve"> shall be visible and visually verified to be contained inside the Conditioned Space Volume. </w:t>
      </w:r>
    </w:p>
    <w:p w14:paraId="06378E7F" w14:textId="77777777" w:rsidR="00DF7AFA" w:rsidRPr="00DF7AFA" w:rsidRDefault="00DF7AFA" w:rsidP="00DF7AFA">
      <w:pPr>
        <w:pStyle w:val="BodyText"/>
        <w:widowControl w:val="0"/>
        <w:numPr>
          <w:ilvl w:val="0"/>
          <w:numId w:val="1"/>
        </w:numPr>
        <w:tabs>
          <w:tab w:val="left" w:pos="900"/>
        </w:tabs>
        <w:kinsoku w:val="0"/>
        <w:overflowPunct w:val="0"/>
        <w:autoSpaceDE w:val="0"/>
        <w:autoSpaceDN w:val="0"/>
        <w:adjustRightInd w:val="0"/>
        <w:spacing w:before="81" w:after="0"/>
        <w:ind w:right="182"/>
        <w:rPr>
          <w:rFonts w:ascii="Arial" w:hAnsi="Arial" w:cs="Arial"/>
          <w:w w:val="105"/>
          <w:sz w:val="22"/>
          <w:szCs w:val="22"/>
        </w:rPr>
      </w:pPr>
      <w:r w:rsidRPr="00DF7AFA">
        <w:rPr>
          <w:rFonts w:ascii="Arial" w:hAnsi="Arial" w:cs="Arial"/>
          <w:w w:val="105"/>
          <w:sz w:val="22"/>
          <w:szCs w:val="22"/>
        </w:rPr>
        <w:t>At a final stage of construction, ductwork that is visible and the air handler shall be verified again to be contained in the Conditioned Space Volume.</w:t>
      </w:r>
    </w:p>
    <w:p w14:paraId="05460A2A" w14:textId="77777777" w:rsidR="00DF7AFA" w:rsidRPr="00DF7AFA" w:rsidRDefault="00DF7AFA" w:rsidP="00DF7AFA">
      <w:pPr>
        <w:pStyle w:val="FootnoteText"/>
        <w:ind w:left="360"/>
        <w:rPr>
          <w:rFonts w:ascii="Arial" w:hAnsi="Arial" w:cs="Arial"/>
          <w:w w:val="105"/>
          <w:sz w:val="22"/>
          <w:szCs w:val="22"/>
        </w:rPr>
      </w:pPr>
    </w:p>
    <w:p w14:paraId="6B00A4DA" w14:textId="0C2889B8" w:rsidR="00DF7AFA" w:rsidRPr="00DF7AFA" w:rsidRDefault="00DF7AFA" w:rsidP="00DF7AFA">
      <w:pPr>
        <w:pStyle w:val="FootnoteText"/>
        <w:ind w:left="630"/>
        <w:rPr>
          <w:rFonts w:ascii="Arial" w:hAnsi="Arial" w:cs="Arial"/>
          <w:w w:val="105"/>
          <w:sz w:val="22"/>
          <w:szCs w:val="22"/>
          <w:u w:val="single"/>
        </w:rPr>
      </w:pPr>
      <w:r w:rsidRPr="00DF7AFA">
        <w:rPr>
          <w:rFonts w:ascii="Arial" w:hAnsi="Arial" w:cs="Arial"/>
          <w:w w:val="105"/>
          <w:sz w:val="22"/>
          <w:szCs w:val="22"/>
        </w:rPr>
        <w:t>To calculate the energy impacts on the Rated Home,</w:t>
      </w:r>
      <w:r w:rsidRPr="00DF7AFA">
        <w:rPr>
          <w:rFonts w:ascii="Arial" w:hAnsi="Arial" w:cs="Arial"/>
          <w:spacing w:val="1"/>
          <w:w w:val="105"/>
          <w:sz w:val="22"/>
          <w:szCs w:val="22"/>
        </w:rPr>
        <w:t xml:space="preserve"> a</w:t>
      </w:r>
      <w:r w:rsidRPr="00DF7AFA">
        <w:rPr>
          <w:rFonts w:ascii="Arial" w:hAnsi="Arial" w:cs="Arial"/>
          <w:w w:val="105"/>
          <w:sz w:val="22"/>
          <w:szCs w:val="22"/>
        </w:rPr>
        <w:t xml:space="preserve"> DSE of 0.8</w:t>
      </w:r>
      <w:r w:rsidRPr="000B100C">
        <w:rPr>
          <w:rFonts w:ascii="Arial" w:hAnsi="Arial" w:cs="Arial"/>
          <w:w w:val="105"/>
          <w:sz w:val="22"/>
          <w:szCs w:val="22"/>
        </w:rPr>
        <w:t xml:space="preserve">0, </w:t>
      </w:r>
      <w:r w:rsidRPr="00DF7AFA">
        <w:rPr>
          <w:rFonts w:ascii="Arial" w:hAnsi="Arial" w:cs="Arial"/>
          <w:w w:val="105"/>
          <w:sz w:val="22"/>
          <w:szCs w:val="22"/>
        </w:rPr>
        <w:t>shall be applied to both the heating and cooling system efficiencies.</w:t>
      </w:r>
      <w:r w:rsidRPr="00DF7AFA">
        <w:rPr>
          <w:rFonts w:ascii="Arial" w:hAnsi="Arial" w:cs="Arial"/>
          <w:w w:val="105"/>
          <w:sz w:val="22"/>
          <w:szCs w:val="22"/>
          <w:u w:val="single"/>
        </w:rPr>
        <w:t xml:space="preserve"> </w:t>
      </w:r>
    </w:p>
    <w:p w14:paraId="12C136DC" w14:textId="77777777" w:rsidR="00DF7AFA" w:rsidRPr="00DF7AFA" w:rsidRDefault="00DF7AFA" w:rsidP="00DF7AFA">
      <w:pPr>
        <w:pStyle w:val="FootnoteText"/>
        <w:ind w:left="630"/>
        <w:rPr>
          <w:rFonts w:ascii="Arial" w:hAnsi="Arial" w:cs="Arial"/>
          <w:w w:val="105"/>
          <w:sz w:val="22"/>
          <w:szCs w:val="22"/>
          <w:u w:val="single"/>
        </w:rPr>
      </w:pPr>
    </w:p>
    <w:p w14:paraId="19624C8C" w14:textId="47596C1A" w:rsidR="00DF7AFA" w:rsidRPr="00DF7AFA" w:rsidRDefault="00DF7AFA" w:rsidP="00DF7AFA">
      <w:pPr>
        <w:pStyle w:val="FootnoteText"/>
        <w:ind w:left="630"/>
        <w:rPr>
          <w:rFonts w:ascii="Arial" w:hAnsi="Arial" w:cs="Arial"/>
          <w:strike/>
          <w:sz w:val="22"/>
          <w:szCs w:val="22"/>
          <w:vertAlign w:val="superscript"/>
          <w:lang w:eastAsia="x-none"/>
        </w:rPr>
      </w:pPr>
      <w:r w:rsidRPr="00CE2C05">
        <w:rPr>
          <w:rFonts w:ascii="Arial" w:hAnsi="Arial" w:cs="Arial"/>
          <w:color w:val="FF0000"/>
          <w:w w:val="105"/>
          <w:sz w:val="22"/>
          <w:szCs w:val="22"/>
          <w:u w:val="single"/>
        </w:rPr>
        <w:t>If at the pre-drywall stage of construction, the ductwork is visually verified to be 100 percent fully ducted with no building cavities used as supply or return ducts</w:t>
      </w:r>
      <w:r w:rsidRPr="00CE2C05">
        <w:rPr>
          <w:rFonts w:ascii="Arial" w:hAnsi="Arial" w:cs="Arial"/>
          <w:color w:val="FF0000"/>
          <w:sz w:val="22"/>
          <w:szCs w:val="22"/>
          <w:u w:val="single"/>
        </w:rPr>
        <w:t xml:space="preserve">, a DSE of 0.88 shall be applied to both the heating and cooling system efficiencies. </w:t>
      </w:r>
      <w:r w:rsidRPr="007E4633">
        <w:rPr>
          <w:rFonts w:ascii="Arial" w:hAnsi="Arial" w:cs="Arial"/>
          <w:w w:val="105"/>
          <w:sz w:val="22"/>
          <w:szCs w:val="22"/>
        </w:rPr>
        <w:t>As an alternative to the DSE = 0.88, a value of 4 cfm per 100 square feet of Conditioned Floor Area may be modeled for duct leakage to outside if the above conditions are met and no ductwork is contained within envelope assemblies adjacent to the exterior or Unconditioned Space Volumes.</w:t>
      </w:r>
      <w:r w:rsidRPr="00DF7AFA">
        <w:rPr>
          <w:rFonts w:ascii="Arial" w:hAnsi="Arial" w:cs="Arial"/>
          <w:color w:val="FF0000"/>
          <w:w w:val="105"/>
          <w:sz w:val="22"/>
          <w:szCs w:val="22"/>
        </w:rPr>
        <w:t xml:space="preserve"> </w:t>
      </w:r>
      <w:r w:rsidR="007E4633" w:rsidRPr="00CE2C05">
        <w:rPr>
          <w:rFonts w:ascii="Arial" w:hAnsi="Arial" w:cs="Arial"/>
          <w:strike/>
          <w:color w:val="FF0000"/>
          <w:w w:val="105"/>
          <w:sz w:val="22"/>
          <w:szCs w:val="22"/>
        </w:rPr>
        <w:t>If at a pre-drywall stage of construction, the ductwork is visually verified to be 100 percent fully ducted with no building cavities used as supply or return ducts</w:t>
      </w:r>
      <w:r w:rsidR="007E4633" w:rsidRPr="00CE2C05">
        <w:rPr>
          <w:rFonts w:ascii="Arial" w:hAnsi="Arial" w:cs="Arial"/>
          <w:strike/>
          <w:color w:val="FF0000"/>
          <w:sz w:val="22"/>
          <w:szCs w:val="22"/>
        </w:rPr>
        <w:t>, a DSE of 0.88 shall be applied to both the heating and cooling system efficiencies.</w:t>
      </w:r>
    </w:p>
    <w:p w14:paraId="4D81F8FD" w14:textId="77777777" w:rsidR="001E3B10" w:rsidRPr="00DF7AFA" w:rsidRDefault="001E3B10" w:rsidP="001E3B10">
      <w:pPr>
        <w:rPr>
          <w:rFonts w:ascii="Arial" w:hAnsi="Arial" w:cs="Arial"/>
        </w:rPr>
      </w:pPr>
    </w:p>
    <w:p w14:paraId="0E813C8C" w14:textId="657A83A0" w:rsidR="00141D41" w:rsidRPr="00765381" w:rsidRDefault="00141D41" w:rsidP="00141D41">
      <w:pPr>
        <w:ind w:left="630" w:hanging="270"/>
        <w:rPr>
          <w:rFonts w:ascii="Arial" w:hAnsi="Arial" w:cs="Arial"/>
          <w:b/>
          <w:bCs/>
          <w:i/>
          <w:iCs/>
          <w:color w:val="0070C0"/>
        </w:rPr>
      </w:pPr>
      <w:r w:rsidRPr="00765381">
        <w:rPr>
          <w:rFonts w:ascii="Arial" w:eastAsiaTheme="majorEastAsia" w:hAnsi="Arial" w:cs="Arial"/>
          <w:b/>
          <w:bCs/>
          <w:i/>
          <w:iCs/>
          <w:color w:val="0070C0"/>
        </w:rPr>
        <w:t xml:space="preserve">Revise </w:t>
      </w:r>
      <w:r w:rsidR="00765381" w:rsidRPr="00765381">
        <w:rPr>
          <w:rFonts w:ascii="Arial" w:eastAsiaTheme="majorEastAsia" w:hAnsi="Arial" w:cs="Arial"/>
          <w:b/>
          <w:bCs/>
          <w:i/>
          <w:iCs/>
          <w:color w:val="0070C0"/>
        </w:rPr>
        <w:t xml:space="preserve">table note (a) for </w:t>
      </w:r>
      <w:r w:rsidRPr="00765381">
        <w:rPr>
          <w:rFonts w:ascii="Arial" w:eastAsiaTheme="majorEastAsia" w:hAnsi="Arial" w:cs="Arial"/>
          <w:b/>
          <w:bCs/>
          <w:i/>
          <w:iCs/>
          <w:color w:val="0070C0"/>
        </w:rPr>
        <w:t>Table 4.3.1(1)</w:t>
      </w:r>
      <w:r w:rsidR="00765381" w:rsidRPr="00765381">
        <w:rPr>
          <w:rFonts w:ascii="Arial" w:eastAsiaTheme="majorEastAsia" w:hAnsi="Arial" w:cs="Arial"/>
          <w:b/>
          <w:bCs/>
          <w:i/>
          <w:iCs/>
          <w:color w:val="0070C0"/>
        </w:rPr>
        <w:t>,</w:t>
      </w:r>
      <w:r w:rsidRPr="00765381">
        <w:rPr>
          <w:rFonts w:ascii="Arial" w:eastAsiaTheme="majorEastAsia" w:hAnsi="Arial" w:cs="Arial"/>
          <w:b/>
          <w:bCs/>
          <w:i/>
          <w:iCs/>
          <w:color w:val="0070C0"/>
        </w:rPr>
        <w:t xml:space="preserve"> </w:t>
      </w:r>
      <w:r w:rsidR="00765381" w:rsidRPr="00765381">
        <w:rPr>
          <w:rFonts w:ascii="Arial" w:hAnsi="Arial" w:cs="Arial"/>
          <w:b/>
          <w:i/>
          <w:iCs/>
          <w:color w:val="0070C0"/>
        </w:rPr>
        <w:t>Configuration of Index Adjustment Design,</w:t>
      </w:r>
      <w:r w:rsidR="00765381" w:rsidRPr="00765381">
        <w:rPr>
          <w:rFonts w:ascii="Arial" w:eastAsiaTheme="majorEastAsia" w:hAnsi="Arial" w:cs="Arial"/>
          <w:b/>
          <w:bCs/>
          <w:i/>
          <w:iCs/>
          <w:color w:val="0070C0"/>
        </w:rPr>
        <w:t xml:space="preserve"> </w:t>
      </w:r>
      <w:r w:rsidRPr="00765381">
        <w:rPr>
          <w:rFonts w:ascii="Arial" w:eastAsiaTheme="majorEastAsia" w:hAnsi="Arial" w:cs="Arial"/>
          <w:b/>
          <w:bCs/>
          <w:i/>
          <w:iCs/>
          <w:color w:val="0070C0"/>
        </w:rPr>
        <w:t>as follows:</w:t>
      </w:r>
    </w:p>
    <w:p w14:paraId="6615A6F7" w14:textId="77777777" w:rsidR="00141D41" w:rsidRPr="00141D41" w:rsidRDefault="00141D41" w:rsidP="00141D41">
      <w:pPr>
        <w:keepNext/>
        <w:spacing w:before="120"/>
        <w:jc w:val="center"/>
        <w:rPr>
          <w:rFonts w:ascii="Arial" w:hAnsi="Arial" w:cs="Arial"/>
          <w:b/>
        </w:rPr>
      </w:pPr>
      <w:r w:rsidRPr="00141D41">
        <w:rPr>
          <w:rFonts w:ascii="Arial" w:hAnsi="Arial" w:cs="Arial"/>
          <w:b/>
        </w:rPr>
        <w:t>Table 4.3.1(1) Configuration of Index Adjustment Design</w:t>
      </w:r>
    </w:p>
    <w:p w14:paraId="56560D15" w14:textId="77777777" w:rsidR="00A5155A" w:rsidRPr="00A5155A" w:rsidRDefault="00A5155A" w:rsidP="00A5155A">
      <w:pPr>
        <w:spacing w:after="120"/>
        <w:rPr>
          <w:rFonts w:ascii="Arial" w:hAnsi="Arial" w:cs="Arial"/>
          <w:b/>
        </w:rPr>
      </w:pPr>
      <w:r w:rsidRPr="00A5155A">
        <w:rPr>
          <w:rFonts w:ascii="Arial" w:hAnsi="Arial" w:cs="Arial"/>
          <w:b/>
        </w:rPr>
        <w:t>Table 4.3.1(1) Notes:</w:t>
      </w:r>
    </w:p>
    <w:p w14:paraId="3E40B506" w14:textId="68B0F745" w:rsidR="00A5155A" w:rsidRPr="00A5155A" w:rsidRDefault="00A5155A" w:rsidP="00A5155A">
      <w:pPr>
        <w:pStyle w:val="ListParagraph"/>
        <w:numPr>
          <w:ilvl w:val="0"/>
          <w:numId w:val="2"/>
        </w:numPr>
        <w:ind w:left="360"/>
        <w:rPr>
          <w:rFonts w:ascii="Arial" w:hAnsi="Arial" w:cs="Arial"/>
          <w:strike/>
          <w:sz w:val="22"/>
          <w:szCs w:val="22"/>
        </w:rPr>
      </w:pPr>
      <w:r w:rsidRPr="00CA59D4">
        <w:rPr>
          <w:rFonts w:ascii="Arial" w:hAnsi="Arial" w:cs="Arial"/>
          <w:sz w:val="22"/>
          <w:szCs w:val="22"/>
        </w:rPr>
        <w:t xml:space="preserve">The procedure for determining the combined air exchange rate resulting from infiltration combined with Dwelling Unit Mechanical Ventilation Systems </w:t>
      </w:r>
      <w:proofErr w:type="spellStart"/>
      <w:r w:rsidRPr="00CE2C05">
        <w:rPr>
          <w:rFonts w:ascii="Arial" w:hAnsi="Arial" w:cs="Arial"/>
          <w:strike/>
          <w:color w:val="FF0000"/>
          <w:sz w:val="22"/>
          <w:szCs w:val="22"/>
        </w:rPr>
        <w:t>is</w:t>
      </w:r>
      <w:r w:rsidRPr="00CE2C05">
        <w:rPr>
          <w:rFonts w:ascii="Arial" w:hAnsi="Arial" w:cs="Arial"/>
          <w:color w:val="FF0000"/>
          <w:sz w:val="22"/>
          <w:szCs w:val="22"/>
          <w:u w:val="single"/>
        </w:rPr>
        <w:t>shall</w:t>
      </w:r>
      <w:proofErr w:type="spellEnd"/>
      <w:r w:rsidRPr="00CE2C05">
        <w:rPr>
          <w:rFonts w:ascii="Arial" w:hAnsi="Arial" w:cs="Arial"/>
          <w:color w:val="FF0000"/>
          <w:sz w:val="22"/>
          <w:szCs w:val="22"/>
          <w:u w:val="single"/>
        </w:rPr>
        <w:t xml:space="preserve"> be</w:t>
      </w:r>
      <w:r w:rsidRPr="00CE2C05">
        <w:rPr>
          <w:rFonts w:ascii="Arial" w:hAnsi="Arial" w:cs="Arial"/>
          <w:color w:val="FF0000"/>
          <w:sz w:val="22"/>
          <w:szCs w:val="22"/>
        </w:rPr>
        <w:t xml:space="preserve"> </w:t>
      </w:r>
      <w:r w:rsidRPr="00CA59D4">
        <w:rPr>
          <w:rFonts w:ascii="Arial" w:hAnsi="Arial" w:cs="Arial"/>
          <w:sz w:val="22"/>
          <w:szCs w:val="22"/>
        </w:rPr>
        <w:t>consistent with that shown in Table 4.2.2(1) table notes (g) and (h).</w:t>
      </w:r>
    </w:p>
    <w:p w14:paraId="429CA266" w14:textId="6A7049F8" w:rsidR="00A5155A" w:rsidRDefault="00A5155A">
      <w:pPr>
        <w:rPr>
          <w:rFonts w:ascii="Arial" w:hAnsi="Arial" w:cs="Arial"/>
        </w:rPr>
      </w:pPr>
    </w:p>
    <w:p w14:paraId="70D2ABC6" w14:textId="5D14AE5C" w:rsidR="00A5155A" w:rsidRDefault="00A5155A">
      <w:pPr>
        <w:rPr>
          <w:rFonts w:ascii="Arial" w:hAnsi="Arial" w:cs="Arial"/>
        </w:rPr>
      </w:pPr>
    </w:p>
    <w:p w14:paraId="0610C8FF" w14:textId="51622079" w:rsidR="001C1C92" w:rsidRPr="001C1C92" w:rsidRDefault="001C1C92" w:rsidP="001C1C92">
      <w:pPr>
        <w:rPr>
          <w:rFonts w:ascii="Arial" w:eastAsiaTheme="majorEastAsia" w:hAnsi="Arial" w:cs="Arial"/>
          <w:b/>
          <w:bCs/>
          <w:i/>
          <w:iCs/>
          <w:color w:val="0070C0"/>
        </w:rPr>
      </w:pPr>
      <w:r>
        <w:rPr>
          <w:rFonts w:ascii="Arial" w:eastAsiaTheme="majorEastAsia" w:hAnsi="Arial" w:cs="Arial"/>
          <w:b/>
          <w:bCs/>
          <w:i/>
          <w:iCs/>
          <w:color w:val="0070C0"/>
        </w:rPr>
        <w:t>Revise section 7.1.2.2. as follows:</w:t>
      </w:r>
    </w:p>
    <w:p w14:paraId="66931E7B" w14:textId="44CDF58E" w:rsidR="00B058A8" w:rsidRPr="00B058A8" w:rsidRDefault="00B058A8" w:rsidP="00B058A8">
      <w:pPr>
        <w:pStyle w:val="four"/>
        <w:numPr>
          <w:ilvl w:val="0"/>
          <w:numId w:val="0"/>
        </w:numPr>
        <w:ind w:left="360"/>
        <w:rPr>
          <w:rFonts w:ascii="Arial" w:hAnsi="Arial" w:cs="Arial"/>
          <w:sz w:val="22"/>
          <w:szCs w:val="22"/>
        </w:rPr>
      </w:pPr>
      <w:r w:rsidRPr="00082061">
        <w:rPr>
          <w:rFonts w:ascii="Arial" w:hAnsi="Arial" w:cs="Arial"/>
          <w:b/>
          <w:sz w:val="22"/>
          <w:szCs w:val="22"/>
        </w:rPr>
        <w:t>7.1.2.2.</w:t>
      </w:r>
      <w:r w:rsidRPr="00341C42">
        <w:rPr>
          <w:rFonts w:ascii="Arial" w:hAnsi="Arial" w:cs="Arial"/>
          <w:b/>
          <w:sz w:val="22"/>
          <w:szCs w:val="22"/>
        </w:rPr>
        <w:t xml:space="preserve">  </w:t>
      </w:r>
      <w:r w:rsidRPr="00B058A8">
        <w:rPr>
          <w:rFonts w:ascii="Arial" w:hAnsi="Arial" w:cs="Arial"/>
          <w:b/>
          <w:sz w:val="22"/>
          <w:szCs w:val="22"/>
        </w:rPr>
        <w:t>Emission</w:t>
      </w:r>
      <w:r w:rsidRPr="00B058A8">
        <w:rPr>
          <w:rFonts w:ascii="Arial" w:hAnsi="Arial" w:cs="Arial"/>
          <w:sz w:val="22"/>
          <w:szCs w:val="22"/>
        </w:rPr>
        <w:t xml:space="preserve">. </w:t>
      </w:r>
      <w:r w:rsidRPr="00CA59D4">
        <w:rPr>
          <w:rFonts w:ascii="Arial" w:hAnsi="Arial" w:cs="Arial"/>
          <w:iCs/>
          <w:sz w:val="22"/>
          <w:szCs w:val="22"/>
        </w:rPr>
        <w:t>T</w:t>
      </w:r>
      <w:r w:rsidRPr="00B058A8">
        <w:rPr>
          <w:rFonts w:ascii="Arial" w:hAnsi="Arial" w:cs="Arial"/>
          <w:sz w:val="22"/>
          <w:szCs w:val="22"/>
        </w:rPr>
        <w:t>he emission</w:t>
      </w:r>
      <w:r w:rsidRPr="00082061">
        <w:rPr>
          <w:rFonts w:ascii="Arial" w:hAnsi="Arial" w:cs="Arial"/>
          <w:color w:val="auto"/>
          <w:sz w:val="22"/>
          <w:szCs w:val="22"/>
        </w:rPr>
        <w:t>s</w:t>
      </w:r>
      <w:r w:rsidRPr="00B058A8">
        <w:rPr>
          <w:rFonts w:ascii="Arial" w:hAnsi="Arial" w:cs="Arial"/>
          <w:sz w:val="22"/>
          <w:szCs w:val="22"/>
        </w:rPr>
        <w:t xml:space="preserve"> for the Rated Home shall be calculated in accordance with Sections</w:t>
      </w:r>
      <w:r w:rsidR="00CA59D4">
        <w:rPr>
          <w:rFonts w:ascii="Arial" w:hAnsi="Arial" w:cs="Arial"/>
          <w:sz w:val="22"/>
          <w:szCs w:val="22"/>
        </w:rPr>
        <w:t xml:space="preserve"> 7.1.2.2.1 and 7.1.2.2.2.</w:t>
      </w:r>
    </w:p>
    <w:p w14:paraId="35054ED1" w14:textId="77777777" w:rsidR="00B058A8" w:rsidRPr="00B058A8" w:rsidRDefault="00B058A8" w:rsidP="00B058A8">
      <w:pPr>
        <w:ind w:left="720"/>
        <w:rPr>
          <w:rFonts w:ascii="Arial" w:hAnsi="Arial" w:cs="Arial"/>
        </w:rPr>
      </w:pPr>
    </w:p>
    <w:p w14:paraId="27AD849D" w14:textId="2E25744C" w:rsidR="00B058A8" w:rsidRPr="00B058A8" w:rsidRDefault="00B058A8" w:rsidP="00B058A8">
      <w:pPr>
        <w:pStyle w:val="five"/>
        <w:numPr>
          <w:ilvl w:val="0"/>
          <w:numId w:val="0"/>
        </w:numPr>
        <w:ind w:left="720"/>
        <w:rPr>
          <w:rFonts w:ascii="Arial" w:hAnsi="Arial" w:cs="Arial"/>
          <w:sz w:val="22"/>
          <w:szCs w:val="22"/>
        </w:rPr>
      </w:pPr>
      <w:bookmarkStart w:id="0" w:name="_Ref495406731"/>
      <w:r w:rsidRPr="00082061">
        <w:rPr>
          <w:rFonts w:ascii="Arial" w:hAnsi="Arial" w:cs="Arial"/>
          <w:b/>
          <w:sz w:val="22"/>
          <w:szCs w:val="22"/>
        </w:rPr>
        <w:t>7.1.2.2.1.</w:t>
      </w:r>
      <w:r w:rsidRPr="00341C42">
        <w:rPr>
          <w:rFonts w:ascii="Arial" w:hAnsi="Arial" w:cs="Arial"/>
          <w:b/>
          <w:sz w:val="22"/>
          <w:szCs w:val="22"/>
        </w:rPr>
        <w:t xml:space="preserve">  </w:t>
      </w:r>
      <w:r w:rsidRPr="00B058A8">
        <w:rPr>
          <w:rFonts w:ascii="Arial" w:hAnsi="Arial" w:cs="Arial"/>
          <w:b/>
          <w:sz w:val="22"/>
          <w:szCs w:val="22"/>
        </w:rPr>
        <w:t>Emissions</w:t>
      </w:r>
      <w:r w:rsidRPr="00B058A8">
        <w:rPr>
          <w:rFonts w:ascii="Arial" w:hAnsi="Arial" w:cs="Arial"/>
          <w:sz w:val="22"/>
          <w:szCs w:val="22"/>
        </w:rPr>
        <w:t xml:space="preserve">. </w:t>
      </w:r>
      <w:r w:rsidRPr="00082061">
        <w:rPr>
          <w:rFonts w:ascii="Arial" w:hAnsi="Arial" w:cs="Arial"/>
          <w:color w:val="auto"/>
          <w:sz w:val="22"/>
          <w:szCs w:val="22"/>
        </w:rPr>
        <w:t>Emissions f</w:t>
      </w:r>
      <w:r w:rsidRPr="00B058A8">
        <w:rPr>
          <w:rFonts w:ascii="Arial" w:hAnsi="Arial" w:cs="Arial"/>
          <w:sz w:val="22"/>
          <w:szCs w:val="22"/>
        </w:rPr>
        <w:t>or all homes shall be calculated</w:t>
      </w:r>
      <w:r w:rsidRPr="00341C42">
        <w:rPr>
          <w:rFonts w:ascii="Arial" w:hAnsi="Arial" w:cs="Arial"/>
          <w:sz w:val="22"/>
          <w:szCs w:val="22"/>
        </w:rPr>
        <w:t xml:space="preserve"> </w:t>
      </w:r>
      <w:r w:rsidRPr="00B058A8">
        <w:rPr>
          <w:rFonts w:ascii="Arial" w:hAnsi="Arial" w:cs="Arial"/>
          <w:sz w:val="22"/>
          <w:szCs w:val="22"/>
        </w:rPr>
        <w:t>in accordance with Sections</w:t>
      </w:r>
      <w:r w:rsidR="00082061">
        <w:rPr>
          <w:rFonts w:ascii="Arial" w:hAnsi="Arial" w:cs="Arial"/>
          <w:sz w:val="22"/>
          <w:szCs w:val="22"/>
        </w:rPr>
        <w:t xml:space="preserve"> 7.1.2.2.1.1. and 7.1.2.2.1.2.</w:t>
      </w:r>
      <w:bookmarkEnd w:id="0"/>
      <w:r w:rsidRPr="00B058A8">
        <w:rPr>
          <w:rFonts w:ascii="Arial" w:hAnsi="Arial" w:cs="Arial"/>
          <w:sz w:val="22"/>
          <w:szCs w:val="22"/>
        </w:rPr>
        <w:t xml:space="preserve"> </w:t>
      </w:r>
    </w:p>
    <w:p w14:paraId="46C548F6" w14:textId="77777777" w:rsidR="00B058A8" w:rsidRPr="00B058A8" w:rsidRDefault="00B058A8" w:rsidP="00B058A8">
      <w:pPr>
        <w:ind w:left="1080"/>
        <w:rPr>
          <w:rFonts w:ascii="Arial" w:hAnsi="Arial" w:cs="Arial"/>
        </w:rPr>
      </w:pPr>
    </w:p>
    <w:p w14:paraId="198CDB9D" w14:textId="1A60C5BA" w:rsidR="00B058A8" w:rsidRPr="00B058A8" w:rsidRDefault="00B058A8" w:rsidP="00B058A8">
      <w:pPr>
        <w:pStyle w:val="sixa"/>
        <w:numPr>
          <w:ilvl w:val="0"/>
          <w:numId w:val="0"/>
        </w:numPr>
        <w:ind w:left="2610"/>
        <w:rPr>
          <w:rFonts w:ascii="Arial" w:hAnsi="Arial" w:cs="Arial"/>
          <w:color w:val="0070C0"/>
          <w:sz w:val="22"/>
          <w:szCs w:val="22"/>
          <w:u w:val="single"/>
        </w:rPr>
      </w:pPr>
      <w:bookmarkStart w:id="1" w:name="_Ref495406771"/>
      <w:r w:rsidRPr="00082061">
        <w:rPr>
          <w:rFonts w:ascii="Arial" w:hAnsi="Arial" w:cs="Arial"/>
          <w:b/>
          <w:bCs w:val="0"/>
          <w:sz w:val="22"/>
          <w:szCs w:val="22"/>
        </w:rPr>
        <w:t xml:space="preserve">7.1.2.2.1.1.  </w:t>
      </w:r>
      <w:r w:rsidRPr="00B058A8">
        <w:rPr>
          <w:rFonts w:ascii="Arial" w:hAnsi="Arial" w:cs="Arial"/>
          <w:sz w:val="22"/>
          <w:szCs w:val="22"/>
        </w:rPr>
        <w:t xml:space="preserve">For electricity use, data for the sub-region annual total output emission rates published by Environmental Protection Agency’s </w:t>
      </w:r>
      <w:r w:rsidRPr="00CE2C05">
        <w:rPr>
          <w:rFonts w:ascii="Arial" w:hAnsi="Arial" w:cs="Arial"/>
          <w:strike/>
          <w:color w:val="FF0000"/>
          <w:sz w:val="22"/>
          <w:szCs w:val="22"/>
          <w:u w:val="single"/>
        </w:rPr>
        <w:t xml:space="preserve">2019 </w:t>
      </w:r>
      <w:r w:rsidRPr="00CE2C05">
        <w:rPr>
          <w:rFonts w:ascii="Arial" w:hAnsi="Arial" w:cs="Arial"/>
          <w:strike/>
          <w:color w:val="FF0000"/>
          <w:sz w:val="22"/>
          <w:szCs w:val="22"/>
        </w:rPr>
        <w:t>eGrid</w:t>
      </w:r>
      <w:r w:rsidRPr="00CE2C05">
        <w:rPr>
          <w:rFonts w:ascii="Arial" w:hAnsi="Arial" w:cs="Arial"/>
          <w:color w:val="FF0000"/>
          <w:sz w:val="22"/>
          <w:szCs w:val="22"/>
          <w:u w:val="single"/>
        </w:rPr>
        <w:t xml:space="preserve">2020 </w:t>
      </w:r>
      <w:proofErr w:type="spellStart"/>
      <w:r w:rsidRPr="00CE2C05">
        <w:rPr>
          <w:rFonts w:ascii="Arial" w:hAnsi="Arial" w:cs="Arial"/>
          <w:color w:val="FF0000"/>
          <w:sz w:val="22"/>
          <w:szCs w:val="22"/>
          <w:u w:val="single"/>
        </w:rPr>
        <w:t>eGRID</w:t>
      </w:r>
      <w:proofErr w:type="spellEnd"/>
      <w:r w:rsidRPr="00CE2C05">
        <w:rPr>
          <w:rFonts w:ascii="Arial" w:hAnsi="Arial" w:cs="Arial"/>
          <w:color w:val="FF0000"/>
          <w:sz w:val="22"/>
          <w:szCs w:val="22"/>
          <w:u w:val="single"/>
        </w:rPr>
        <w:t xml:space="preserve"> </w:t>
      </w:r>
      <w:r w:rsidRPr="00B058A8">
        <w:rPr>
          <w:rFonts w:ascii="Arial" w:hAnsi="Arial" w:cs="Arial"/>
          <w:sz w:val="22"/>
          <w:szCs w:val="22"/>
        </w:rPr>
        <w:t>database</w:t>
      </w:r>
      <w:r w:rsidRPr="00B058A8">
        <w:rPr>
          <w:rStyle w:val="FootnoteReference"/>
          <w:rFonts w:ascii="Arial" w:hAnsi="Arial" w:cs="Arial"/>
          <w:sz w:val="22"/>
          <w:szCs w:val="22"/>
        </w:rPr>
        <w:footnoteReference w:id="1"/>
      </w:r>
      <w:r w:rsidRPr="00B058A8">
        <w:rPr>
          <w:rFonts w:ascii="Arial" w:hAnsi="Arial" w:cs="Arial"/>
          <w:sz w:val="22"/>
          <w:szCs w:val="22"/>
        </w:rPr>
        <w:t xml:space="preserve"> for electricity generation shall be used to calculate emissions</w:t>
      </w:r>
      <w:r w:rsidRPr="00B058A8">
        <w:rPr>
          <w:rFonts w:ascii="Arial" w:hAnsi="Arial" w:cs="Arial"/>
          <w:strike/>
          <w:color w:val="0070C0"/>
          <w:sz w:val="22"/>
          <w:szCs w:val="22"/>
        </w:rPr>
        <w:t>.</w:t>
      </w:r>
      <w:r w:rsidRPr="00B058A8">
        <w:rPr>
          <w:rStyle w:val="FootnoteReference"/>
          <w:rFonts w:ascii="Arial" w:hAnsi="Arial" w:cs="Arial"/>
          <w:sz w:val="22"/>
          <w:szCs w:val="22"/>
        </w:rPr>
        <w:footnoteReference w:id="2"/>
      </w:r>
      <w:bookmarkEnd w:id="1"/>
      <w:r w:rsidRPr="00082061">
        <w:rPr>
          <w:rFonts w:ascii="Arial" w:hAnsi="Arial" w:cs="Arial"/>
          <w:sz w:val="22"/>
          <w:szCs w:val="22"/>
        </w:rPr>
        <w:t xml:space="preserve"> except</w:t>
      </w:r>
      <w:r w:rsidRPr="00341C42">
        <w:rPr>
          <w:rFonts w:ascii="Arial" w:hAnsi="Arial" w:cs="Arial"/>
          <w:sz w:val="22"/>
          <w:szCs w:val="22"/>
        </w:rPr>
        <w:t xml:space="preserve"> </w:t>
      </w:r>
      <w:r w:rsidRPr="00CE2C05">
        <w:rPr>
          <w:rFonts w:ascii="Arial" w:hAnsi="Arial" w:cs="Arial"/>
          <w:strike/>
          <w:color w:val="FF0000"/>
          <w:sz w:val="22"/>
          <w:szCs w:val="22"/>
        </w:rPr>
        <w:t>CO</w:t>
      </w:r>
      <w:r w:rsidRPr="00CE2C05">
        <w:rPr>
          <w:rFonts w:ascii="Arial" w:hAnsi="Arial" w:cs="Arial"/>
          <w:strike/>
          <w:color w:val="FF0000"/>
          <w:sz w:val="22"/>
          <w:szCs w:val="22"/>
          <w:vertAlign w:val="subscript"/>
        </w:rPr>
        <w:t>2</w:t>
      </w:r>
      <w:r w:rsidRPr="00CE2C05">
        <w:rPr>
          <w:rFonts w:ascii="Arial" w:hAnsi="Arial" w:cs="Arial"/>
          <w:color w:val="FF0000"/>
          <w:sz w:val="22"/>
          <w:szCs w:val="22"/>
          <w:u w:val="single"/>
        </w:rPr>
        <w:t>CO</w:t>
      </w:r>
      <w:r w:rsidRPr="00CE2C05">
        <w:rPr>
          <w:rFonts w:ascii="Arial" w:hAnsi="Arial" w:cs="Arial"/>
          <w:color w:val="FF0000"/>
          <w:sz w:val="22"/>
          <w:szCs w:val="22"/>
          <w:u w:val="single"/>
          <w:vertAlign w:val="subscript"/>
        </w:rPr>
        <w:t>2</w:t>
      </w:r>
      <w:r w:rsidRPr="00CE2C05">
        <w:rPr>
          <w:rFonts w:ascii="Arial" w:hAnsi="Arial" w:cs="Arial"/>
          <w:color w:val="FF0000"/>
          <w:sz w:val="22"/>
          <w:szCs w:val="22"/>
          <w:u w:val="single"/>
        </w:rPr>
        <w:t>e</w:t>
      </w:r>
      <w:r w:rsidRPr="00CE2C05">
        <w:rPr>
          <w:rFonts w:ascii="Arial" w:hAnsi="Arial" w:cs="Arial"/>
          <w:color w:val="FF0000"/>
          <w:sz w:val="22"/>
          <w:szCs w:val="22"/>
        </w:rPr>
        <w:t xml:space="preserve"> </w:t>
      </w:r>
      <w:r w:rsidRPr="00082061">
        <w:rPr>
          <w:rFonts w:ascii="Arial" w:hAnsi="Arial" w:cs="Arial"/>
          <w:sz w:val="22"/>
          <w:szCs w:val="22"/>
        </w:rPr>
        <w:t xml:space="preserve">emissions, which shall be calculated using the </w:t>
      </w:r>
      <w:r w:rsidRPr="00CE2C05">
        <w:rPr>
          <w:rFonts w:ascii="Arial" w:hAnsi="Arial" w:cs="Arial"/>
          <w:strike/>
          <w:color w:val="FF0000"/>
          <w:sz w:val="22"/>
          <w:szCs w:val="22"/>
        </w:rPr>
        <w:t>Cambium database</w:t>
      </w:r>
      <w:r w:rsidRPr="00CE2C05">
        <w:rPr>
          <w:rStyle w:val="FootnoteReference"/>
          <w:rFonts w:ascii="Arial" w:hAnsi="Arial" w:cs="Arial"/>
          <w:strike/>
          <w:color w:val="FF0000"/>
          <w:sz w:val="22"/>
          <w:szCs w:val="22"/>
        </w:rPr>
        <w:footnoteReference w:id="3"/>
      </w:r>
      <w:r w:rsidRPr="00CE2C05">
        <w:rPr>
          <w:rFonts w:ascii="Arial" w:hAnsi="Arial" w:cs="Arial"/>
          <w:strike/>
          <w:color w:val="FF0000"/>
          <w:sz w:val="22"/>
          <w:szCs w:val="22"/>
          <w:vertAlign w:val="superscript"/>
        </w:rPr>
        <w:t>,</w:t>
      </w:r>
      <w:r w:rsidRPr="00CE2C05">
        <w:rPr>
          <w:rStyle w:val="FootnoteReference"/>
          <w:rFonts w:ascii="Arial" w:hAnsi="Arial" w:cs="Arial"/>
          <w:strike/>
          <w:color w:val="FF0000"/>
          <w:sz w:val="22"/>
          <w:szCs w:val="22"/>
        </w:rPr>
        <w:footnoteReference w:id="4"/>
      </w:r>
      <w:r w:rsidRPr="00CE2C05">
        <w:rPr>
          <w:rFonts w:ascii="Arial" w:hAnsi="Arial" w:cs="Arial"/>
          <w:strike/>
          <w:color w:val="FF0000"/>
          <w:sz w:val="22"/>
          <w:szCs w:val="22"/>
        </w:rPr>
        <w:t xml:space="preserve"> for the most recent year’s Mid-case, average hourly CO</w:t>
      </w:r>
      <w:r w:rsidRPr="00CE2C05">
        <w:rPr>
          <w:rFonts w:ascii="Arial" w:hAnsi="Arial" w:cs="Arial"/>
          <w:strike/>
          <w:color w:val="FF0000"/>
          <w:sz w:val="22"/>
          <w:szCs w:val="22"/>
          <w:vertAlign w:val="subscript"/>
        </w:rPr>
        <w:t>2</w:t>
      </w:r>
      <w:r w:rsidRPr="00CE2C05">
        <w:rPr>
          <w:rFonts w:ascii="Arial" w:hAnsi="Arial" w:cs="Arial"/>
          <w:strike/>
          <w:color w:val="FF0000"/>
          <w:sz w:val="22"/>
          <w:szCs w:val="22"/>
        </w:rPr>
        <w:t xml:space="preserve"> generation rate (</w:t>
      </w:r>
      <w:r w:rsidRPr="00CE2C05">
        <w:rPr>
          <w:rFonts w:ascii="Arial" w:hAnsi="Arial" w:cs="Arial"/>
          <w:i/>
          <w:strike/>
          <w:color w:val="FF0000"/>
          <w:sz w:val="22"/>
          <w:szCs w:val="22"/>
        </w:rPr>
        <w:t>co2_rate_avg_load_enduse</w:t>
      </w:r>
      <w:r w:rsidRPr="00CE2C05">
        <w:rPr>
          <w:rFonts w:ascii="Arial" w:hAnsi="Arial" w:cs="Arial"/>
          <w:strike/>
          <w:color w:val="FF0000"/>
          <w:sz w:val="22"/>
          <w:szCs w:val="22"/>
        </w:rPr>
        <w:t>: kgCO</w:t>
      </w:r>
      <w:r w:rsidRPr="00CE2C05">
        <w:rPr>
          <w:rFonts w:ascii="Arial" w:hAnsi="Arial" w:cs="Arial"/>
          <w:strike/>
          <w:color w:val="FF0000"/>
          <w:sz w:val="22"/>
          <w:szCs w:val="22"/>
          <w:vertAlign w:val="subscript"/>
        </w:rPr>
        <w:t>2</w:t>
      </w:r>
      <w:r w:rsidRPr="00CE2C05">
        <w:rPr>
          <w:rFonts w:ascii="Arial" w:hAnsi="Arial" w:cs="Arial"/>
          <w:strike/>
          <w:color w:val="FF0000"/>
          <w:sz w:val="22"/>
          <w:szCs w:val="22"/>
        </w:rPr>
        <w:t xml:space="preserve"> per </w:t>
      </w:r>
      <w:proofErr w:type="spellStart"/>
      <w:r w:rsidRPr="00CE2C05">
        <w:rPr>
          <w:rFonts w:ascii="Arial" w:hAnsi="Arial" w:cs="Arial"/>
          <w:strike/>
          <w:color w:val="FF0000"/>
          <w:sz w:val="22"/>
          <w:szCs w:val="22"/>
        </w:rPr>
        <w:t>MWh</w:t>
      </w:r>
      <w:r w:rsidRPr="00CE2C05">
        <w:rPr>
          <w:rFonts w:ascii="Arial" w:hAnsi="Arial" w:cs="Arial"/>
          <w:strike/>
          <w:color w:val="FF0000"/>
          <w:sz w:val="22"/>
          <w:szCs w:val="22"/>
          <w:vertAlign w:val="subscript"/>
        </w:rPr>
        <w:t>enduse</w:t>
      </w:r>
      <w:proofErr w:type="spellEnd"/>
      <w:r w:rsidRPr="00CE2C05">
        <w:rPr>
          <w:rFonts w:ascii="Arial" w:hAnsi="Arial" w:cs="Arial"/>
          <w:strike/>
          <w:color w:val="FF0000"/>
          <w:sz w:val="22"/>
          <w:szCs w:val="22"/>
        </w:rPr>
        <w:t>) for the local ZIP Code</w:t>
      </w:r>
      <w:r w:rsidRPr="00CE2C05">
        <w:rPr>
          <w:rFonts w:ascii="Arial" w:hAnsi="Arial" w:cs="Arial"/>
          <w:color w:val="FF0000"/>
          <w:sz w:val="22"/>
          <w:szCs w:val="22"/>
          <w:u w:val="single"/>
        </w:rPr>
        <w:t xml:space="preserve"> provisions of Section </w:t>
      </w:r>
      <w:r w:rsidRPr="00CE2C05">
        <w:rPr>
          <w:rFonts w:ascii="Arial" w:hAnsi="Arial" w:cs="Arial"/>
          <w:strike/>
          <w:color w:val="FF0000"/>
          <w:sz w:val="22"/>
          <w:szCs w:val="22"/>
          <w:u w:val="single"/>
        </w:rPr>
        <w:t>6.2</w:t>
      </w:r>
      <w:r w:rsidRPr="00CE2C05">
        <w:rPr>
          <w:rFonts w:ascii="Arial" w:hAnsi="Arial" w:cs="Arial"/>
          <w:color w:val="FF0000"/>
          <w:sz w:val="22"/>
          <w:szCs w:val="22"/>
          <w:u w:val="single"/>
        </w:rPr>
        <w:t>8.2 to calculate the annual hourly CO</w:t>
      </w:r>
      <w:r w:rsidRPr="00CE2C05">
        <w:rPr>
          <w:rFonts w:ascii="Arial" w:hAnsi="Arial" w:cs="Arial"/>
          <w:color w:val="FF0000"/>
          <w:sz w:val="22"/>
          <w:szCs w:val="22"/>
          <w:u w:val="single"/>
          <w:vertAlign w:val="subscript"/>
        </w:rPr>
        <w:t>2</w:t>
      </w:r>
      <w:r w:rsidRPr="00CE2C05">
        <w:rPr>
          <w:rFonts w:ascii="Arial" w:hAnsi="Arial" w:cs="Arial"/>
          <w:color w:val="FF0000"/>
          <w:sz w:val="22"/>
          <w:szCs w:val="22"/>
          <w:u w:val="single"/>
        </w:rPr>
        <w:t>e emissions for the Rated Home.</w:t>
      </w:r>
    </w:p>
    <w:p w14:paraId="4BD1CC22" w14:textId="77777777" w:rsidR="00B058A8" w:rsidRPr="00B058A8" w:rsidRDefault="00B058A8" w:rsidP="00B058A8">
      <w:pPr>
        <w:pStyle w:val="sixa"/>
        <w:numPr>
          <w:ilvl w:val="0"/>
          <w:numId w:val="0"/>
        </w:numPr>
        <w:ind w:left="2610"/>
        <w:rPr>
          <w:rFonts w:ascii="Arial" w:hAnsi="Arial" w:cs="Arial"/>
          <w:sz w:val="22"/>
          <w:szCs w:val="22"/>
        </w:rPr>
      </w:pPr>
    </w:p>
    <w:p w14:paraId="4A9113BC" w14:textId="6F92766C" w:rsidR="00B058A8" w:rsidRPr="00B058A8" w:rsidRDefault="00B058A8" w:rsidP="00B058A8">
      <w:pPr>
        <w:pStyle w:val="sixa"/>
        <w:numPr>
          <w:ilvl w:val="0"/>
          <w:numId w:val="0"/>
        </w:numPr>
        <w:ind w:left="2610"/>
        <w:rPr>
          <w:rFonts w:ascii="Arial" w:hAnsi="Arial" w:cs="Arial"/>
          <w:sz w:val="22"/>
          <w:szCs w:val="22"/>
        </w:rPr>
      </w:pPr>
      <w:bookmarkStart w:id="2" w:name="_Ref495406780"/>
      <w:r w:rsidRPr="00082061">
        <w:rPr>
          <w:rFonts w:ascii="Arial" w:hAnsi="Arial" w:cs="Arial"/>
          <w:b/>
          <w:bCs w:val="0"/>
          <w:sz w:val="22"/>
          <w:szCs w:val="22"/>
        </w:rPr>
        <w:t>7.1.2.2.1.2.</w:t>
      </w:r>
      <w:r w:rsidRPr="00082061">
        <w:rPr>
          <w:rFonts w:ascii="Arial" w:hAnsi="Arial" w:cs="Arial"/>
          <w:sz w:val="22"/>
          <w:szCs w:val="22"/>
        </w:rPr>
        <w:t xml:space="preserve">  </w:t>
      </w:r>
      <w:r w:rsidRPr="00B058A8">
        <w:rPr>
          <w:rFonts w:ascii="Arial" w:hAnsi="Arial" w:cs="Arial"/>
          <w:sz w:val="22"/>
          <w:szCs w:val="22"/>
        </w:rPr>
        <w:t xml:space="preserve">For fossil fuel use, emissions shall be calculated using the emission factors given in Table </w:t>
      </w:r>
      <w:r w:rsidRPr="00082061">
        <w:rPr>
          <w:rFonts w:ascii="Arial" w:hAnsi="Arial" w:cs="Arial"/>
          <w:sz w:val="22"/>
          <w:szCs w:val="22"/>
        </w:rPr>
        <w:t>7</w:t>
      </w:r>
      <w:r w:rsidRPr="00B058A8">
        <w:rPr>
          <w:rFonts w:ascii="Arial" w:hAnsi="Arial" w:cs="Arial"/>
          <w:sz w:val="22"/>
          <w:szCs w:val="22"/>
        </w:rPr>
        <w:t>.1.2(1).</w:t>
      </w:r>
      <w:bookmarkEnd w:id="2"/>
    </w:p>
    <w:p w14:paraId="3AAEF5E7" w14:textId="77777777" w:rsidR="00B058A8" w:rsidRPr="00B058A8" w:rsidRDefault="00B058A8" w:rsidP="00B058A8">
      <w:pPr>
        <w:pStyle w:val="ListParagraph"/>
        <w:rPr>
          <w:rFonts w:ascii="Arial" w:hAnsi="Arial" w:cs="Arial"/>
          <w:sz w:val="22"/>
          <w:szCs w:val="22"/>
        </w:rPr>
      </w:pPr>
    </w:p>
    <w:p w14:paraId="651C7A41" w14:textId="27388F8F" w:rsidR="00B058A8" w:rsidRPr="00B058A8" w:rsidRDefault="00B058A8" w:rsidP="00B058A8">
      <w:pPr>
        <w:ind w:left="360" w:right="450"/>
        <w:jc w:val="center"/>
        <w:rPr>
          <w:rFonts w:ascii="Arial" w:hAnsi="Arial" w:cs="Arial"/>
          <w:b/>
        </w:rPr>
      </w:pPr>
      <w:r w:rsidRPr="00B058A8">
        <w:rPr>
          <w:rFonts w:ascii="Arial" w:hAnsi="Arial" w:cs="Arial"/>
          <w:b/>
        </w:rPr>
        <w:t xml:space="preserve">Table </w:t>
      </w:r>
      <w:r w:rsidRPr="00B058A8">
        <w:rPr>
          <w:rFonts w:ascii="Arial" w:hAnsi="Arial" w:cs="Arial"/>
          <w:b/>
          <w:strike/>
        </w:rPr>
        <w:t>5</w:t>
      </w:r>
      <w:r w:rsidRPr="00B058A8">
        <w:rPr>
          <w:rFonts w:ascii="Arial" w:hAnsi="Arial" w:cs="Arial"/>
          <w:b/>
          <w:u w:val="single"/>
        </w:rPr>
        <w:t>7</w:t>
      </w:r>
      <w:r w:rsidRPr="00B058A8">
        <w:rPr>
          <w:rFonts w:ascii="Arial" w:hAnsi="Arial" w:cs="Arial"/>
          <w:b/>
        </w:rPr>
        <w:t>.1.2(1) Emission Factors for Household</w:t>
      </w:r>
      <w:r w:rsidRPr="003E39CC">
        <w:rPr>
          <w:rFonts w:ascii="Arial" w:hAnsi="Arial" w:cs="Arial"/>
          <w:b/>
        </w:rPr>
        <w:t xml:space="preserve"> Combustion </w:t>
      </w:r>
      <w:r w:rsidRPr="00B058A8">
        <w:rPr>
          <w:rFonts w:ascii="Arial" w:hAnsi="Arial" w:cs="Arial"/>
          <w:b/>
        </w:rPr>
        <w:t>Fuels</w:t>
      </w:r>
      <w:r w:rsidRPr="00B058A8">
        <w:rPr>
          <w:rStyle w:val="FootnoteReference"/>
          <w:rFonts w:ascii="Arial" w:hAnsi="Arial" w:cs="Arial"/>
          <w:b/>
        </w:rPr>
        <w:footnoteReference w:id="5"/>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990"/>
        <w:gridCol w:w="1080"/>
        <w:gridCol w:w="1890"/>
        <w:gridCol w:w="1440"/>
        <w:gridCol w:w="1710"/>
      </w:tblGrid>
      <w:tr w:rsidR="00B058A8" w:rsidRPr="00B058A8" w14:paraId="2D09DFAD" w14:textId="77777777" w:rsidTr="008A5EFF">
        <w:trPr>
          <w:trHeight w:val="630"/>
          <w:jc w:val="center"/>
        </w:trPr>
        <w:tc>
          <w:tcPr>
            <w:tcW w:w="2425" w:type="dxa"/>
            <w:shd w:val="clear" w:color="auto" w:fill="auto"/>
            <w:vAlign w:val="bottom"/>
            <w:hideMark/>
          </w:tcPr>
          <w:p w14:paraId="108AF991" w14:textId="77777777" w:rsidR="00B058A8" w:rsidRPr="00B058A8" w:rsidRDefault="00B058A8" w:rsidP="008A5EFF">
            <w:pPr>
              <w:rPr>
                <w:rFonts w:ascii="Arial" w:hAnsi="Arial" w:cs="Arial"/>
                <w:b/>
                <w:bCs/>
              </w:rPr>
            </w:pPr>
            <w:r w:rsidRPr="00B058A8">
              <w:rPr>
                <w:rFonts w:ascii="Arial" w:hAnsi="Arial" w:cs="Arial"/>
                <w:b/>
                <w:bCs/>
              </w:rPr>
              <w:t>Fuel Type</w:t>
            </w:r>
          </w:p>
        </w:tc>
        <w:tc>
          <w:tcPr>
            <w:tcW w:w="990" w:type="dxa"/>
            <w:shd w:val="clear" w:color="auto" w:fill="auto"/>
            <w:vAlign w:val="bottom"/>
            <w:hideMark/>
          </w:tcPr>
          <w:p w14:paraId="3E94DD02" w14:textId="77777777" w:rsidR="00B058A8" w:rsidRPr="00B058A8" w:rsidRDefault="00B058A8" w:rsidP="008A5EFF">
            <w:pPr>
              <w:jc w:val="center"/>
              <w:rPr>
                <w:rFonts w:ascii="Arial" w:hAnsi="Arial" w:cs="Arial"/>
                <w:b/>
                <w:bCs/>
              </w:rPr>
            </w:pPr>
            <w:r w:rsidRPr="00B058A8">
              <w:rPr>
                <w:rFonts w:ascii="Arial" w:hAnsi="Arial" w:cs="Arial"/>
                <w:b/>
                <w:bCs/>
              </w:rPr>
              <w:t>Units</w:t>
            </w:r>
          </w:p>
        </w:tc>
        <w:tc>
          <w:tcPr>
            <w:tcW w:w="1080" w:type="dxa"/>
            <w:shd w:val="clear" w:color="auto" w:fill="auto"/>
            <w:vAlign w:val="bottom"/>
            <w:hideMark/>
          </w:tcPr>
          <w:p w14:paraId="6FEF6B71" w14:textId="77777777" w:rsidR="00B058A8" w:rsidRPr="00B058A8" w:rsidRDefault="00B058A8" w:rsidP="008A5EFF">
            <w:pPr>
              <w:jc w:val="right"/>
              <w:rPr>
                <w:rFonts w:ascii="Arial" w:hAnsi="Arial" w:cs="Arial"/>
                <w:b/>
                <w:bCs/>
              </w:rPr>
            </w:pPr>
            <w:proofErr w:type="spellStart"/>
            <w:r w:rsidRPr="00B058A8">
              <w:rPr>
                <w:rFonts w:ascii="Arial" w:hAnsi="Arial" w:cs="Arial"/>
                <w:b/>
                <w:bCs/>
              </w:rPr>
              <w:t>MBtu</w:t>
            </w:r>
            <w:proofErr w:type="spellEnd"/>
            <w:r w:rsidRPr="00B058A8">
              <w:rPr>
                <w:rFonts w:ascii="Arial" w:hAnsi="Arial" w:cs="Arial"/>
                <w:b/>
                <w:bCs/>
              </w:rPr>
              <w:br/>
              <w:t>per Unit</w:t>
            </w:r>
          </w:p>
        </w:tc>
        <w:tc>
          <w:tcPr>
            <w:tcW w:w="1890" w:type="dxa"/>
            <w:shd w:val="clear" w:color="auto" w:fill="auto"/>
            <w:vAlign w:val="bottom"/>
            <w:hideMark/>
          </w:tcPr>
          <w:p w14:paraId="4EF9C676" w14:textId="77777777" w:rsidR="00B058A8" w:rsidRPr="00CE2C05" w:rsidRDefault="00B058A8" w:rsidP="008A5EFF">
            <w:pPr>
              <w:jc w:val="right"/>
              <w:rPr>
                <w:rFonts w:ascii="Arial" w:hAnsi="Arial" w:cs="Arial"/>
                <w:b/>
                <w:bCs/>
                <w:color w:val="FF0000"/>
              </w:rPr>
            </w:pPr>
            <w:r w:rsidRPr="00CE2C05">
              <w:rPr>
                <w:rFonts w:ascii="Arial" w:hAnsi="Arial" w:cs="Arial"/>
                <w:b/>
                <w:bCs/>
                <w:strike/>
                <w:color w:val="FF0000"/>
              </w:rPr>
              <w:t>CO</w:t>
            </w:r>
            <w:r w:rsidRPr="00CE2C05">
              <w:rPr>
                <w:rFonts w:ascii="Arial" w:hAnsi="Arial" w:cs="Arial"/>
                <w:b/>
                <w:strike/>
                <w:color w:val="FF0000"/>
                <w:vertAlign w:val="subscript"/>
              </w:rPr>
              <w:t>2</w:t>
            </w:r>
            <w:r w:rsidRPr="00CE2C05">
              <w:rPr>
                <w:rFonts w:ascii="Arial" w:hAnsi="Arial" w:cs="Arial"/>
                <w:b/>
                <w:bCs/>
                <w:color w:val="FF0000"/>
                <w:u w:val="single"/>
              </w:rPr>
              <w:t>CO</w:t>
            </w:r>
            <w:r w:rsidRPr="00CE2C05">
              <w:rPr>
                <w:rFonts w:ascii="Arial" w:hAnsi="Arial" w:cs="Arial"/>
                <w:b/>
                <w:bCs/>
                <w:color w:val="FF0000"/>
                <w:u w:val="single"/>
                <w:vertAlign w:val="subscript"/>
              </w:rPr>
              <w:t>2</w:t>
            </w:r>
            <w:r w:rsidRPr="00CE2C05">
              <w:rPr>
                <w:rFonts w:ascii="Arial" w:hAnsi="Arial" w:cs="Arial"/>
                <w:b/>
                <w:bCs/>
                <w:color w:val="FF0000"/>
                <w:u w:val="single"/>
              </w:rPr>
              <w:t>e</w:t>
            </w:r>
            <w:r w:rsidRPr="00CE2C05">
              <w:rPr>
                <w:rFonts w:ascii="Arial" w:hAnsi="Arial" w:cs="Arial"/>
                <w:b/>
                <w:bCs/>
                <w:color w:val="FF0000"/>
              </w:rPr>
              <w:br/>
            </w:r>
            <w:proofErr w:type="spellStart"/>
            <w:r w:rsidRPr="00CE2C05">
              <w:rPr>
                <w:rFonts w:ascii="Arial" w:hAnsi="Arial" w:cs="Arial"/>
                <w:b/>
                <w:bCs/>
                <w:color w:val="FF0000"/>
              </w:rPr>
              <w:t>lb</w:t>
            </w:r>
            <w:proofErr w:type="spellEnd"/>
            <w:r w:rsidRPr="00CE2C05">
              <w:rPr>
                <w:rFonts w:ascii="Arial" w:hAnsi="Arial" w:cs="Arial"/>
                <w:b/>
                <w:bCs/>
                <w:color w:val="FF0000"/>
              </w:rPr>
              <w:t>/</w:t>
            </w:r>
            <w:proofErr w:type="spellStart"/>
            <w:r w:rsidRPr="00CE2C05">
              <w:rPr>
                <w:rFonts w:ascii="Arial" w:hAnsi="Arial" w:cs="Arial"/>
                <w:b/>
                <w:bCs/>
                <w:color w:val="FF0000"/>
              </w:rPr>
              <w:t>MBtu</w:t>
            </w:r>
            <w:proofErr w:type="spellEnd"/>
          </w:p>
        </w:tc>
        <w:tc>
          <w:tcPr>
            <w:tcW w:w="1440" w:type="dxa"/>
            <w:shd w:val="clear" w:color="auto" w:fill="auto"/>
            <w:vAlign w:val="bottom"/>
            <w:hideMark/>
          </w:tcPr>
          <w:p w14:paraId="5F3F72CF" w14:textId="77777777" w:rsidR="00B058A8" w:rsidRPr="00B058A8" w:rsidRDefault="00B058A8" w:rsidP="008A5EFF">
            <w:pPr>
              <w:jc w:val="right"/>
              <w:rPr>
                <w:rFonts w:ascii="Arial" w:hAnsi="Arial" w:cs="Arial"/>
                <w:b/>
                <w:bCs/>
              </w:rPr>
            </w:pPr>
            <w:r w:rsidRPr="00B058A8">
              <w:rPr>
                <w:rFonts w:ascii="Arial" w:hAnsi="Arial" w:cs="Arial"/>
                <w:b/>
                <w:bCs/>
              </w:rPr>
              <w:t>NOx</w:t>
            </w:r>
            <w:r w:rsidRPr="00B058A8">
              <w:rPr>
                <w:rFonts w:ascii="Arial" w:hAnsi="Arial" w:cs="Arial"/>
                <w:b/>
                <w:bCs/>
              </w:rPr>
              <w:br/>
            </w:r>
            <w:proofErr w:type="spellStart"/>
            <w:r w:rsidRPr="00B058A8">
              <w:rPr>
                <w:rFonts w:ascii="Arial" w:hAnsi="Arial" w:cs="Arial"/>
                <w:b/>
                <w:bCs/>
              </w:rPr>
              <w:t>lb</w:t>
            </w:r>
            <w:proofErr w:type="spellEnd"/>
            <w:r w:rsidRPr="00B058A8">
              <w:rPr>
                <w:rFonts w:ascii="Arial" w:hAnsi="Arial" w:cs="Arial"/>
                <w:b/>
                <w:bCs/>
              </w:rPr>
              <w:t>/</w:t>
            </w:r>
            <w:proofErr w:type="spellStart"/>
            <w:r w:rsidRPr="00B058A8">
              <w:rPr>
                <w:rFonts w:ascii="Arial" w:hAnsi="Arial" w:cs="Arial"/>
                <w:b/>
                <w:bCs/>
              </w:rPr>
              <w:t>MBtu</w:t>
            </w:r>
            <w:proofErr w:type="spellEnd"/>
          </w:p>
        </w:tc>
        <w:tc>
          <w:tcPr>
            <w:tcW w:w="1710" w:type="dxa"/>
            <w:shd w:val="clear" w:color="auto" w:fill="auto"/>
            <w:vAlign w:val="bottom"/>
            <w:hideMark/>
          </w:tcPr>
          <w:p w14:paraId="20245627" w14:textId="77777777" w:rsidR="00B058A8" w:rsidRPr="00B058A8" w:rsidRDefault="00B058A8" w:rsidP="008A5EFF">
            <w:pPr>
              <w:jc w:val="right"/>
              <w:rPr>
                <w:rFonts w:ascii="Arial" w:hAnsi="Arial" w:cs="Arial"/>
                <w:b/>
                <w:bCs/>
              </w:rPr>
            </w:pPr>
            <w:r w:rsidRPr="00B058A8">
              <w:rPr>
                <w:rFonts w:ascii="Arial" w:hAnsi="Arial" w:cs="Arial"/>
                <w:b/>
                <w:bCs/>
              </w:rPr>
              <w:t>SO</w:t>
            </w:r>
            <w:r w:rsidRPr="00B058A8">
              <w:rPr>
                <w:rFonts w:ascii="Arial" w:hAnsi="Arial" w:cs="Arial"/>
                <w:b/>
                <w:vertAlign w:val="subscript"/>
              </w:rPr>
              <w:t>2</w:t>
            </w:r>
            <w:r w:rsidRPr="00B058A8">
              <w:rPr>
                <w:rFonts w:ascii="Arial" w:hAnsi="Arial" w:cs="Arial"/>
                <w:b/>
                <w:bCs/>
              </w:rPr>
              <w:br/>
            </w:r>
            <w:proofErr w:type="spellStart"/>
            <w:r w:rsidRPr="00B058A8">
              <w:rPr>
                <w:rFonts w:ascii="Arial" w:hAnsi="Arial" w:cs="Arial"/>
                <w:b/>
                <w:bCs/>
              </w:rPr>
              <w:t>lb</w:t>
            </w:r>
            <w:proofErr w:type="spellEnd"/>
            <w:r w:rsidRPr="00B058A8">
              <w:rPr>
                <w:rFonts w:ascii="Arial" w:hAnsi="Arial" w:cs="Arial"/>
                <w:b/>
                <w:bCs/>
              </w:rPr>
              <w:t>/</w:t>
            </w:r>
            <w:proofErr w:type="spellStart"/>
            <w:r w:rsidRPr="00B058A8">
              <w:rPr>
                <w:rFonts w:ascii="Arial" w:hAnsi="Arial" w:cs="Arial"/>
                <w:b/>
                <w:bCs/>
              </w:rPr>
              <w:t>MBtu</w:t>
            </w:r>
            <w:proofErr w:type="spellEnd"/>
          </w:p>
        </w:tc>
      </w:tr>
      <w:tr w:rsidR="00B058A8" w:rsidRPr="00B058A8" w14:paraId="0B1BF194" w14:textId="77777777" w:rsidTr="008A5EFF">
        <w:trPr>
          <w:trHeight w:val="300"/>
          <w:jc w:val="center"/>
        </w:trPr>
        <w:tc>
          <w:tcPr>
            <w:tcW w:w="2425" w:type="dxa"/>
            <w:shd w:val="clear" w:color="auto" w:fill="auto"/>
            <w:noWrap/>
            <w:vAlign w:val="bottom"/>
            <w:hideMark/>
          </w:tcPr>
          <w:p w14:paraId="6ED6AA97" w14:textId="77777777" w:rsidR="00B058A8" w:rsidRPr="00B058A8" w:rsidRDefault="00B058A8" w:rsidP="008A5EFF">
            <w:pPr>
              <w:rPr>
                <w:rFonts w:ascii="Arial" w:hAnsi="Arial" w:cs="Arial"/>
              </w:rPr>
            </w:pPr>
            <w:r w:rsidRPr="00B058A8">
              <w:rPr>
                <w:rFonts w:ascii="Arial" w:hAnsi="Arial" w:cs="Arial"/>
              </w:rPr>
              <w:t>Natural Gas</w:t>
            </w:r>
          </w:p>
        </w:tc>
        <w:tc>
          <w:tcPr>
            <w:tcW w:w="990" w:type="dxa"/>
            <w:shd w:val="clear" w:color="auto" w:fill="auto"/>
            <w:noWrap/>
            <w:vAlign w:val="bottom"/>
            <w:hideMark/>
          </w:tcPr>
          <w:p w14:paraId="3C5B4C48" w14:textId="77777777" w:rsidR="00B058A8" w:rsidRPr="00B058A8" w:rsidRDefault="00B058A8" w:rsidP="008A5EFF">
            <w:pPr>
              <w:jc w:val="center"/>
              <w:rPr>
                <w:rFonts w:ascii="Arial" w:hAnsi="Arial" w:cs="Arial"/>
              </w:rPr>
            </w:pPr>
            <w:proofErr w:type="spellStart"/>
            <w:r w:rsidRPr="00B058A8">
              <w:rPr>
                <w:rFonts w:ascii="Arial" w:hAnsi="Arial" w:cs="Arial"/>
              </w:rPr>
              <w:t>Therm</w:t>
            </w:r>
            <w:proofErr w:type="spellEnd"/>
          </w:p>
        </w:tc>
        <w:tc>
          <w:tcPr>
            <w:tcW w:w="1080" w:type="dxa"/>
            <w:shd w:val="clear" w:color="auto" w:fill="auto"/>
            <w:noWrap/>
            <w:vAlign w:val="bottom"/>
            <w:hideMark/>
          </w:tcPr>
          <w:p w14:paraId="158A2F84" w14:textId="77777777" w:rsidR="00B058A8" w:rsidRPr="00B058A8" w:rsidRDefault="00B058A8" w:rsidP="008A5EFF">
            <w:pPr>
              <w:jc w:val="right"/>
              <w:rPr>
                <w:rFonts w:ascii="Arial" w:hAnsi="Arial" w:cs="Arial"/>
              </w:rPr>
            </w:pPr>
            <w:r w:rsidRPr="00B058A8">
              <w:rPr>
                <w:rFonts w:ascii="Arial" w:hAnsi="Arial" w:cs="Arial"/>
              </w:rPr>
              <w:t>0.1000</w:t>
            </w:r>
          </w:p>
        </w:tc>
        <w:tc>
          <w:tcPr>
            <w:tcW w:w="1890" w:type="dxa"/>
            <w:shd w:val="clear" w:color="auto" w:fill="auto"/>
            <w:noWrap/>
            <w:vAlign w:val="bottom"/>
            <w:hideMark/>
          </w:tcPr>
          <w:p w14:paraId="714D87C2" w14:textId="77777777" w:rsidR="00B058A8" w:rsidRPr="00CE2C05" w:rsidRDefault="00B058A8" w:rsidP="008A5EFF">
            <w:pPr>
              <w:jc w:val="right"/>
              <w:rPr>
                <w:rFonts w:ascii="Arial" w:hAnsi="Arial" w:cs="Arial"/>
                <w:color w:val="FF0000"/>
              </w:rPr>
            </w:pPr>
            <w:r w:rsidRPr="00CE2C05">
              <w:rPr>
                <w:rFonts w:ascii="Arial" w:hAnsi="Arial" w:cs="Arial"/>
                <w:strike/>
                <w:color w:val="FF0000"/>
              </w:rPr>
              <w:t>117.6</w:t>
            </w:r>
            <w:r w:rsidRPr="00CE2C05">
              <w:rPr>
                <w:rFonts w:ascii="Arial" w:hAnsi="Arial" w:cs="Arial"/>
                <w:color w:val="FF0000"/>
                <w:u w:val="single"/>
              </w:rPr>
              <w:t>147.3</w:t>
            </w:r>
          </w:p>
        </w:tc>
        <w:tc>
          <w:tcPr>
            <w:tcW w:w="1440" w:type="dxa"/>
            <w:shd w:val="clear" w:color="auto" w:fill="auto"/>
            <w:noWrap/>
            <w:vAlign w:val="bottom"/>
            <w:hideMark/>
          </w:tcPr>
          <w:p w14:paraId="465E0F25" w14:textId="04008F03" w:rsidR="00B058A8" w:rsidRPr="003E39CC" w:rsidRDefault="00B058A8" w:rsidP="008A5EFF">
            <w:pPr>
              <w:jc w:val="right"/>
              <w:rPr>
                <w:rFonts w:ascii="Arial" w:hAnsi="Arial" w:cs="Arial"/>
              </w:rPr>
            </w:pPr>
            <w:r w:rsidRPr="003E39CC">
              <w:rPr>
                <w:rFonts w:ascii="Arial" w:hAnsi="Arial" w:cs="Arial"/>
              </w:rPr>
              <w:t>0.0922</w:t>
            </w:r>
          </w:p>
        </w:tc>
        <w:tc>
          <w:tcPr>
            <w:tcW w:w="1710" w:type="dxa"/>
            <w:shd w:val="clear" w:color="auto" w:fill="auto"/>
            <w:noWrap/>
            <w:vAlign w:val="bottom"/>
            <w:hideMark/>
          </w:tcPr>
          <w:p w14:paraId="2177C70D" w14:textId="5F27042B" w:rsidR="00B058A8" w:rsidRPr="00B058A8" w:rsidRDefault="00B058A8" w:rsidP="008A5EFF">
            <w:pPr>
              <w:jc w:val="right"/>
              <w:rPr>
                <w:rFonts w:ascii="Arial" w:hAnsi="Arial" w:cs="Arial"/>
              </w:rPr>
            </w:pPr>
            <w:r w:rsidRPr="00B058A8">
              <w:rPr>
                <w:rFonts w:ascii="Arial" w:hAnsi="Arial" w:cs="Arial"/>
              </w:rPr>
              <w:t>0.000</w:t>
            </w:r>
            <w:r w:rsidRPr="003E39CC">
              <w:rPr>
                <w:rFonts w:ascii="Arial" w:hAnsi="Arial" w:cs="Arial"/>
              </w:rPr>
              <w:t>6</w:t>
            </w:r>
          </w:p>
        </w:tc>
      </w:tr>
      <w:tr w:rsidR="00B058A8" w:rsidRPr="00B058A8" w14:paraId="1E78145B" w14:textId="77777777" w:rsidTr="008A5EFF">
        <w:trPr>
          <w:trHeight w:val="300"/>
          <w:jc w:val="center"/>
        </w:trPr>
        <w:tc>
          <w:tcPr>
            <w:tcW w:w="2425" w:type="dxa"/>
            <w:shd w:val="clear" w:color="auto" w:fill="auto"/>
            <w:noWrap/>
            <w:vAlign w:val="bottom"/>
            <w:hideMark/>
          </w:tcPr>
          <w:p w14:paraId="4A0F628D" w14:textId="77777777" w:rsidR="00B058A8" w:rsidRPr="00B058A8" w:rsidRDefault="00B058A8" w:rsidP="008A5EFF">
            <w:pPr>
              <w:ind w:leftChars="-2" w:hangingChars="2" w:hanging="4"/>
              <w:rPr>
                <w:rFonts w:ascii="Arial" w:hAnsi="Arial" w:cs="Arial"/>
              </w:rPr>
            </w:pPr>
            <w:r w:rsidRPr="00B058A8">
              <w:rPr>
                <w:rFonts w:ascii="Arial" w:hAnsi="Arial" w:cs="Arial"/>
              </w:rPr>
              <w:t>Fuel Oil #2</w:t>
            </w:r>
          </w:p>
        </w:tc>
        <w:tc>
          <w:tcPr>
            <w:tcW w:w="990" w:type="dxa"/>
            <w:shd w:val="clear" w:color="auto" w:fill="auto"/>
            <w:noWrap/>
            <w:vAlign w:val="bottom"/>
            <w:hideMark/>
          </w:tcPr>
          <w:p w14:paraId="4B44A65F" w14:textId="77777777" w:rsidR="00B058A8" w:rsidRPr="00B058A8" w:rsidRDefault="00B058A8" w:rsidP="008A5EFF">
            <w:pPr>
              <w:jc w:val="center"/>
              <w:rPr>
                <w:rFonts w:ascii="Arial" w:hAnsi="Arial" w:cs="Arial"/>
              </w:rPr>
            </w:pPr>
            <w:r w:rsidRPr="00B058A8">
              <w:rPr>
                <w:rFonts w:ascii="Arial" w:hAnsi="Arial" w:cs="Arial"/>
              </w:rPr>
              <w:t>Gallon</w:t>
            </w:r>
          </w:p>
        </w:tc>
        <w:tc>
          <w:tcPr>
            <w:tcW w:w="1080" w:type="dxa"/>
            <w:shd w:val="clear" w:color="auto" w:fill="auto"/>
            <w:noWrap/>
            <w:vAlign w:val="bottom"/>
            <w:hideMark/>
          </w:tcPr>
          <w:p w14:paraId="23AF5A9D" w14:textId="77777777" w:rsidR="00B058A8" w:rsidRPr="00B058A8" w:rsidRDefault="00B058A8" w:rsidP="008A5EFF">
            <w:pPr>
              <w:jc w:val="right"/>
              <w:rPr>
                <w:rFonts w:ascii="Arial" w:hAnsi="Arial" w:cs="Arial"/>
              </w:rPr>
            </w:pPr>
            <w:r w:rsidRPr="00B058A8">
              <w:rPr>
                <w:rFonts w:ascii="Arial" w:hAnsi="Arial" w:cs="Arial"/>
              </w:rPr>
              <w:t>0.1385</w:t>
            </w:r>
          </w:p>
        </w:tc>
        <w:tc>
          <w:tcPr>
            <w:tcW w:w="1890" w:type="dxa"/>
            <w:shd w:val="clear" w:color="auto" w:fill="auto"/>
            <w:noWrap/>
            <w:vAlign w:val="bottom"/>
            <w:hideMark/>
          </w:tcPr>
          <w:p w14:paraId="1933F32F" w14:textId="2C873CF5" w:rsidR="00B058A8" w:rsidRPr="00B058A8" w:rsidRDefault="00B058A8" w:rsidP="008A5EFF">
            <w:pPr>
              <w:jc w:val="right"/>
              <w:rPr>
                <w:rFonts w:ascii="Arial" w:hAnsi="Arial" w:cs="Arial"/>
              </w:rPr>
            </w:pPr>
            <w:r w:rsidRPr="00CE2C05">
              <w:rPr>
                <w:rFonts w:ascii="Arial" w:hAnsi="Arial" w:cs="Arial"/>
                <w:strike/>
                <w:color w:val="FF0000"/>
                <w:u w:val="single"/>
              </w:rPr>
              <w:t>161.0</w:t>
            </w:r>
            <w:r w:rsidRPr="00CE2C05">
              <w:rPr>
                <w:rFonts w:ascii="Arial" w:hAnsi="Arial" w:cs="Arial"/>
                <w:color w:val="FF0000"/>
                <w:u w:val="single"/>
              </w:rPr>
              <w:t>195.9</w:t>
            </w:r>
          </w:p>
        </w:tc>
        <w:tc>
          <w:tcPr>
            <w:tcW w:w="1440" w:type="dxa"/>
            <w:shd w:val="clear" w:color="auto" w:fill="auto"/>
            <w:noWrap/>
            <w:vAlign w:val="bottom"/>
            <w:hideMark/>
          </w:tcPr>
          <w:p w14:paraId="790503C0" w14:textId="72FB06F2" w:rsidR="00B058A8" w:rsidRPr="003E39CC" w:rsidRDefault="00B058A8" w:rsidP="008A5EFF">
            <w:pPr>
              <w:jc w:val="right"/>
              <w:rPr>
                <w:rFonts w:ascii="Arial" w:hAnsi="Arial" w:cs="Arial"/>
              </w:rPr>
            </w:pPr>
            <w:r w:rsidRPr="003E39CC">
              <w:rPr>
                <w:rFonts w:ascii="Arial" w:hAnsi="Arial" w:cs="Arial"/>
              </w:rPr>
              <w:t>0.1300</w:t>
            </w:r>
          </w:p>
        </w:tc>
        <w:tc>
          <w:tcPr>
            <w:tcW w:w="1710" w:type="dxa"/>
            <w:shd w:val="clear" w:color="auto" w:fill="auto"/>
            <w:noWrap/>
            <w:vAlign w:val="bottom"/>
            <w:hideMark/>
          </w:tcPr>
          <w:p w14:paraId="506DC6FF" w14:textId="659FE08C" w:rsidR="00B058A8" w:rsidRPr="003E39CC" w:rsidRDefault="00B058A8" w:rsidP="008A5EFF">
            <w:pPr>
              <w:jc w:val="right"/>
              <w:rPr>
                <w:rFonts w:ascii="Arial" w:hAnsi="Arial" w:cs="Arial"/>
              </w:rPr>
            </w:pPr>
            <w:r w:rsidRPr="003E39CC">
              <w:rPr>
                <w:rFonts w:ascii="Arial" w:hAnsi="Arial" w:cs="Arial"/>
              </w:rPr>
              <w:t>0.0015</w:t>
            </w:r>
          </w:p>
        </w:tc>
      </w:tr>
      <w:tr w:rsidR="00B058A8" w:rsidRPr="00B058A8" w14:paraId="4CD1C854" w14:textId="77777777" w:rsidTr="008A5EFF">
        <w:trPr>
          <w:trHeight w:val="315"/>
          <w:jc w:val="center"/>
        </w:trPr>
        <w:tc>
          <w:tcPr>
            <w:tcW w:w="2425" w:type="dxa"/>
            <w:shd w:val="clear" w:color="auto" w:fill="auto"/>
            <w:noWrap/>
            <w:vAlign w:val="bottom"/>
            <w:hideMark/>
          </w:tcPr>
          <w:p w14:paraId="7FB1BA3A" w14:textId="77777777" w:rsidR="00B058A8" w:rsidRPr="00B058A8" w:rsidRDefault="00B058A8" w:rsidP="008A5EFF">
            <w:pPr>
              <w:rPr>
                <w:rFonts w:ascii="Arial" w:hAnsi="Arial" w:cs="Arial"/>
              </w:rPr>
            </w:pPr>
            <w:r w:rsidRPr="00B058A8">
              <w:rPr>
                <w:rFonts w:ascii="Arial" w:hAnsi="Arial" w:cs="Arial"/>
              </w:rPr>
              <w:t>Liquid Petroleum Gas (LPG)</w:t>
            </w:r>
          </w:p>
        </w:tc>
        <w:tc>
          <w:tcPr>
            <w:tcW w:w="990" w:type="dxa"/>
            <w:shd w:val="clear" w:color="auto" w:fill="auto"/>
            <w:noWrap/>
            <w:vAlign w:val="bottom"/>
            <w:hideMark/>
          </w:tcPr>
          <w:p w14:paraId="604234BC" w14:textId="77777777" w:rsidR="00B058A8" w:rsidRPr="00B058A8" w:rsidRDefault="00B058A8" w:rsidP="008A5EFF">
            <w:pPr>
              <w:jc w:val="center"/>
              <w:rPr>
                <w:rFonts w:ascii="Arial" w:hAnsi="Arial" w:cs="Arial"/>
              </w:rPr>
            </w:pPr>
            <w:r w:rsidRPr="00B058A8">
              <w:rPr>
                <w:rFonts w:ascii="Arial" w:hAnsi="Arial" w:cs="Arial"/>
              </w:rPr>
              <w:t>Gallon</w:t>
            </w:r>
          </w:p>
        </w:tc>
        <w:tc>
          <w:tcPr>
            <w:tcW w:w="1080" w:type="dxa"/>
            <w:shd w:val="clear" w:color="auto" w:fill="auto"/>
            <w:noWrap/>
            <w:vAlign w:val="bottom"/>
            <w:hideMark/>
          </w:tcPr>
          <w:p w14:paraId="66EDFF43" w14:textId="77777777" w:rsidR="00B058A8" w:rsidRPr="00B058A8" w:rsidRDefault="00B058A8" w:rsidP="008A5EFF">
            <w:pPr>
              <w:jc w:val="right"/>
              <w:rPr>
                <w:rFonts w:ascii="Arial" w:hAnsi="Arial" w:cs="Arial"/>
              </w:rPr>
            </w:pPr>
            <w:r w:rsidRPr="00B058A8">
              <w:rPr>
                <w:rFonts w:ascii="Arial" w:hAnsi="Arial" w:cs="Arial"/>
              </w:rPr>
              <w:t>0.0915</w:t>
            </w:r>
          </w:p>
        </w:tc>
        <w:tc>
          <w:tcPr>
            <w:tcW w:w="1890" w:type="dxa"/>
            <w:shd w:val="clear" w:color="auto" w:fill="auto"/>
            <w:noWrap/>
            <w:vAlign w:val="bottom"/>
            <w:hideMark/>
          </w:tcPr>
          <w:p w14:paraId="5366ADEA" w14:textId="77777777" w:rsidR="00B058A8" w:rsidRPr="00B058A8" w:rsidRDefault="00B058A8" w:rsidP="008A5EFF">
            <w:pPr>
              <w:jc w:val="right"/>
              <w:rPr>
                <w:rFonts w:ascii="Arial" w:hAnsi="Arial" w:cs="Arial"/>
              </w:rPr>
            </w:pPr>
            <w:r w:rsidRPr="00CE2C05">
              <w:rPr>
                <w:rFonts w:ascii="Arial" w:hAnsi="Arial" w:cs="Arial"/>
                <w:strike/>
                <w:color w:val="FF0000"/>
              </w:rPr>
              <w:t>136.4</w:t>
            </w:r>
            <w:r w:rsidRPr="00CE2C05">
              <w:rPr>
                <w:rFonts w:ascii="Arial" w:hAnsi="Arial" w:cs="Arial"/>
                <w:strike/>
                <w:color w:val="FF0000"/>
                <w:u w:val="single"/>
              </w:rPr>
              <w:t>6</w:t>
            </w:r>
            <w:r w:rsidRPr="00CE2C05">
              <w:rPr>
                <w:rFonts w:ascii="Arial" w:hAnsi="Arial" w:cs="Arial"/>
                <w:color w:val="FF0000"/>
                <w:u w:val="single"/>
              </w:rPr>
              <w:t>177.8</w:t>
            </w:r>
          </w:p>
        </w:tc>
        <w:tc>
          <w:tcPr>
            <w:tcW w:w="1440" w:type="dxa"/>
            <w:shd w:val="clear" w:color="auto" w:fill="auto"/>
            <w:noWrap/>
            <w:vAlign w:val="bottom"/>
            <w:hideMark/>
          </w:tcPr>
          <w:p w14:paraId="252ADE86" w14:textId="697B792F" w:rsidR="00B058A8" w:rsidRPr="003E39CC" w:rsidRDefault="00B058A8" w:rsidP="008A5EFF">
            <w:pPr>
              <w:jc w:val="right"/>
              <w:rPr>
                <w:rFonts w:ascii="Arial" w:hAnsi="Arial" w:cs="Arial"/>
              </w:rPr>
            </w:pPr>
            <w:r w:rsidRPr="003E39CC">
              <w:rPr>
                <w:rFonts w:ascii="Arial" w:hAnsi="Arial" w:cs="Arial"/>
              </w:rPr>
              <w:t>0.1421</w:t>
            </w:r>
          </w:p>
        </w:tc>
        <w:tc>
          <w:tcPr>
            <w:tcW w:w="1710" w:type="dxa"/>
            <w:shd w:val="clear" w:color="auto" w:fill="auto"/>
            <w:noWrap/>
            <w:vAlign w:val="bottom"/>
            <w:hideMark/>
          </w:tcPr>
          <w:p w14:paraId="78A77F76" w14:textId="32F43F24" w:rsidR="00B058A8" w:rsidRPr="003E39CC" w:rsidRDefault="00B058A8" w:rsidP="008A5EFF">
            <w:pPr>
              <w:jc w:val="right"/>
              <w:rPr>
                <w:rFonts w:ascii="Arial" w:hAnsi="Arial" w:cs="Arial"/>
              </w:rPr>
            </w:pPr>
            <w:r w:rsidRPr="003E39CC">
              <w:rPr>
                <w:rFonts w:ascii="Arial" w:hAnsi="Arial" w:cs="Arial"/>
              </w:rPr>
              <w:t>0.0002</w:t>
            </w:r>
          </w:p>
        </w:tc>
      </w:tr>
    </w:tbl>
    <w:p w14:paraId="26FF1F1A" w14:textId="77777777" w:rsidR="00B058A8" w:rsidRPr="00341C42" w:rsidRDefault="00B058A8" w:rsidP="00B058A8">
      <w:pPr>
        <w:ind w:left="720"/>
        <w:rPr>
          <w:rFonts w:ascii="Arial" w:hAnsi="Arial" w:cs="Arial"/>
        </w:rPr>
      </w:pPr>
    </w:p>
    <w:p w14:paraId="2458E118" w14:textId="73ED6F9E" w:rsidR="00B058A8" w:rsidRPr="00341C42" w:rsidRDefault="00B058A8" w:rsidP="00B058A8">
      <w:pPr>
        <w:pStyle w:val="five"/>
        <w:numPr>
          <w:ilvl w:val="0"/>
          <w:numId w:val="0"/>
        </w:numPr>
        <w:ind w:left="720"/>
        <w:rPr>
          <w:rFonts w:ascii="Arial" w:hAnsi="Arial" w:cs="Arial"/>
          <w:color w:val="auto"/>
          <w:sz w:val="22"/>
          <w:szCs w:val="22"/>
        </w:rPr>
      </w:pPr>
      <w:bookmarkStart w:id="3" w:name="_Ref495406741"/>
      <w:r w:rsidRPr="00341C42">
        <w:rPr>
          <w:rFonts w:ascii="Arial" w:hAnsi="Arial" w:cs="Arial"/>
          <w:b/>
          <w:color w:val="auto"/>
          <w:sz w:val="22"/>
          <w:szCs w:val="22"/>
        </w:rPr>
        <w:lastRenderedPageBreak/>
        <w:t>7.1.2.2.2.  Emission Savings</w:t>
      </w:r>
      <w:r w:rsidRPr="00341C42">
        <w:rPr>
          <w:rFonts w:ascii="Arial" w:hAnsi="Arial" w:cs="Arial"/>
          <w:color w:val="auto"/>
          <w:sz w:val="22"/>
          <w:szCs w:val="22"/>
        </w:rPr>
        <w:t>. Estimated emission savings for the Rated Home shall be calculated in accordance with Sections</w:t>
      </w:r>
      <w:r w:rsidR="003E39CC" w:rsidRPr="00341C42">
        <w:rPr>
          <w:rFonts w:ascii="Arial" w:hAnsi="Arial" w:cs="Arial"/>
          <w:color w:val="auto"/>
          <w:sz w:val="22"/>
          <w:szCs w:val="22"/>
        </w:rPr>
        <w:t xml:space="preserve"> 7.1.2.2.2.1. through 7.1.2.2.2.3.</w:t>
      </w:r>
      <w:bookmarkEnd w:id="3"/>
    </w:p>
    <w:p w14:paraId="00C0157D" w14:textId="77777777" w:rsidR="00B058A8" w:rsidRPr="00B058A8" w:rsidRDefault="00B058A8" w:rsidP="00B058A8">
      <w:pPr>
        <w:ind w:left="1080"/>
        <w:rPr>
          <w:rFonts w:ascii="Arial" w:hAnsi="Arial" w:cs="Arial"/>
        </w:rPr>
      </w:pPr>
    </w:p>
    <w:p w14:paraId="6404FFA0" w14:textId="760CF376" w:rsidR="00B058A8" w:rsidRPr="00B058A8" w:rsidRDefault="00B058A8" w:rsidP="00B058A8">
      <w:pPr>
        <w:pStyle w:val="sixa"/>
        <w:numPr>
          <w:ilvl w:val="0"/>
          <w:numId w:val="0"/>
        </w:numPr>
        <w:ind w:left="2610"/>
        <w:rPr>
          <w:rFonts w:ascii="Arial" w:hAnsi="Arial" w:cs="Arial"/>
          <w:sz w:val="22"/>
          <w:szCs w:val="22"/>
        </w:rPr>
      </w:pPr>
      <w:bookmarkStart w:id="4" w:name="_Ref495406806"/>
      <w:r w:rsidRPr="001C5960">
        <w:rPr>
          <w:rFonts w:ascii="Arial" w:hAnsi="Arial" w:cs="Arial"/>
          <w:b/>
          <w:bCs w:val="0"/>
          <w:sz w:val="22"/>
          <w:szCs w:val="22"/>
        </w:rPr>
        <w:t xml:space="preserve">7.1.2.2.2.1.  </w:t>
      </w:r>
      <w:r w:rsidRPr="00CE2C05">
        <w:rPr>
          <w:rFonts w:ascii="Arial" w:hAnsi="Arial" w:cs="Arial"/>
          <w:color w:val="FF0000"/>
          <w:sz w:val="22"/>
          <w:szCs w:val="22"/>
          <w:u w:val="single"/>
        </w:rPr>
        <w:t>The CO</w:t>
      </w:r>
      <w:r w:rsidRPr="00CE2C05">
        <w:rPr>
          <w:rFonts w:ascii="Arial" w:hAnsi="Arial" w:cs="Arial"/>
          <w:color w:val="FF0000"/>
          <w:sz w:val="22"/>
          <w:szCs w:val="22"/>
          <w:u w:val="single"/>
          <w:vertAlign w:val="subscript"/>
        </w:rPr>
        <w:t>2</w:t>
      </w:r>
      <w:r w:rsidRPr="00CE2C05">
        <w:rPr>
          <w:rFonts w:ascii="Arial" w:hAnsi="Arial" w:cs="Arial"/>
          <w:color w:val="FF0000"/>
          <w:sz w:val="22"/>
          <w:szCs w:val="22"/>
          <w:u w:val="single"/>
        </w:rPr>
        <w:t>e Index Reference Home shall be identical to the Energy Rating Reference Home except that it shall use electricity for all energy end uses.</w:t>
      </w:r>
      <w:r w:rsidRPr="00CE2C05">
        <w:rPr>
          <w:rFonts w:ascii="Arial" w:hAnsi="Arial" w:cs="Arial"/>
          <w:color w:val="FF0000"/>
          <w:sz w:val="22"/>
          <w:szCs w:val="22"/>
        </w:rPr>
        <w:t xml:space="preserve"> </w:t>
      </w:r>
      <w:r w:rsidRPr="00B058A8">
        <w:rPr>
          <w:rFonts w:ascii="Arial" w:hAnsi="Arial" w:cs="Arial"/>
          <w:sz w:val="22"/>
          <w:szCs w:val="22"/>
        </w:rPr>
        <w:t xml:space="preserve">The </w:t>
      </w:r>
      <w:r w:rsidRPr="00CE2C05">
        <w:rPr>
          <w:rFonts w:ascii="Arial" w:hAnsi="Arial" w:cs="Arial"/>
          <w:strike/>
          <w:color w:val="FF0000"/>
          <w:sz w:val="22"/>
          <w:szCs w:val="22"/>
        </w:rPr>
        <w:t>Energy Rating Reference Home</w:t>
      </w:r>
      <w:r w:rsidR="00C16DA8" w:rsidRPr="00CE2C05">
        <w:rPr>
          <w:rFonts w:ascii="Arial" w:hAnsi="Arial" w:cs="Arial"/>
          <w:color w:val="FF0000"/>
          <w:sz w:val="22"/>
          <w:szCs w:val="22"/>
        </w:rPr>
        <w:t xml:space="preserve"> </w:t>
      </w:r>
      <w:r w:rsidRPr="00B058A8">
        <w:rPr>
          <w:rFonts w:ascii="Arial" w:hAnsi="Arial" w:cs="Arial"/>
          <w:sz w:val="22"/>
          <w:szCs w:val="22"/>
        </w:rPr>
        <w:t xml:space="preserve">emissions </w:t>
      </w:r>
      <w:r w:rsidRPr="00CE2C05">
        <w:rPr>
          <w:rFonts w:ascii="Arial" w:hAnsi="Arial" w:cs="Arial"/>
          <w:color w:val="FF0000"/>
          <w:sz w:val="22"/>
          <w:szCs w:val="22"/>
          <w:u w:val="single"/>
        </w:rPr>
        <w:t>for the CO</w:t>
      </w:r>
      <w:r w:rsidRPr="00CE2C05">
        <w:rPr>
          <w:rFonts w:ascii="Arial" w:hAnsi="Arial" w:cs="Arial"/>
          <w:color w:val="FF0000"/>
          <w:sz w:val="22"/>
          <w:szCs w:val="22"/>
          <w:u w:val="single"/>
          <w:vertAlign w:val="subscript"/>
        </w:rPr>
        <w:t>2</w:t>
      </w:r>
      <w:r w:rsidRPr="00CE2C05">
        <w:rPr>
          <w:rFonts w:ascii="Arial" w:hAnsi="Arial" w:cs="Arial"/>
          <w:color w:val="FF0000"/>
          <w:sz w:val="22"/>
          <w:szCs w:val="22"/>
          <w:u w:val="single"/>
        </w:rPr>
        <w:t>e Index Reference Home</w:t>
      </w:r>
      <w:r w:rsidRPr="00CE2C05">
        <w:rPr>
          <w:rFonts w:ascii="Arial" w:hAnsi="Arial" w:cs="Arial"/>
          <w:color w:val="FF0000"/>
          <w:sz w:val="22"/>
          <w:szCs w:val="22"/>
        </w:rPr>
        <w:t xml:space="preserve"> </w:t>
      </w:r>
      <w:r w:rsidRPr="00B058A8">
        <w:rPr>
          <w:rFonts w:ascii="Arial" w:hAnsi="Arial" w:cs="Arial"/>
          <w:sz w:val="22"/>
          <w:szCs w:val="22"/>
        </w:rPr>
        <w:t xml:space="preserve">shall be determined </w:t>
      </w:r>
      <w:r w:rsidRPr="00CE2C05">
        <w:rPr>
          <w:rFonts w:ascii="Arial" w:hAnsi="Arial" w:cs="Arial"/>
          <w:strike/>
          <w:color w:val="FF0000"/>
          <w:sz w:val="22"/>
          <w:szCs w:val="22"/>
        </w:rPr>
        <w:t>by fuel type</w:t>
      </w:r>
      <w:r w:rsidRPr="00CE2C05">
        <w:rPr>
          <w:rFonts w:ascii="Arial" w:hAnsi="Arial" w:cs="Arial"/>
          <w:color w:val="FF0000"/>
          <w:sz w:val="22"/>
          <w:szCs w:val="22"/>
        </w:rPr>
        <w:t xml:space="preserve"> </w:t>
      </w:r>
      <w:r w:rsidRPr="00B058A8">
        <w:rPr>
          <w:rFonts w:ascii="Arial" w:hAnsi="Arial" w:cs="Arial"/>
          <w:sz w:val="22"/>
          <w:szCs w:val="22"/>
        </w:rPr>
        <w:t xml:space="preserve">by applying the </w:t>
      </w:r>
      <w:r w:rsidRPr="00B52B89">
        <w:rPr>
          <w:rFonts w:ascii="Arial" w:hAnsi="Arial" w:cs="Arial"/>
          <w:color w:val="C45911" w:themeColor="accent2" w:themeShade="BF"/>
          <w:sz w:val="22"/>
          <w:szCs w:val="22"/>
          <w:u w:val="single"/>
        </w:rPr>
        <w:t>emission factors</w:t>
      </w:r>
      <w:r w:rsidRPr="00B058A8">
        <w:rPr>
          <w:rFonts w:ascii="Arial" w:hAnsi="Arial" w:cs="Arial"/>
          <w:color w:val="FF0000"/>
          <w:sz w:val="22"/>
          <w:szCs w:val="22"/>
        </w:rPr>
        <w:t xml:space="preserve"> </w:t>
      </w:r>
      <w:r w:rsidRPr="00B52B89">
        <w:rPr>
          <w:rFonts w:ascii="Arial" w:hAnsi="Arial" w:cs="Arial"/>
          <w:strike/>
          <w:color w:val="C45911" w:themeColor="accent2" w:themeShade="BF"/>
          <w:sz w:val="22"/>
          <w:szCs w:val="22"/>
        </w:rPr>
        <w:t xml:space="preserve">emissions </w:t>
      </w:r>
      <w:r w:rsidRPr="00B058A8">
        <w:rPr>
          <w:rFonts w:ascii="Arial" w:hAnsi="Arial" w:cs="Arial"/>
          <w:sz w:val="22"/>
          <w:szCs w:val="22"/>
        </w:rPr>
        <w:t>determined in accordance with Section</w:t>
      </w:r>
      <w:r w:rsidR="00341C42">
        <w:rPr>
          <w:rFonts w:ascii="Arial" w:hAnsi="Arial" w:cs="Arial"/>
          <w:sz w:val="22"/>
          <w:szCs w:val="22"/>
        </w:rPr>
        <w:t xml:space="preserve"> 7.1.2.2.1</w:t>
      </w:r>
      <w:r w:rsidRPr="00B058A8">
        <w:rPr>
          <w:rFonts w:ascii="Arial" w:hAnsi="Arial" w:cs="Arial"/>
          <w:sz w:val="22"/>
          <w:szCs w:val="22"/>
        </w:rPr>
        <w:t xml:space="preserve"> to </w:t>
      </w:r>
      <w:proofErr w:type="gramStart"/>
      <w:r w:rsidRPr="00CE2C05">
        <w:rPr>
          <w:rFonts w:ascii="Arial" w:hAnsi="Arial" w:cs="Arial"/>
          <w:strike/>
          <w:color w:val="FF0000"/>
          <w:sz w:val="22"/>
          <w:szCs w:val="22"/>
        </w:rPr>
        <w:t xml:space="preserve">the </w:t>
      </w:r>
      <w:r w:rsidRPr="00CE2C05">
        <w:rPr>
          <w:rFonts w:ascii="Arial" w:hAnsi="Arial" w:cs="Arial"/>
          <w:color w:val="FF0000"/>
          <w:sz w:val="22"/>
          <w:szCs w:val="22"/>
          <w:u w:val="single"/>
        </w:rPr>
        <w:t>its</w:t>
      </w:r>
      <w:proofErr w:type="gramEnd"/>
      <w:r w:rsidRPr="00CE2C05">
        <w:rPr>
          <w:rFonts w:ascii="Arial" w:hAnsi="Arial" w:cs="Arial"/>
          <w:color w:val="FF0000"/>
          <w:sz w:val="22"/>
          <w:szCs w:val="22"/>
          <w:u w:val="single"/>
        </w:rPr>
        <w:t xml:space="preserve"> Purchased Energy </w:t>
      </w:r>
      <w:r w:rsidRPr="00CE2C05">
        <w:rPr>
          <w:rFonts w:ascii="Arial" w:hAnsi="Arial" w:cs="Arial"/>
          <w:strike/>
          <w:color w:val="FF0000"/>
          <w:sz w:val="22"/>
          <w:szCs w:val="22"/>
        </w:rPr>
        <w:t>individual fuel types of the Energy Rating Reference Home</w:t>
      </w:r>
      <w:r w:rsidRPr="00B058A8">
        <w:rPr>
          <w:rFonts w:ascii="Arial" w:hAnsi="Arial" w:cs="Arial"/>
          <w:sz w:val="22"/>
          <w:szCs w:val="22"/>
        </w:rPr>
        <w:t>.</w:t>
      </w:r>
      <w:bookmarkEnd w:id="4"/>
    </w:p>
    <w:p w14:paraId="2ECF8534" w14:textId="77777777" w:rsidR="00B058A8" w:rsidRPr="00B058A8" w:rsidRDefault="00B058A8" w:rsidP="00B058A8">
      <w:pPr>
        <w:pStyle w:val="sixa"/>
        <w:numPr>
          <w:ilvl w:val="0"/>
          <w:numId w:val="0"/>
        </w:numPr>
        <w:ind w:left="2610"/>
        <w:rPr>
          <w:rFonts w:ascii="Arial" w:hAnsi="Arial" w:cs="Arial"/>
          <w:sz w:val="22"/>
          <w:szCs w:val="22"/>
        </w:rPr>
      </w:pPr>
    </w:p>
    <w:p w14:paraId="6A35E64B" w14:textId="058491FC" w:rsidR="00B058A8" w:rsidRPr="00B058A8" w:rsidRDefault="00B058A8" w:rsidP="00B058A8">
      <w:pPr>
        <w:pStyle w:val="sixa"/>
        <w:numPr>
          <w:ilvl w:val="0"/>
          <w:numId w:val="0"/>
        </w:numPr>
        <w:ind w:left="2610"/>
        <w:rPr>
          <w:rFonts w:ascii="Arial" w:hAnsi="Arial" w:cs="Arial"/>
          <w:sz w:val="22"/>
          <w:szCs w:val="22"/>
        </w:rPr>
      </w:pPr>
      <w:r w:rsidRPr="001C5960">
        <w:rPr>
          <w:rFonts w:ascii="Arial" w:hAnsi="Arial" w:cs="Arial"/>
          <w:b/>
          <w:bCs w:val="0"/>
          <w:sz w:val="22"/>
          <w:szCs w:val="22"/>
        </w:rPr>
        <w:t xml:space="preserve">7.1.2.2.2.2.  </w:t>
      </w:r>
      <w:bookmarkStart w:id="5" w:name="_Hlk102745126"/>
      <w:r w:rsidRPr="00B058A8">
        <w:rPr>
          <w:rFonts w:ascii="Arial" w:hAnsi="Arial" w:cs="Arial"/>
          <w:sz w:val="22"/>
          <w:szCs w:val="22"/>
        </w:rPr>
        <w:t xml:space="preserve">The Rated Home emissions shall be determined by fuel type by applying the </w:t>
      </w:r>
      <w:r w:rsidRPr="00CE2C05">
        <w:rPr>
          <w:rFonts w:ascii="Arial" w:hAnsi="Arial" w:cs="Arial"/>
          <w:strike/>
          <w:color w:val="FF0000"/>
          <w:sz w:val="22"/>
          <w:szCs w:val="22"/>
        </w:rPr>
        <w:t>same</w:t>
      </w:r>
      <w:r w:rsidRPr="00B058A8">
        <w:rPr>
          <w:rFonts w:ascii="Arial" w:hAnsi="Arial" w:cs="Arial"/>
          <w:strike/>
          <w:color w:val="538135" w:themeColor="accent6" w:themeShade="BF"/>
          <w:sz w:val="22"/>
          <w:szCs w:val="22"/>
        </w:rPr>
        <w:t xml:space="preserve"> </w:t>
      </w:r>
      <w:r w:rsidRPr="00B058A8">
        <w:rPr>
          <w:rFonts w:ascii="Arial" w:hAnsi="Arial" w:cs="Arial"/>
          <w:sz w:val="22"/>
          <w:szCs w:val="22"/>
        </w:rPr>
        <w:t>emission</w:t>
      </w:r>
      <w:r w:rsidRPr="00CE2C05">
        <w:rPr>
          <w:rFonts w:ascii="Arial" w:hAnsi="Arial" w:cs="Arial"/>
          <w:color w:val="FF0000"/>
          <w:sz w:val="22"/>
          <w:szCs w:val="22"/>
          <w:u w:val="single"/>
        </w:rPr>
        <w:t xml:space="preserve"> factors determined in accordance with</w:t>
      </w:r>
      <w:r w:rsidRPr="00CE2C05">
        <w:rPr>
          <w:rFonts w:ascii="Arial" w:hAnsi="Arial" w:cs="Arial"/>
          <w:color w:val="FF0000"/>
          <w:sz w:val="22"/>
          <w:szCs w:val="22"/>
        </w:rPr>
        <w:t xml:space="preserve"> </w:t>
      </w:r>
      <w:r w:rsidRPr="00CE2C05">
        <w:rPr>
          <w:rFonts w:ascii="Arial" w:hAnsi="Arial" w:cs="Arial"/>
          <w:strike/>
          <w:color w:val="FF0000"/>
          <w:sz w:val="22"/>
          <w:szCs w:val="22"/>
        </w:rPr>
        <w:t xml:space="preserve">data used for the Energy Rating Reference Home in </w:t>
      </w:r>
      <w:r w:rsidRPr="00B058A8">
        <w:rPr>
          <w:rFonts w:ascii="Arial" w:hAnsi="Arial" w:cs="Arial"/>
          <w:sz w:val="22"/>
          <w:szCs w:val="22"/>
        </w:rPr>
        <w:t xml:space="preserve">Section </w:t>
      </w:r>
      <w:r w:rsidRPr="00CE2C05">
        <w:rPr>
          <w:rFonts w:ascii="Arial" w:hAnsi="Arial" w:cs="Arial"/>
          <w:strike/>
          <w:color w:val="FF0000"/>
          <w:sz w:val="22"/>
          <w:szCs w:val="22"/>
          <w:u w:val="single"/>
        </w:rPr>
        <w:fldChar w:fldCharType="begin"/>
      </w:r>
      <w:r w:rsidRPr="00CE2C05">
        <w:rPr>
          <w:rFonts w:ascii="Arial" w:hAnsi="Arial" w:cs="Arial"/>
          <w:strike/>
          <w:color w:val="FF0000"/>
          <w:sz w:val="22"/>
          <w:szCs w:val="22"/>
          <w:u w:val="single"/>
        </w:rPr>
        <w:instrText xml:space="preserve"> REF _Ref495406806 \r \h  \* MERGEFORMAT </w:instrText>
      </w:r>
      <w:r w:rsidRPr="00CE2C05">
        <w:rPr>
          <w:rFonts w:ascii="Arial" w:hAnsi="Arial" w:cs="Arial"/>
          <w:strike/>
          <w:color w:val="FF0000"/>
          <w:sz w:val="22"/>
          <w:szCs w:val="22"/>
          <w:u w:val="single"/>
        </w:rPr>
      </w:r>
      <w:r w:rsidRPr="00CE2C05">
        <w:rPr>
          <w:rFonts w:ascii="Arial" w:hAnsi="Arial" w:cs="Arial"/>
          <w:strike/>
          <w:color w:val="FF0000"/>
          <w:sz w:val="22"/>
          <w:szCs w:val="22"/>
          <w:u w:val="single"/>
        </w:rPr>
        <w:fldChar w:fldCharType="separate"/>
      </w:r>
      <w:r w:rsidRPr="00CE2C05">
        <w:rPr>
          <w:rFonts w:ascii="Arial" w:hAnsi="Arial" w:cs="Arial"/>
          <w:strike/>
          <w:color w:val="FF0000"/>
          <w:sz w:val="22"/>
          <w:szCs w:val="22"/>
          <w:u w:val="single"/>
        </w:rPr>
        <w:t>7.1.2.2.2.1</w:t>
      </w:r>
      <w:r w:rsidRPr="00CE2C05">
        <w:rPr>
          <w:rFonts w:ascii="Arial" w:hAnsi="Arial" w:cs="Arial"/>
          <w:strike/>
          <w:color w:val="FF0000"/>
          <w:sz w:val="22"/>
          <w:szCs w:val="22"/>
          <w:u w:val="single"/>
        </w:rPr>
        <w:fldChar w:fldCharType="end"/>
      </w:r>
      <w:r w:rsidRPr="00CE2C05">
        <w:rPr>
          <w:rFonts w:ascii="Arial" w:hAnsi="Arial" w:cs="Arial"/>
          <w:color w:val="FF0000"/>
          <w:sz w:val="22"/>
          <w:szCs w:val="22"/>
          <w:u w:val="single"/>
        </w:rPr>
        <w:t>7.1.2.2.1</w:t>
      </w:r>
      <w:r w:rsidRPr="00CE2C05">
        <w:rPr>
          <w:rFonts w:ascii="Arial" w:hAnsi="Arial" w:cs="Arial"/>
          <w:color w:val="FF0000"/>
          <w:sz w:val="22"/>
          <w:szCs w:val="22"/>
        </w:rPr>
        <w:t xml:space="preserve"> </w:t>
      </w:r>
      <w:r w:rsidRPr="00CE2C05">
        <w:rPr>
          <w:rFonts w:ascii="Arial" w:hAnsi="Arial" w:cs="Arial"/>
          <w:strike/>
          <w:color w:val="FF0000"/>
          <w:sz w:val="22"/>
          <w:szCs w:val="22"/>
        </w:rPr>
        <w:t>above</w:t>
      </w:r>
      <w:r w:rsidRPr="00B058A8">
        <w:rPr>
          <w:rFonts w:ascii="Arial" w:hAnsi="Arial" w:cs="Arial"/>
          <w:sz w:val="22"/>
          <w:szCs w:val="22"/>
        </w:rPr>
        <w:t>.</w:t>
      </w:r>
      <w:bookmarkEnd w:id="5"/>
    </w:p>
    <w:p w14:paraId="30D0B33F" w14:textId="77777777" w:rsidR="00B058A8" w:rsidRPr="00B058A8" w:rsidRDefault="00B058A8" w:rsidP="00B058A8">
      <w:pPr>
        <w:pStyle w:val="sixa"/>
        <w:numPr>
          <w:ilvl w:val="0"/>
          <w:numId w:val="0"/>
        </w:numPr>
        <w:rPr>
          <w:rFonts w:ascii="Arial" w:hAnsi="Arial" w:cs="Arial"/>
          <w:sz w:val="22"/>
          <w:szCs w:val="22"/>
        </w:rPr>
      </w:pPr>
    </w:p>
    <w:p w14:paraId="51795638" w14:textId="730B3027" w:rsidR="00B058A8" w:rsidRPr="00B058A8" w:rsidRDefault="00B058A8" w:rsidP="00B058A8">
      <w:pPr>
        <w:pStyle w:val="sixa"/>
        <w:numPr>
          <w:ilvl w:val="0"/>
          <w:numId w:val="0"/>
        </w:numPr>
        <w:ind w:left="2610"/>
        <w:rPr>
          <w:rFonts w:ascii="Arial" w:hAnsi="Arial" w:cs="Arial"/>
          <w:sz w:val="22"/>
          <w:szCs w:val="22"/>
        </w:rPr>
      </w:pPr>
      <w:bookmarkStart w:id="6" w:name="_Ref495406820"/>
      <w:r w:rsidRPr="001C5960">
        <w:rPr>
          <w:rFonts w:ascii="Arial" w:hAnsi="Arial" w:cs="Arial"/>
          <w:b/>
          <w:bCs w:val="0"/>
          <w:sz w:val="22"/>
          <w:szCs w:val="22"/>
        </w:rPr>
        <w:t xml:space="preserve">7.1.2.2.2.3.  </w:t>
      </w:r>
      <w:r w:rsidRPr="00B058A8">
        <w:rPr>
          <w:rFonts w:ascii="Arial" w:hAnsi="Arial" w:cs="Arial"/>
          <w:sz w:val="22"/>
          <w:szCs w:val="22"/>
        </w:rPr>
        <w:t>For Confirmed, Sampled and Projected Ratings, estimated emission savings shall be calculated in accordance with Sections</w:t>
      </w:r>
      <w:r w:rsidR="00C16DA8">
        <w:rPr>
          <w:rFonts w:ascii="Arial" w:hAnsi="Arial" w:cs="Arial"/>
          <w:sz w:val="22"/>
          <w:szCs w:val="22"/>
        </w:rPr>
        <w:t xml:space="preserve"> 7.1.2.2.2.3.1. and 7.1.2.2.2.3.2.</w:t>
      </w:r>
      <w:bookmarkEnd w:id="6"/>
    </w:p>
    <w:p w14:paraId="36ED967C" w14:textId="77777777" w:rsidR="00B058A8" w:rsidRPr="00B058A8" w:rsidRDefault="00B058A8" w:rsidP="00B058A8">
      <w:pPr>
        <w:rPr>
          <w:rFonts w:ascii="Arial" w:hAnsi="Arial" w:cs="Arial"/>
        </w:rPr>
      </w:pPr>
    </w:p>
    <w:p w14:paraId="53B2DB5A" w14:textId="0F3373E3" w:rsidR="00B058A8" w:rsidRPr="00B058A8" w:rsidRDefault="00B058A8" w:rsidP="00B058A8">
      <w:pPr>
        <w:pStyle w:val="seventh"/>
        <w:numPr>
          <w:ilvl w:val="0"/>
          <w:numId w:val="0"/>
        </w:numPr>
        <w:ind w:left="3420"/>
        <w:rPr>
          <w:rFonts w:ascii="Arial" w:hAnsi="Arial" w:cs="Arial"/>
          <w:sz w:val="22"/>
          <w:szCs w:val="22"/>
        </w:rPr>
      </w:pPr>
      <w:bookmarkStart w:id="7" w:name="_Ref495406907"/>
      <w:r w:rsidRPr="001C5960">
        <w:rPr>
          <w:rFonts w:ascii="Arial" w:hAnsi="Arial" w:cs="Arial"/>
          <w:b/>
          <w:bCs/>
          <w:sz w:val="22"/>
          <w:szCs w:val="22"/>
        </w:rPr>
        <w:t xml:space="preserve">7.1.2.2.2.3.1.  </w:t>
      </w:r>
      <w:bookmarkEnd w:id="7"/>
      <w:r w:rsidRPr="00B058A8">
        <w:rPr>
          <w:rFonts w:ascii="Arial" w:hAnsi="Arial" w:cs="Arial"/>
          <w:sz w:val="22"/>
          <w:szCs w:val="22"/>
        </w:rPr>
        <w:t xml:space="preserve">Estimated emission savings with respect to the </w:t>
      </w:r>
      <w:r w:rsidRPr="00CE2C05">
        <w:rPr>
          <w:rFonts w:ascii="Arial" w:hAnsi="Arial" w:cs="Arial"/>
          <w:strike/>
          <w:color w:val="FF0000"/>
          <w:sz w:val="22"/>
          <w:szCs w:val="22"/>
        </w:rPr>
        <w:t xml:space="preserve">Energy Rating Reference Home </w:t>
      </w:r>
      <w:r w:rsidRPr="00CE2C05">
        <w:rPr>
          <w:rFonts w:ascii="Arial" w:hAnsi="Arial" w:cs="Arial"/>
          <w:color w:val="FF0000"/>
          <w:sz w:val="22"/>
          <w:szCs w:val="22"/>
          <w:u w:val="single"/>
        </w:rPr>
        <w:t>CO</w:t>
      </w:r>
      <w:r w:rsidRPr="00CE2C05">
        <w:rPr>
          <w:rFonts w:ascii="Arial" w:hAnsi="Arial" w:cs="Arial"/>
          <w:color w:val="FF0000"/>
          <w:sz w:val="22"/>
          <w:szCs w:val="22"/>
          <w:u w:val="single"/>
          <w:vertAlign w:val="subscript"/>
        </w:rPr>
        <w:t>2</w:t>
      </w:r>
      <w:r w:rsidRPr="00CE2C05">
        <w:rPr>
          <w:rFonts w:ascii="Arial" w:hAnsi="Arial" w:cs="Arial"/>
          <w:color w:val="FF0000"/>
          <w:sz w:val="22"/>
          <w:szCs w:val="22"/>
          <w:u w:val="single"/>
        </w:rPr>
        <w:t>e Index Reference Home</w:t>
      </w:r>
      <w:r w:rsidRPr="00CE2C05">
        <w:rPr>
          <w:rFonts w:ascii="Arial" w:hAnsi="Arial" w:cs="Arial"/>
          <w:color w:val="FF0000"/>
          <w:sz w:val="22"/>
          <w:szCs w:val="22"/>
        </w:rPr>
        <w:t xml:space="preserve"> </w:t>
      </w:r>
      <w:r w:rsidRPr="00B058A8">
        <w:rPr>
          <w:rFonts w:ascii="Arial" w:hAnsi="Arial" w:cs="Arial"/>
          <w:sz w:val="22"/>
          <w:szCs w:val="22"/>
        </w:rPr>
        <w:t xml:space="preserve">shall be the difference between the emissions of the </w:t>
      </w:r>
      <w:r w:rsidRPr="00CE2C05">
        <w:rPr>
          <w:rFonts w:ascii="Arial" w:hAnsi="Arial" w:cs="Arial"/>
          <w:strike/>
          <w:color w:val="FF0000"/>
          <w:sz w:val="22"/>
          <w:szCs w:val="22"/>
        </w:rPr>
        <w:t xml:space="preserve">Energy Rating Reference </w:t>
      </w:r>
      <w:r w:rsidRPr="00CE2C05">
        <w:rPr>
          <w:rFonts w:ascii="Arial" w:hAnsi="Arial" w:cs="Arial"/>
          <w:color w:val="FF0000"/>
          <w:sz w:val="22"/>
          <w:szCs w:val="22"/>
          <w:u w:val="single"/>
        </w:rPr>
        <w:t>CO</w:t>
      </w:r>
      <w:r w:rsidRPr="00CE2C05">
        <w:rPr>
          <w:rFonts w:ascii="Arial" w:hAnsi="Arial" w:cs="Arial"/>
          <w:color w:val="FF0000"/>
          <w:sz w:val="22"/>
          <w:szCs w:val="22"/>
          <w:u w:val="single"/>
          <w:vertAlign w:val="subscript"/>
        </w:rPr>
        <w:t>2</w:t>
      </w:r>
      <w:r w:rsidRPr="00CE2C05">
        <w:rPr>
          <w:rFonts w:ascii="Arial" w:hAnsi="Arial" w:cs="Arial"/>
          <w:color w:val="FF0000"/>
          <w:sz w:val="22"/>
          <w:szCs w:val="22"/>
          <w:u w:val="single"/>
        </w:rPr>
        <w:t xml:space="preserve">e Index Reference </w:t>
      </w:r>
      <w:r w:rsidRPr="00B058A8">
        <w:rPr>
          <w:rFonts w:ascii="Arial" w:hAnsi="Arial" w:cs="Arial"/>
          <w:sz w:val="22"/>
          <w:szCs w:val="22"/>
        </w:rPr>
        <w:t>Home and the emissions of the Rated Home.</w:t>
      </w:r>
    </w:p>
    <w:p w14:paraId="0F95F067" w14:textId="77777777" w:rsidR="00B058A8" w:rsidRPr="00B058A8" w:rsidRDefault="00B058A8" w:rsidP="00B058A8">
      <w:pPr>
        <w:ind w:left="1440"/>
        <w:rPr>
          <w:rFonts w:ascii="Arial" w:hAnsi="Arial" w:cs="Arial"/>
        </w:rPr>
      </w:pPr>
    </w:p>
    <w:p w14:paraId="063457B1" w14:textId="3FD9672C" w:rsidR="00B058A8" w:rsidRPr="00B058A8" w:rsidRDefault="00B058A8" w:rsidP="00B058A8">
      <w:pPr>
        <w:pStyle w:val="seventh"/>
        <w:numPr>
          <w:ilvl w:val="0"/>
          <w:numId w:val="0"/>
        </w:numPr>
        <w:ind w:left="3420"/>
        <w:rPr>
          <w:rFonts w:ascii="Arial" w:hAnsi="Arial" w:cs="Arial"/>
          <w:sz w:val="22"/>
          <w:szCs w:val="22"/>
        </w:rPr>
      </w:pPr>
      <w:bookmarkStart w:id="8" w:name="_Ref495406928"/>
      <w:r w:rsidRPr="001C5960">
        <w:rPr>
          <w:rFonts w:ascii="Arial" w:hAnsi="Arial" w:cs="Arial"/>
          <w:b/>
          <w:bCs/>
          <w:sz w:val="22"/>
          <w:szCs w:val="22"/>
        </w:rPr>
        <w:t xml:space="preserve">7.1.2.2.2.3.2. </w:t>
      </w:r>
      <w:r w:rsidRPr="001C5960">
        <w:rPr>
          <w:rFonts w:ascii="Arial" w:hAnsi="Arial" w:cs="Arial"/>
          <w:sz w:val="22"/>
          <w:szCs w:val="22"/>
        </w:rPr>
        <w:t xml:space="preserve"> </w:t>
      </w:r>
      <w:r w:rsidRPr="00B058A8">
        <w:rPr>
          <w:rFonts w:ascii="Arial" w:hAnsi="Arial" w:cs="Arial"/>
          <w:sz w:val="22"/>
          <w:szCs w:val="22"/>
        </w:rPr>
        <w:t>Estimated emission savings with respect to the Typical Existing Home shall be determined in accordance with Sections</w:t>
      </w:r>
      <w:r w:rsidR="00C16DA8">
        <w:rPr>
          <w:rFonts w:ascii="Arial" w:hAnsi="Arial" w:cs="Arial"/>
          <w:sz w:val="22"/>
          <w:szCs w:val="22"/>
        </w:rPr>
        <w:t xml:space="preserve"> 7.1.2.2.2.3.2.1. and 7.1.2.2.2.3.2.2.</w:t>
      </w:r>
      <w:bookmarkEnd w:id="8"/>
    </w:p>
    <w:p w14:paraId="2114E497" w14:textId="77777777" w:rsidR="00B058A8" w:rsidRPr="00B058A8" w:rsidRDefault="00B058A8" w:rsidP="00B058A8">
      <w:pPr>
        <w:pStyle w:val="ListParagraph"/>
        <w:rPr>
          <w:rFonts w:ascii="Arial" w:hAnsi="Arial" w:cs="Arial"/>
          <w:sz w:val="22"/>
          <w:szCs w:val="22"/>
        </w:rPr>
      </w:pPr>
    </w:p>
    <w:p w14:paraId="39922CAE" w14:textId="44A88660" w:rsidR="00B058A8" w:rsidRPr="00B058A8" w:rsidRDefault="00B058A8" w:rsidP="00B058A8">
      <w:pPr>
        <w:pStyle w:val="eight"/>
        <w:numPr>
          <w:ilvl w:val="0"/>
          <w:numId w:val="0"/>
        </w:numPr>
        <w:ind w:left="1800"/>
        <w:rPr>
          <w:rFonts w:ascii="Arial" w:hAnsi="Arial" w:cs="Arial"/>
          <w:sz w:val="22"/>
          <w:szCs w:val="22"/>
        </w:rPr>
      </w:pPr>
      <w:bookmarkStart w:id="9" w:name="_Ref495406982"/>
      <w:r w:rsidRPr="001C5960">
        <w:rPr>
          <w:rFonts w:ascii="Arial" w:hAnsi="Arial" w:cs="Arial"/>
          <w:b/>
          <w:bCs/>
          <w:sz w:val="22"/>
          <w:szCs w:val="22"/>
        </w:rPr>
        <w:t xml:space="preserve">7.1.2.2.2.3.2.1.  </w:t>
      </w:r>
      <w:bookmarkEnd w:id="9"/>
      <w:r w:rsidRPr="00CE2C05">
        <w:rPr>
          <w:rFonts w:ascii="Arial" w:hAnsi="Arial" w:cs="Arial"/>
          <w:strike/>
          <w:color w:val="FF0000"/>
          <w:sz w:val="22"/>
          <w:szCs w:val="22"/>
        </w:rPr>
        <w:t xml:space="preserve">For each fuel type, </w:t>
      </w:r>
      <w:proofErr w:type="spellStart"/>
      <w:r w:rsidRPr="00CE2C05">
        <w:rPr>
          <w:rFonts w:ascii="Arial" w:hAnsi="Arial" w:cs="Arial"/>
          <w:strike/>
          <w:color w:val="FF0000"/>
          <w:sz w:val="22"/>
          <w:szCs w:val="22"/>
        </w:rPr>
        <w:t>m</w:t>
      </w:r>
      <w:r w:rsidRPr="00CE2C05">
        <w:rPr>
          <w:rFonts w:ascii="Arial" w:hAnsi="Arial" w:cs="Arial"/>
          <w:color w:val="FF0000"/>
          <w:sz w:val="22"/>
          <w:szCs w:val="22"/>
          <w:u w:val="single"/>
        </w:rPr>
        <w:t>M</w:t>
      </w:r>
      <w:r w:rsidRPr="00B058A8">
        <w:rPr>
          <w:rFonts w:ascii="Arial" w:hAnsi="Arial" w:cs="Arial"/>
          <w:sz w:val="22"/>
          <w:szCs w:val="22"/>
        </w:rPr>
        <w:t>ultiply</w:t>
      </w:r>
      <w:proofErr w:type="spellEnd"/>
      <w:r w:rsidRPr="00B058A8">
        <w:rPr>
          <w:rFonts w:ascii="Arial" w:hAnsi="Arial" w:cs="Arial"/>
          <w:sz w:val="22"/>
          <w:szCs w:val="22"/>
        </w:rPr>
        <w:t xml:space="preserve"> the</w:t>
      </w:r>
      <w:r w:rsidRPr="00CE2C05">
        <w:rPr>
          <w:rFonts w:ascii="Arial" w:hAnsi="Arial" w:cs="Arial"/>
          <w:color w:val="FF0000"/>
          <w:sz w:val="22"/>
          <w:szCs w:val="22"/>
        </w:rPr>
        <w:t xml:space="preserve"> </w:t>
      </w:r>
      <w:r w:rsidRPr="00CE2C05">
        <w:rPr>
          <w:rFonts w:ascii="Arial" w:hAnsi="Arial" w:cs="Arial"/>
          <w:strike/>
          <w:color w:val="FF0000"/>
          <w:sz w:val="22"/>
          <w:szCs w:val="22"/>
        </w:rPr>
        <w:t xml:space="preserve">Energy Rating Reference Home </w:t>
      </w:r>
      <w:r w:rsidRPr="00CE2C05">
        <w:rPr>
          <w:rFonts w:ascii="Arial" w:hAnsi="Arial" w:cs="Arial"/>
          <w:color w:val="FF0000"/>
          <w:sz w:val="22"/>
          <w:szCs w:val="22"/>
          <w:u w:val="single"/>
        </w:rPr>
        <w:t>CO</w:t>
      </w:r>
      <w:r w:rsidRPr="00CE2C05">
        <w:rPr>
          <w:rFonts w:ascii="Arial" w:hAnsi="Arial" w:cs="Arial"/>
          <w:color w:val="FF0000"/>
          <w:sz w:val="22"/>
          <w:szCs w:val="22"/>
          <w:u w:val="single"/>
          <w:vertAlign w:val="subscript"/>
        </w:rPr>
        <w:t>2</w:t>
      </w:r>
      <w:r w:rsidRPr="00CE2C05">
        <w:rPr>
          <w:rFonts w:ascii="Arial" w:hAnsi="Arial" w:cs="Arial"/>
          <w:color w:val="FF0000"/>
          <w:sz w:val="22"/>
          <w:szCs w:val="22"/>
          <w:u w:val="single"/>
        </w:rPr>
        <w:t>e Index Reference Home</w:t>
      </w:r>
      <w:r w:rsidRPr="00CE2C05">
        <w:rPr>
          <w:rFonts w:ascii="Arial" w:hAnsi="Arial" w:cs="Arial"/>
          <w:color w:val="FF0000"/>
          <w:sz w:val="22"/>
          <w:szCs w:val="22"/>
        </w:rPr>
        <w:t xml:space="preserve"> </w:t>
      </w:r>
      <w:r w:rsidRPr="00B058A8">
        <w:rPr>
          <w:rFonts w:ascii="Arial" w:hAnsi="Arial" w:cs="Arial"/>
          <w:sz w:val="22"/>
          <w:szCs w:val="22"/>
        </w:rPr>
        <w:t>emissions by 1.3 to determine the Typical Existing Home emissions</w:t>
      </w:r>
      <w:r w:rsidRPr="00CE2C05">
        <w:rPr>
          <w:rFonts w:ascii="Arial" w:hAnsi="Arial" w:cs="Arial"/>
          <w:color w:val="FF0000"/>
          <w:sz w:val="22"/>
          <w:szCs w:val="22"/>
          <w:u w:val="single"/>
        </w:rPr>
        <w:t xml:space="preserve"> by fuel type</w:t>
      </w:r>
      <w:r w:rsidRPr="00B058A8">
        <w:rPr>
          <w:rFonts w:ascii="Arial" w:hAnsi="Arial" w:cs="Arial"/>
          <w:color w:val="0070C0"/>
          <w:sz w:val="22"/>
          <w:szCs w:val="22"/>
        </w:rPr>
        <w:t>.</w:t>
      </w:r>
    </w:p>
    <w:p w14:paraId="37C8CF0D" w14:textId="77777777" w:rsidR="00B058A8" w:rsidRPr="00B058A8" w:rsidRDefault="00B058A8" w:rsidP="00B058A8">
      <w:pPr>
        <w:ind w:left="1800"/>
        <w:rPr>
          <w:rFonts w:ascii="Arial" w:hAnsi="Arial" w:cs="Arial"/>
        </w:rPr>
      </w:pPr>
    </w:p>
    <w:p w14:paraId="2DBBF646" w14:textId="11257C0C" w:rsidR="00B058A8" w:rsidRPr="00B058A8" w:rsidRDefault="00B058A8" w:rsidP="00B058A8">
      <w:pPr>
        <w:pStyle w:val="eight"/>
        <w:numPr>
          <w:ilvl w:val="0"/>
          <w:numId w:val="0"/>
        </w:numPr>
        <w:ind w:left="1800"/>
        <w:rPr>
          <w:rFonts w:ascii="Arial" w:hAnsi="Arial" w:cs="Arial"/>
          <w:sz w:val="22"/>
          <w:szCs w:val="22"/>
        </w:rPr>
      </w:pPr>
      <w:bookmarkStart w:id="10" w:name="_Ref495406969"/>
      <w:r w:rsidRPr="001C5960">
        <w:rPr>
          <w:rFonts w:ascii="Arial" w:hAnsi="Arial" w:cs="Arial"/>
          <w:b/>
          <w:bCs/>
          <w:sz w:val="22"/>
          <w:szCs w:val="22"/>
        </w:rPr>
        <w:t xml:space="preserve">7.1.2.2.2.3.2.2.  </w:t>
      </w:r>
      <w:r w:rsidRPr="00B058A8">
        <w:rPr>
          <w:rFonts w:ascii="Arial" w:hAnsi="Arial" w:cs="Arial"/>
          <w:sz w:val="22"/>
          <w:szCs w:val="22"/>
        </w:rPr>
        <w:t>Estimated emission savings with respect to the Typical Existing Home shall be the difference between the emissions of the Typical Existing Home and the emissions of the Rated Home.</w:t>
      </w:r>
      <w:bookmarkEnd w:id="10"/>
    </w:p>
    <w:p w14:paraId="686E5AAE" w14:textId="0BCFA3CD" w:rsidR="00B058A8" w:rsidRDefault="00B058A8">
      <w:pPr>
        <w:rPr>
          <w:rFonts w:ascii="Arial" w:hAnsi="Arial" w:cs="Arial"/>
        </w:rPr>
      </w:pPr>
    </w:p>
    <w:p w14:paraId="64A25E12" w14:textId="0D18A8CF" w:rsidR="001C1C92" w:rsidRPr="001C1C92" w:rsidRDefault="001C1C92" w:rsidP="001C1C92">
      <w:pPr>
        <w:rPr>
          <w:rFonts w:ascii="Arial" w:eastAsiaTheme="majorEastAsia" w:hAnsi="Arial" w:cs="Arial"/>
          <w:b/>
          <w:bCs/>
          <w:i/>
          <w:iCs/>
          <w:color w:val="0070C0"/>
        </w:rPr>
      </w:pPr>
      <w:r>
        <w:rPr>
          <w:rFonts w:ascii="Arial" w:eastAsiaTheme="majorEastAsia" w:hAnsi="Arial" w:cs="Arial"/>
          <w:b/>
          <w:bCs/>
          <w:i/>
          <w:iCs/>
          <w:color w:val="0070C0"/>
        </w:rPr>
        <w:t>Revise section 7.3. as follows:</w:t>
      </w:r>
    </w:p>
    <w:p w14:paraId="4EA95BE5" w14:textId="5CC3BEC6" w:rsidR="000D50A5" w:rsidRPr="000D50A5" w:rsidRDefault="000D50A5" w:rsidP="000D50A5">
      <w:pPr>
        <w:rPr>
          <w:rFonts w:ascii="Arial" w:hAnsi="Arial" w:cs="Arial"/>
        </w:rPr>
      </w:pPr>
      <w:r w:rsidRPr="001C5960">
        <w:rPr>
          <w:rStyle w:val="Heading2Char"/>
          <w:rFonts w:ascii="Arial" w:eastAsiaTheme="minorHAnsi" w:hAnsi="Arial" w:cs="Arial"/>
          <w:bCs/>
          <w:sz w:val="22"/>
          <w:szCs w:val="22"/>
        </w:rPr>
        <w:t>7.3.</w:t>
      </w:r>
      <w:r w:rsidRPr="000D50A5">
        <w:rPr>
          <w:rStyle w:val="Heading2Char"/>
          <w:rFonts w:ascii="Arial" w:eastAsiaTheme="minorHAnsi" w:hAnsi="Arial" w:cs="Arial"/>
          <w:bCs/>
          <w:sz w:val="22"/>
          <w:szCs w:val="22"/>
          <w:u w:val="single"/>
        </w:rPr>
        <w:t xml:space="preserve">  </w:t>
      </w:r>
      <w:r w:rsidRPr="000D50A5">
        <w:rPr>
          <w:rStyle w:val="Heading2Char"/>
          <w:rFonts w:ascii="Arial" w:eastAsiaTheme="minorHAnsi" w:hAnsi="Arial" w:cs="Arial"/>
          <w:bCs/>
          <w:sz w:val="22"/>
          <w:szCs w:val="22"/>
        </w:rPr>
        <w:t xml:space="preserve">Labeling. </w:t>
      </w:r>
      <w:r w:rsidRPr="000D50A5">
        <w:rPr>
          <w:rFonts w:ascii="Arial" w:hAnsi="Arial" w:cs="Arial"/>
        </w:rPr>
        <w:t>Energy Rating labels shall, at a minimum, contain the information specified by Sections</w:t>
      </w:r>
      <w:r w:rsidR="00C16DA8">
        <w:rPr>
          <w:rFonts w:ascii="Arial" w:hAnsi="Arial" w:cs="Arial"/>
        </w:rPr>
        <w:t xml:space="preserve"> 7.3.1 through </w:t>
      </w:r>
      <w:r w:rsidR="008B2814">
        <w:rPr>
          <w:rFonts w:ascii="Arial" w:hAnsi="Arial" w:cs="Arial"/>
        </w:rPr>
        <w:t>7.3.8.</w:t>
      </w:r>
    </w:p>
    <w:p w14:paraId="2C948CC0" w14:textId="02F1FED7" w:rsidR="000D50A5" w:rsidRPr="000D50A5" w:rsidRDefault="000D50A5" w:rsidP="000D50A5">
      <w:pPr>
        <w:pStyle w:val="three"/>
        <w:numPr>
          <w:ilvl w:val="0"/>
          <w:numId w:val="0"/>
        </w:numPr>
        <w:rPr>
          <w:rFonts w:ascii="Arial" w:hAnsi="Arial" w:cs="Arial"/>
          <w:sz w:val="22"/>
          <w:szCs w:val="22"/>
        </w:rPr>
      </w:pPr>
      <w:bookmarkStart w:id="11" w:name="_Ref495407387"/>
      <w:r w:rsidRPr="001C5960">
        <w:rPr>
          <w:rFonts w:ascii="Arial" w:hAnsi="Arial" w:cs="Arial"/>
          <w:b/>
          <w:bCs w:val="0"/>
          <w:sz w:val="22"/>
          <w:szCs w:val="22"/>
        </w:rPr>
        <w:t xml:space="preserve">7.3.1.  </w:t>
      </w:r>
      <w:r w:rsidRPr="000D50A5">
        <w:rPr>
          <w:rFonts w:ascii="Arial" w:hAnsi="Arial" w:cs="Arial"/>
          <w:sz w:val="22"/>
          <w:szCs w:val="22"/>
        </w:rPr>
        <w:t>Real property physical address of the home, including city and state or territory</w:t>
      </w:r>
      <w:bookmarkEnd w:id="11"/>
      <w:r w:rsidRPr="000D50A5">
        <w:rPr>
          <w:rFonts w:ascii="Arial" w:hAnsi="Arial" w:cs="Arial"/>
          <w:sz w:val="22"/>
          <w:szCs w:val="22"/>
        </w:rPr>
        <w:t>.</w:t>
      </w:r>
    </w:p>
    <w:p w14:paraId="45D76D2B" w14:textId="6AC7EF53" w:rsidR="000D50A5" w:rsidRPr="000D50A5" w:rsidRDefault="000D50A5" w:rsidP="000D50A5">
      <w:pPr>
        <w:pStyle w:val="three"/>
        <w:numPr>
          <w:ilvl w:val="0"/>
          <w:numId w:val="0"/>
        </w:numPr>
        <w:rPr>
          <w:rFonts w:ascii="Arial" w:hAnsi="Arial" w:cs="Arial"/>
          <w:sz w:val="22"/>
          <w:szCs w:val="22"/>
        </w:rPr>
      </w:pPr>
      <w:r w:rsidRPr="001C5960">
        <w:rPr>
          <w:rFonts w:ascii="Arial" w:hAnsi="Arial" w:cs="Arial"/>
          <w:b/>
          <w:bCs w:val="0"/>
          <w:sz w:val="22"/>
          <w:szCs w:val="22"/>
        </w:rPr>
        <w:t>7.3.2.</w:t>
      </w:r>
      <w:r w:rsidRPr="000D50A5">
        <w:rPr>
          <w:rFonts w:ascii="Arial" w:hAnsi="Arial" w:cs="Arial"/>
          <w:b/>
          <w:bCs w:val="0"/>
          <w:sz w:val="22"/>
          <w:szCs w:val="22"/>
          <w:u w:val="single"/>
        </w:rPr>
        <w:t xml:space="preserve">  </w:t>
      </w:r>
      <w:r w:rsidRPr="000D50A5">
        <w:rPr>
          <w:rFonts w:ascii="Arial" w:hAnsi="Arial" w:cs="Arial"/>
          <w:sz w:val="22"/>
          <w:szCs w:val="22"/>
        </w:rPr>
        <w:t>Energy Rating Index of the home.</w:t>
      </w:r>
    </w:p>
    <w:p w14:paraId="00E66B4E" w14:textId="5C7A9CDA" w:rsidR="000D50A5" w:rsidRPr="008B2814" w:rsidRDefault="000D50A5" w:rsidP="000D50A5">
      <w:pPr>
        <w:pStyle w:val="three"/>
        <w:numPr>
          <w:ilvl w:val="0"/>
          <w:numId w:val="0"/>
        </w:numPr>
        <w:rPr>
          <w:rFonts w:ascii="Arial" w:hAnsi="Arial" w:cs="Arial"/>
          <w:color w:val="0070C0"/>
          <w:sz w:val="22"/>
          <w:szCs w:val="22"/>
        </w:rPr>
      </w:pPr>
      <w:proofErr w:type="gramStart"/>
      <w:r w:rsidRPr="008B2814">
        <w:rPr>
          <w:rFonts w:ascii="Arial" w:hAnsi="Arial" w:cs="Arial"/>
          <w:b/>
          <w:bCs w:val="0"/>
          <w:sz w:val="22"/>
          <w:szCs w:val="22"/>
        </w:rPr>
        <w:lastRenderedPageBreak/>
        <w:t xml:space="preserve">7.3.3  </w:t>
      </w:r>
      <w:r w:rsidR="00DA257C" w:rsidRPr="00CE2C05">
        <w:rPr>
          <w:rFonts w:ascii="Arial" w:hAnsi="Arial" w:cs="Arial"/>
          <w:strike/>
          <w:color w:val="FF0000"/>
          <w:sz w:val="22"/>
          <w:szCs w:val="22"/>
          <w:u w:val="single"/>
        </w:rPr>
        <w:t>CO</w:t>
      </w:r>
      <w:proofErr w:type="gramEnd"/>
      <w:r w:rsidR="00DA257C" w:rsidRPr="00CE2C05">
        <w:rPr>
          <w:rFonts w:ascii="Arial" w:hAnsi="Arial" w:cs="Arial"/>
          <w:strike/>
          <w:color w:val="FF0000"/>
          <w:sz w:val="22"/>
          <w:szCs w:val="22"/>
          <w:u w:val="single"/>
          <w:vertAlign w:val="subscript"/>
        </w:rPr>
        <w:t>2</w:t>
      </w:r>
      <w:r w:rsidR="00DA257C" w:rsidRPr="00CE2C05">
        <w:rPr>
          <w:rFonts w:ascii="Arial" w:hAnsi="Arial" w:cs="Arial"/>
          <w:color w:val="FF0000"/>
          <w:sz w:val="22"/>
          <w:szCs w:val="22"/>
          <w:u w:val="single"/>
        </w:rPr>
        <w:t>CO</w:t>
      </w:r>
      <w:r w:rsidR="00DA257C" w:rsidRPr="00CE2C05">
        <w:rPr>
          <w:rFonts w:ascii="Arial" w:hAnsi="Arial" w:cs="Arial"/>
          <w:color w:val="FF0000"/>
          <w:sz w:val="22"/>
          <w:szCs w:val="22"/>
          <w:u w:val="single"/>
          <w:vertAlign w:val="subscript"/>
        </w:rPr>
        <w:t>2</w:t>
      </w:r>
      <w:r w:rsidR="00DA257C" w:rsidRPr="00CE2C05">
        <w:rPr>
          <w:rFonts w:ascii="Arial" w:hAnsi="Arial" w:cs="Arial"/>
          <w:bCs w:val="0"/>
          <w:color w:val="FF0000"/>
          <w:sz w:val="22"/>
          <w:szCs w:val="22"/>
          <w:u w:val="single"/>
        </w:rPr>
        <w:t>e</w:t>
      </w:r>
      <w:r w:rsidRPr="008B2814">
        <w:rPr>
          <w:rFonts w:ascii="Arial" w:hAnsi="Arial" w:cs="Arial"/>
          <w:color w:val="C45911" w:themeColor="accent2" w:themeShade="BF"/>
          <w:sz w:val="22"/>
          <w:szCs w:val="22"/>
          <w:u w:val="single"/>
        </w:rPr>
        <w:t xml:space="preserve"> </w:t>
      </w:r>
      <w:r w:rsidRPr="008B2814">
        <w:rPr>
          <w:rFonts w:ascii="Arial" w:hAnsi="Arial" w:cs="Arial"/>
          <w:sz w:val="22"/>
          <w:szCs w:val="22"/>
        </w:rPr>
        <w:t>Index for the home, calculated in accordance with Section 6.</w:t>
      </w:r>
      <w:r w:rsidRPr="008B2814">
        <w:rPr>
          <w:rFonts w:ascii="Arial" w:hAnsi="Arial" w:cs="Arial"/>
          <w:color w:val="0070C0"/>
          <w:sz w:val="22"/>
          <w:szCs w:val="22"/>
        </w:rPr>
        <w:t xml:space="preserve"> </w:t>
      </w:r>
    </w:p>
    <w:p w14:paraId="380D7DF6" w14:textId="66E038C0" w:rsidR="000D50A5" w:rsidRPr="000D50A5" w:rsidRDefault="000D50A5" w:rsidP="000D50A5">
      <w:pPr>
        <w:pStyle w:val="three"/>
        <w:numPr>
          <w:ilvl w:val="0"/>
          <w:numId w:val="0"/>
        </w:numPr>
        <w:rPr>
          <w:rFonts w:ascii="Arial" w:hAnsi="Arial" w:cs="Arial"/>
          <w:color w:val="0070C0"/>
          <w:sz w:val="22"/>
          <w:szCs w:val="22"/>
          <w:u w:val="single"/>
        </w:rPr>
      </w:pPr>
      <w:proofErr w:type="gramStart"/>
      <w:r w:rsidRPr="008B2814">
        <w:rPr>
          <w:rFonts w:ascii="Arial" w:hAnsi="Arial" w:cs="Arial"/>
          <w:b/>
          <w:bCs w:val="0"/>
          <w:sz w:val="22"/>
          <w:szCs w:val="22"/>
        </w:rPr>
        <w:t xml:space="preserve">7.3.4  </w:t>
      </w:r>
      <w:r w:rsidRPr="008B2814">
        <w:rPr>
          <w:rFonts w:ascii="Arial" w:hAnsi="Arial" w:cs="Arial"/>
          <w:sz w:val="22"/>
          <w:szCs w:val="22"/>
        </w:rPr>
        <w:t>Projected</w:t>
      </w:r>
      <w:proofErr w:type="gramEnd"/>
      <w:r w:rsidRPr="008B2814">
        <w:rPr>
          <w:rFonts w:ascii="Arial" w:hAnsi="Arial" w:cs="Arial"/>
          <w:sz w:val="22"/>
          <w:szCs w:val="22"/>
        </w:rPr>
        <w:t xml:space="preserve"> </w:t>
      </w:r>
      <w:r w:rsidR="00DA257C" w:rsidRPr="00CE2C05">
        <w:rPr>
          <w:rFonts w:ascii="Arial" w:hAnsi="Arial" w:cs="Arial"/>
          <w:strike/>
          <w:color w:val="FF0000"/>
          <w:sz w:val="22"/>
          <w:szCs w:val="22"/>
          <w:u w:val="single"/>
        </w:rPr>
        <w:t>CO</w:t>
      </w:r>
      <w:r w:rsidR="00DA257C" w:rsidRPr="00CE2C05">
        <w:rPr>
          <w:rFonts w:ascii="Arial" w:hAnsi="Arial" w:cs="Arial"/>
          <w:strike/>
          <w:color w:val="FF0000"/>
          <w:sz w:val="22"/>
          <w:szCs w:val="22"/>
          <w:u w:val="single"/>
          <w:vertAlign w:val="subscript"/>
        </w:rPr>
        <w:t>2</w:t>
      </w:r>
      <w:r w:rsidR="00DA257C" w:rsidRPr="00CE2C05">
        <w:rPr>
          <w:rFonts w:ascii="Arial" w:hAnsi="Arial" w:cs="Arial"/>
          <w:color w:val="FF0000"/>
          <w:sz w:val="22"/>
          <w:szCs w:val="22"/>
          <w:u w:val="single"/>
        </w:rPr>
        <w:t>CO</w:t>
      </w:r>
      <w:r w:rsidR="00DA257C" w:rsidRPr="00CE2C05">
        <w:rPr>
          <w:rFonts w:ascii="Arial" w:hAnsi="Arial" w:cs="Arial"/>
          <w:color w:val="FF0000"/>
          <w:sz w:val="22"/>
          <w:szCs w:val="22"/>
          <w:u w:val="single"/>
          <w:vertAlign w:val="subscript"/>
        </w:rPr>
        <w:t>2</w:t>
      </w:r>
      <w:r w:rsidR="00DA257C" w:rsidRPr="00CE2C05">
        <w:rPr>
          <w:rFonts w:ascii="Arial" w:hAnsi="Arial" w:cs="Arial"/>
          <w:bCs w:val="0"/>
          <w:color w:val="FF0000"/>
          <w:sz w:val="22"/>
          <w:szCs w:val="22"/>
          <w:u w:val="single"/>
        </w:rPr>
        <w:t>e</w:t>
      </w:r>
      <w:r w:rsidRPr="008B2814">
        <w:rPr>
          <w:rFonts w:ascii="Arial" w:hAnsi="Arial" w:cs="Arial"/>
          <w:sz w:val="22"/>
          <w:szCs w:val="22"/>
        </w:rPr>
        <w:t xml:space="preserve"> emissions for the home, calculated in accordance with Sections</w:t>
      </w:r>
      <w:r w:rsidRPr="008B2814">
        <w:rPr>
          <w:rFonts w:ascii="Arial" w:hAnsi="Arial" w:cs="Arial"/>
          <w:sz w:val="22"/>
          <w:szCs w:val="22"/>
          <w:u w:val="single"/>
        </w:rPr>
        <w:t xml:space="preserve"> </w:t>
      </w:r>
      <w:r w:rsidRPr="00CE2C05">
        <w:rPr>
          <w:rFonts w:ascii="Arial" w:hAnsi="Arial" w:cs="Arial"/>
          <w:strike/>
          <w:color w:val="FF0000"/>
          <w:sz w:val="22"/>
          <w:szCs w:val="22"/>
          <w:u w:val="single"/>
        </w:rPr>
        <w:t>5</w:t>
      </w:r>
      <w:r w:rsidRPr="00CE2C05">
        <w:rPr>
          <w:rFonts w:ascii="Arial" w:hAnsi="Arial" w:cs="Arial"/>
          <w:color w:val="FF0000"/>
          <w:sz w:val="22"/>
          <w:szCs w:val="22"/>
          <w:u w:val="single"/>
        </w:rPr>
        <w:t>7</w:t>
      </w:r>
      <w:r w:rsidRPr="008B2814">
        <w:rPr>
          <w:rFonts w:ascii="Arial" w:hAnsi="Arial" w:cs="Arial"/>
          <w:sz w:val="22"/>
          <w:szCs w:val="22"/>
        </w:rPr>
        <w:t>.1.2.2.1.1 and</w:t>
      </w:r>
      <w:r w:rsidRPr="00CE2C05">
        <w:rPr>
          <w:rFonts w:ascii="Arial" w:hAnsi="Arial" w:cs="Arial"/>
          <w:color w:val="FF0000"/>
          <w:sz w:val="22"/>
          <w:szCs w:val="22"/>
          <w:u w:val="single"/>
        </w:rPr>
        <w:t xml:space="preserve"> </w:t>
      </w:r>
      <w:r w:rsidRPr="00CE2C05">
        <w:rPr>
          <w:rFonts w:ascii="Arial" w:hAnsi="Arial" w:cs="Arial"/>
          <w:strike/>
          <w:color w:val="FF0000"/>
          <w:sz w:val="22"/>
          <w:szCs w:val="22"/>
          <w:u w:val="single"/>
        </w:rPr>
        <w:t>5</w:t>
      </w:r>
      <w:r w:rsidRPr="00CE2C05">
        <w:rPr>
          <w:rFonts w:ascii="Arial" w:hAnsi="Arial" w:cs="Arial"/>
          <w:color w:val="FF0000"/>
          <w:sz w:val="22"/>
          <w:szCs w:val="22"/>
          <w:u w:val="single"/>
        </w:rPr>
        <w:t>7</w:t>
      </w:r>
      <w:r w:rsidRPr="008B2814">
        <w:rPr>
          <w:rFonts w:ascii="Arial" w:hAnsi="Arial" w:cs="Arial"/>
          <w:sz w:val="22"/>
          <w:szCs w:val="22"/>
        </w:rPr>
        <w:t>.1.2.2.1.1.</w:t>
      </w:r>
    </w:p>
    <w:p w14:paraId="1774FB4F" w14:textId="6AF27EBA" w:rsidR="000D50A5" w:rsidRPr="000D50A5" w:rsidRDefault="000D50A5" w:rsidP="000D50A5">
      <w:pPr>
        <w:pStyle w:val="three"/>
        <w:numPr>
          <w:ilvl w:val="0"/>
          <w:numId w:val="0"/>
        </w:numPr>
        <w:rPr>
          <w:rFonts w:ascii="Arial" w:hAnsi="Arial" w:cs="Arial"/>
          <w:sz w:val="22"/>
          <w:szCs w:val="22"/>
        </w:rPr>
      </w:pPr>
      <w:r w:rsidRPr="008B2814">
        <w:rPr>
          <w:rFonts w:ascii="Arial" w:hAnsi="Arial" w:cs="Arial"/>
          <w:b/>
          <w:bCs w:val="0"/>
          <w:sz w:val="22"/>
          <w:szCs w:val="22"/>
        </w:rPr>
        <w:t>7.3.5.</w:t>
      </w:r>
      <w:r w:rsidRPr="00E451BB">
        <w:rPr>
          <w:rFonts w:ascii="Arial" w:hAnsi="Arial" w:cs="Arial"/>
          <w:b/>
          <w:bCs w:val="0"/>
          <w:sz w:val="22"/>
          <w:szCs w:val="22"/>
        </w:rPr>
        <w:t xml:space="preserve">  </w:t>
      </w:r>
      <w:r w:rsidRPr="000D50A5">
        <w:rPr>
          <w:rFonts w:ascii="Arial" w:hAnsi="Arial" w:cs="Arial"/>
          <w:sz w:val="22"/>
          <w:szCs w:val="22"/>
        </w:rPr>
        <w:t>Projected annual site energy use of the home by fuel type.</w:t>
      </w:r>
    </w:p>
    <w:p w14:paraId="24AD4481" w14:textId="72028139" w:rsidR="000D50A5" w:rsidRPr="000D50A5" w:rsidRDefault="000D50A5" w:rsidP="000D50A5">
      <w:pPr>
        <w:pStyle w:val="three"/>
        <w:numPr>
          <w:ilvl w:val="0"/>
          <w:numId w:val="0"/>
        </w:numPr>
        <w:rPr>
          <w:rFonts w:ascii="Arial" w:hAnsi="Arial" w:cs="Arial"/>
          <w:sz w:val="22"/>
          <w:szCs w:val="22"/>
        </w:rPr>
      </w:pPr>
      <w:r w:rsidRPr="008B2814">
        <w:rPr>
          <w:rFonts w:ascii="Arial" w:hAnsi="Arial" w:cs="Arial"/>
          <w:b/>
          <w:bCs w:val="0"/>
          <w:sz w:val="22"/>
          <w:szCs w:val="22"/>
        </w:rPr>
        <w:t>7.3.6.</w:t>
      </w:r>
      <w:r w:rsidRPr="00E451BB">
        <w:rPr>
          <w:rFonts w:ascii="Arial" w:hAnsi="Arial" w:cs="Arial"/>
          <w:b/>
          <w:bCs w:val="0"/>
          <w:sz w:val="22"/>
          <w:szCs w:val="22"/>
        </w:rPr>
        <w:t xml:space="preserve">  </w:t>
      </w:r>
      <w:r w:rsidRPr="000D50A5">
        <w:rPr>
          <w:rFonts w:ascii="Arial" w:hAnsi="Arial" w:cs="Arial"/>
          <w:sz w:val="22"/>
          <w:szCs w:val="22"/>
        </w:rPr>
        <w:t>Projected annual energy cost of the home,</w:t>
      </w:r>
      <w:r w:rsidRPr="000D50A5">
        <w:rPr>
          <w:rStyle w:val="FootnoteReference"/>
          <w:rFonts w:ascii="Arial" w:hAnsi="Arial" w:cs="Arial"/>
          <w:sz w:val="22"/>
          <w:szCs w:val="22"/>
        </w:rPr>
        <w:footnoteReference w:id="6"/>
      </w:r>
      <w:r w:rsidRPr="000D50A5">
        <w:rPr>
          <w:rFonts w:ascii="Arial" w:hAnsi="Arial" w:cs="Arial"/>
          <w:sz w:val="22"/>
          <w:szCs w:val="22"/>
        </w:rPr>
        <w:t xml:space="preserve"> calculated in accordance with energy price rate provisions of Section</w:t>
      </w:r>
      <w:r w:rsidR="001C5960">
        <w:rPr>
          <w:rFonts w:ascii="Arial" w:hAnsi="Arial" w:cs="Arial"/>
          <w:sz w:val="22"/>
          <w:szCs w:val="22"/>
        </w:rPr>
        <w:t xml:space="preserve"> 7.1.2.1.1</w:t>
      </w:r>
      <w:r w:rsidRPr="000D50A5">
        <w:rPr>
          <w:rFonts w:ascii="Arial" w:hAnsi="Arial" w:cs="Arial"/>
          <w:sz w:val="22"/>
          <w:szCs w:val="22"/>
        </w:rPr>
        <w:t>.</w:t>
      </w:r>
    </w:p>
    <w:p w14:paraId="2D670208" w14:textId="57827E55" w:rsidR="000D50A5" w:rsidRPr="000D50A5" w:rsidRDefault="000D50A5" w:rsidP="000D50A5">
      <w:pPr>
        <w:pStyle w:val="three"/>
        <w:numPr>
          <w:ilvl w:val="0"/>
          <w:numId w:val="0"/>
        </w:numPr>
        <w:rPr>
          <w:rFonts w:ascii="Arial" w:hAnsi="Arial" w:cs="Arial"/>
          <w:sz w:val="22"/>
          <w:szCs w:val="22"/>
        </w:rPr>
      </w:pPr>
      <w:r w:rsidRPr="00E451BB">
        <w:rPr>
          <w:rFonts w:ascii="Arial" w:hAnsi="Arial" w:cs="Arial"/>
          <w:b/>
          <w:bCs w:val="0"/>
          <w:sz w:val="22"/>
          <w:szCs w:val="22"/>
        </w:rPr>
        <w:t xml:space="preserve">7.3.7. </w:t>
      </w:r>
      <w:r w:rsidRPr="00E451BB">
        <w:rPr>
          <w:rFonts w:ascii="Arial" w:hAnsi="Arial" w:cs="Arial"/>
          <w:sz w:val="22"/>
          <w:szCs w:val="22"/>
        </w:rPr>
        <w:t xml:space="preserve"> </w:t>
      </w:r>
      <w:r w:rsidRPr="000D50A5">
        <w:rPr>
          <w:rFonts w:ascii="Arial" w:hAnsi="Arial" w:cs="Arial"/>
          <w:sz w:val="22"/>
          <w:szCs w:val="22"/>
        </w:rPr>
        <w:t>Name and address of the Approved Rating Provider.</w:t>
      </w:r>
    </w:p>
    <w:p w14:paraId="35B11BB2" w14:textId="689F02C0" w:rsidR="000D50A5" w:rsidRPr="000D50A5" w:rsidRDefault="000D50A5" w:rsidP="000D50A5">
      <w:pPr>
        <w:pStyle w:val="three"/>
        <w:numPr>
          <w:ilvl w:val="0"/>
          <w:numId w:val="0"/>
        </w:numPr>
        <w:rPr>
          <w:rFonts w:ascii="Arial" w:hAnsi="Arial" w:cs="Arial"/>
          <w:sz w:val="22"/>
          <w:szCs w:val="22"/>
        </w:rPr>
      </w:pPr>
      <w:bookmarkStart w:id="12" w:name="_Ref495407395"/>
      <w:r w:rsidRPr="008B2814">
        <w:rPr>
          <w:rFonts w:ascii="Arial" w:hAnsi="Arial" w:cs="Arial"/>
          <w:b/>
          <w:bCs w:val="0"/>
          <w:sz w:val="22"/>
          <w:szCs w:val="22"/>
        </w:rPr>
        <w:t>7.3.8.</w:t>
      </w:r>
      <w:r w:rsidRPr="00E451BB">
        <w:rPr>
          <w:rFonts w:ascii="Arial" w:hAnsi="Arial" w:cs="Arial"/>
          <w:b/>
          <w:bCs w:val="0"/>
          <w:sz w:val="22"/>
          <w:szCs w:val="22"/>
        </w:rPr>
        <w:t xml:space="preserve">  </w:t>
      </w:r>
      <w:r w:rsidRPr="000D50A5">
        <w:rPr>
          <w:rFonts w:ascii="Arial" w:hAnsi="Arial" w:cs="Arial"/>
          <w:sz w:val="22"/>
          <w:szCs w:val="22"/>
        </w:rPr>
        <w:t>Date of the Energy Rating</w:t>
      </w:r>
      <w:bookmarkEnd w:id="12"/>
      <w:r w:rsidRPr="000D50A5">
        <w:rPr>
          <w:rFonts w:ascii="Arial" w:hAnsi="Arial" w:cs="Arial"/>
          <w:sz w:val="22"/>
          <w:szCs w:val="22"/>
        </w:rPr>
        <w:t>.</w:t>
      </w:r>
    </w:p>
    <w:p w14:paraId="66805CFE" w14:textId="77777777" w:rsidR="000D50A5" w:rsidRPr="000D50A5" w:rsidRDefault="000D50A5" w:rsidP="000D50A5">
      <w:pPr>
        <w:spacing w:after="200" w:line="276" w:lineRule="auto"/>
        <w:rPr>
          <w:rStyle w:val="Heading1Char1"/>
          <w:rFonts w:ascii="Arial" w:hAnsi="Arial" w:cs="Arial"/>
          <w:sz w:val="22"/>
          <w:szCs w:val="22"/>
        </w:rPr>
      </w:pPr>
    </w:p>
    <w:p w14:paraId="657C7A9A" w14:textId="0EA051F5" w:rsidR="000D50A5" w:rsidRPr="001C1C92" w:rsidRDefault="001C1C92" w:rsidP="000D50A5">
      <w:pPr>
        <w:rPr>
          <w:rFonts w:ascii="Arial" w:eastAsiaTheme="majorEastAsia" w:hAnsi="Arial" w:cs="Arial"/>
          <w:b/>
          <w:bCs/>
          <w:i/>
          <w:iCs/>
          <w:color w:val="0070C0"/>
        </w:rPr>
      </w:pPr>
      <w:r>
        <w:rPr>
          <w:rFonts w:ascii="Arial" w:eastAsiaTheme="majorEastAsia" w:hAnsi="Arial" w:cs="Arial"/>
          <w:b/>
          <w:bCs/>
          <w:i/>
          <w:iCs/>
          <w:color w:val="0070C0"/>
        </w:rPr>
        <w:t>Revise section 8. as follows:</w:t>
      </w:r>
    </w:p>
    <w:p w14:paraId="73784939" w14:textId="7481BB47" w:rsidR="000D50A5" w:rsidRPr="000D50A5" w:rsidRDefault="000D50A5" w:rsidP="000D50A5">
      <w:pPr>
        <w:tabs>
          <w:tab w:val="num" w:pos="1800"/>
        </w:tabs>
        <w:spacing w:after="120"/>
        <w:contextualSpacing/>
        <w:outlineLvl w:val="2"/>
        <w:rPr>
          <w:rFonts w:ascii="Arial" w:hAnsi="Arial" w:cs="Arial"/>
          <w:bCs/>
          <w:color w:val="0070C0"/>
          <w:u w:val="single"/>
        </w:rPr>
      </w:pPr>
      <w:r w:rsidRPr="00DA257C">
        <w:rPr>
          <w:rFonts w:ascii="Arial" w:hAnsi="Arial" w:cs="Arial"/>
          <w:b/>
          <w:bCs/>
        </w:rPr>
        <w:t>8</w:t>
      </w:r>
      <w:r w:rsidRPr="00DA257C">
        <w:rPr>
          <w:rFonts w:ascii="Arial" w:hAnsi="Arial" w:cs="Arial"/>
          <w:b/>
          <w:bCs/>
          <w:color w:val="0070C0"/>
        </w:rPr>
        <w:t xml:space="preserve">.  </w:t>
      </w:r>
      <w:r w:rsidR="00DA257C" w:rsidRPr="00CE2C05">
        <w:rPr>
          <w:rFonts w:ascii="Arial" w:hAnsi="Arial" w:cs="Arial"/>
          <w:bCs/>
          <w:strike/>
          <w:color w:val="FF0000"/>
          <w:u w:val="single"/>
        </w:rPr>
        <w:t>CO</w:t>
      </w:r>
      <w:r w:rsidR="00DA257C" w:rsidRPr="00CE2C05">
        <w:rPr>
          <w:rFonts w:ascii="Arial" w:hAnsi="Arial" w:cs="Arial"/>
          <w:bCs/>
          <w:strike/>
          <w:color w:val="FF0000"/>
          <w:u w:val="single"/>
          <w:vertAlign w:val="subscript"/>
        </w:rPr>
        <w:t>2</w:t>
      </w:r>
      <w:r w:rsidR="00DA257C" w:rsidRPr="00CE2C05">
        <w:rPr>
          <w:rFonts w:ascii="Arial" w:hAnsi="Arial" w:cs="Arial"/>
          <w:bCs/>
          <w:color w:val="FF0000"/>
          <w:u w:val="single"/>
        </w:rPr>
        <w:t xml:space="preserve"> CO</w:t>
      </w:r>
      <w:r w:rsidR="00DA257C" w:rsidRPr="00CE2C05">
        <w:rPr>
          <w:rFonts w:ascii="Arial" w:hAnsi="Arial" w:cs="Arial"/>
          <w:bCs/>
          <w:color w:val="FF0000"/>
          <w:u w:val="single"/>
          <w:vertAlign w:val="subscript"/>
        </w:rPr>
        <w:t>2</w:t>
      </w:r>
      <w:r w:rsidR="00DA257C" w:rsidRPr="00CE2C05">
        <w:rPr>
          <w:rFonts w:ascii="Arial" w:hAnsi="Arial" w:cs="Arial"/>
          <w:bCs/>
          <w:color w:val="FF0000"/>
          <w:u w:val="single"/>
        </w:rPr>
        <w:t>e</w:t>
      </w:r>
      <w:r w:rsidR="00DA257C" w:rsidRPr="00CE2C05">
        <w:rPr>
          <w:rFonts w:ascii="Arial" w:hAnsi="Arial" w:cs="Arial"/>
          <w:b/>
          <w:bCs/>
          <w:color w:val="FF0000"/>
          <w:u w:val="single"/>
        </w:rPr>
        <w:t xml:space="preserve"> </w:t>
      </w:r>
      <w:r w:rsidRPr="008B2814">
        <w:rPr>
          <w:rFonts w:ascii="Arial" w:hAnsi="Arial" w:cs="Arial"/>
          <w:b/>
          <w:bCs/>
        </w:rPr>
        <w:t>Rating Index.</w:t>
      </w:r>
      <w:r w:rsidRPr="008B2814">
        <w:rPr>
          <w:rFonts w:ascii="Arial" w:hAnsi="Arial" w:cs="Arial"/>
          <w:bCs/>
        </w:rPr>
        <w:t xml:space="preserve"> The</w:t>
      </w:r>
      <w:r w:rsidR="00DA257C" w:rsidRPr="00DA257C">
        <w:rPr>
          <w:rFonts w:ascii="Arial" w:hAnsi="Arial" w:cs="Arial"/>
          <w:bCs/>
          <w:strike/>
          <w:color w:val="C45911" w:themeColor="accent2" w:themeShade="BF"/>
          <w:u w:val="single"/>
        </w:rPr>
        <w:t xml:space="preserve"> </w:t>
      </w:r>
      <w:r w:rsidR="00DA257C" w:rsidRPr="00CE2C05">
        <w:rPr>
          <w:rFonts w:ascii="Arial" w:hAnsi="Arial" w:cs="Arial"/>
          <w:bCs/>
          <w:strike/>
          <w:color w:val="FF0000"/>
          <w:u w:val="single"/>
        </w:rPr>
        <w:t>CO</w:t>
      </w:r>
      <w:r w:rsidR="00DA257C" w:rsidRPr="00CE2C05">
        <w:rPr>
          <w:rFonts w:ascii="Arial" w:hAnsi="Arial" w:cs="Arial"/>
          <w:bCs/>
          <w:strike/>
          <w:color w:val="FF0000"/>
          <w:u w:val="single"/>
          <w:vertAlign w:val="subscript"/>
        </w:rPr>
        <w:t>2</w:t>
      </w:r>
      <w:r w:rsidR="00DA257C" w:rsidRPr="00CE2C05">
        <w:rPr>
          <w:rFonts w:ascii="Arial" w:hAnsi="Arial" w:cs="Arial"/>
          <w:bCs/>
          <w:color w:val="FF0000"/>
          <w:u w:val="single"/>
        </w:rPr>
        <w:t xml:space="preserve"> CO</w:t>
      </w:r>
      <w:r w:rsidR="00DA257C" w:rsidRPr="00CE2C05">
        <w:rPr>
          <w:rFonts w:ascii="Arial" w:hAnsi="Arial" w:cs="Arial"/>
          <w:bCs/>
          <w:color w:val="FF0000"/>
          <w:u w:val="single"/>
          <w:vertAlign w:val="subscript"/>
        </w:rPr>
        <w:t>2</w:t>
      </w:r>
      <w:r w:rsidR="00DA257C" w:rsidRPr="00CE2C05">
        <w:rPr>
          <w:rFonts w:ascii="Arial" w:hAnsi="Arial" w:cs="Arial"/>
          <w:bCs/>
          <w:color w:val="FF0000"/>
          <w:u w:val="single"/>
        </w:rPr>
        <w:t>e</w:t>
      </w:r>
      <w:r w:rsidR="00DA257C" w:rsidRPr="00CE2C05">
        <w:rPr>
          <w:rFonts w:ascii="Arial" w:hAnsi="Arial" w:cs="Arial"/>
          <w:b/>
          <w:bCs/>
          <w:color w:val="FF0000"/>
          <w:u w:val="single"/>
        </w:rPr>
        <w:t xml:space="preserve"> </w:t>
      </w:r>
      <w:r w:rsidRPr="008B2814">
        <w:rPr>
          <w:rFonts w:ascii="Arial" w:hAnsi="Arial" w:cs="Arial"/>
          <w:bCs/>
        </w:rPr>
        <w:t xml:space="preserve">Index shall be calculated for the Rated Home in accordance with equation </w:t>
      </w:r>
      <w:r w:rsidRPr="00CE2C05">
        <w:rPr>
          <w:rFonts w:ascii="Arial" w:hAnsi="Arial" w:cs="Arial"/>
          <w:bCs/>
          <w:strike/>
          <w:color w:val="FF0000"/>
        </w:rPr>
        <w:t>6-1</w:t>
      </w:r>
      <w:r w:rsidR="00DA257C" w:rsidRPr="00CE2C05">
        <w:rPr>
          <w:rFonts w:ascii="Arial" w:hAnsi="Arial" w:cs="Arial"/>
          <w:bCs/>
          <w:color w:val="FF0000"/>
          <w:u w:val="single"/>
        </w:rPr>
        <w:t>8.1</w:t>
      </w:r>
      <w:r w:rsidRPr="00CE2C05">
        <w:rPr>
          <w:rFonts w:ascii="Arial" w:hAnsi="Arial" w:cs="Arial"/>
          <w:bCs/>
          <w:color w:val="FF0000"/>
        </w:rPr>
        <w:t xml:space="preserve"> </w:t>
      </w:r>
      <w:r w:rsidRPr="008B2814">
        <w:rPr>
          <w:rFonts w:ascii="Arial" w:hAnsi="Arial" w:cs="Arial"/>
          <w:bCs/>
        </w:rPr>
        <w:t>using the provisions of Sections</w:t>
      </w:r>
      <w:r w:rsidRPr="002A5758">
        <w:rPr>
          <w:rFonts w:ascii="Arial" w:hAnsi="Arial" w:cs="Arial"/>
          <w:bCs/>
          <w:color w:val="FF0000"/>
        </w:rPr>
        <w:t xml:space="preserve"> </w:t>
      </w:r>
      <w:r w:rsidRPr="002A5758">
        <w:rPr>
          <w:rFonts w:ascii="Arial" w:hAnsi="Arial" w:cs="Arial"/>
          <w:bCs/>
          <w:strike/>
          <w:color w:val="FF0000"/>
        </w:rPr>
        <w:t>6</w:t>
      </w:r>
      <w:r w:rsidRPr="002A5758">
        <w:rPr>
          <w:rFonts w:ascii="Arial" w:hAnsi="Arial" w:cs="Arial"/>
          <w:bCs/>
          <w:color w:val="FF0000"/>
          <w:u w:val="single"/>
        </w:rPr>
        <w:t>8</w:t>
      </w:r>
      <w:r w:rsidRPr="008B2814">
        <w:rPr>
          <w:rFonts w:ascii="Arial" w:hAnsi="Arial" w:cs="Arial"/>
          <w:bCs/>
        </w:rPr>
        <w:t xml:space="preserve">.1 through </w:t>
      </w:r>
      <w:r w:rsidR="008B2814" w:rsidRPr="002A5758">
        <w:rPr>
          <w:rFonts w:ascii="Arial" w:hAnsi="Arial" w:cs="Arial"/>
          <w:bCs/>
          <w:strike/>
          <w:color w:val="FF0000"/>
        </w:rPr>
        <w:t>6</w:t>
      </w:r>
      <w:r w:rsidR="003652BA" w:rsidRPr="002A5758">
        <w:rPr>
          <w:rFonts w:ascii="Arial" w:hAnsi="Arial" w:cs="Arial"/>
          <w:bCs/>
          <w:strike/>
          <w:color w:val="FF0000"/>
        </w:rPr>
        <w:t>.5</w:t>
      </w:r>
      <w:r w:rsidRPr="002A5758">
        <w:rPr>
          <w:rFonts w:ascii="Arial" w:hAnsi="Arial" w:cs="Arial"/>
          <w:bCs/>
          <w:color w:val="FF0000"/>
          <w:u w:val="single"/>
        </w:rPr>
        <w:t>8</w:t>
      </w:r>
      <w:r w:rsidR="003652BA" w:rsidRPr="002A5758">
        <w:rPr>
          <w:rFonts w:ascii="Arial" w:hAnsi="Arial" w:cs="Arial"/>
          <w:bCs/>
          <w:color w:val="FF0000"/>
          <w:u w:val="single"/>
        </w:rPr>
        <w:t>.4</w:t>
      </w:r>
    </w:p>
    <w:p w14:paraId="689E0365" w14:textId="77777777" w:rsidR="000D50A5" w:rsidRPr="000D50A5" w:rsidRDefault="000D50A5" w:rsidP="000D50A5">
      <w:pPr>
        <w:tabs>
          <w:tab w:val="right" w:pos="9180"/>
        </w:tabs>
        <w:spacing w:after="120"/>
        <w:ind w:left="720"/>
        <w:outlineLvl w:val="2"/>
        <w:rPr>
          <w:rFonts w:ascii="Arial" w:hAnsi="Arial" w:cs="Arial"/>
          <w:b/>
          <w:bCs/>
          <w:color w:val="0070C0"/>
          <w:u w:val="single"/>
        </w:rPr>
      </w:pPr>
    </w:p>
    <w:p w14:paraId="10F524EB" w14:textId="77777777" w:rsidR="000D50A5" w:rsidRPr="000D50A5" w:rsidRDefault="000D50A5" w:rsidP="000D50A5">
      <w:pPr>
        <w:tabs>
          <w:tab w:val="right" w:pos="9180"/>
        </w:tabs>
        <w:spacing w:after="120"/>
        <w:ind w:left="720"/>
        <w:outlineLvl w:val="2"/>
        <w:rPr>
          <w:rFonts w:ascii="Arial" w:hAnsi="Arial" w:cs="Arial"/>
          <w:b/>
          <w:bCs/>
          <w:color w:val="0070C0"/>
          <w:u w:val="single"/>
        </w:rPr>
      </w:pPr>
      <w:r w:rsidRPr="002A5758">
        <w:rPr>
          <w:rFonts w:ascii="Arial" w:hAnsi="Arial" w:cs="Arial"/>
          <w:bCs/>
          <w:strike/>
          <w:color w:val="FF0000"/>
          <w:u w:val="single"/>
        </w:rPr>
        <w:t>CO</w:t>
      </w:r>
      <w:r w:rsidRPr="002A5758">
        <w:rPr>
          <w:rFonts w:ascii="Arial" w:hAnsi="Arial" w:cs="Arial"/>
          <w:bCs/>
          <w:strike/>
          <w:color w:val="FF0000"/>
          <w:u w:val="single"/>
          <w:vertAlign w:val="subscript"/>
        </w:rPr>
        <w:t>2</w:t>
      </w:r>
      <w:r w:rsidRPr="002A5758">
        <w:rPr>
          <w:rFonts w:ascii="Arial" w:hAnsi="Arial" w:cs="Arial"/>
          <w:bCs/>
          <w:color w:val="FF0000"/>
          <w:u w:val="single"/>
        </w:rPr>
        <w:t xml:space="preserve"> CO</w:t>
      </w:r>
      <w:r w:rsidRPr="002A5758">
        <w:rPr>
          <w:rFonts w:ascii="Arial" w:hAnsi="Arial" w:cs="Arial"/>
          <w:bCs/>
          <w:color w:val="FF0000"/>
          <w:u w:val="single"/>
          <w:vertAlign w:val="subscript"/>
        </w:rPr>
        <w:t>2</w:t>
      </w:r>
      <w:r w:rsidRPr="002A5758">
        <w:rPr>
          <w:rFonts w:ascii="Arial" w:hAnsi="Arial" w:cs="Arial"/>
          <w:bCs/>
          <w:color w:val="FF0000"/>
          <w:u w:val="single"/>
        </w:rPr>
        <w:t>e</w:t>
      </w:r>
      <w:r w:rsidRPr="002A5758">
        <w:rPr>
          <w:rFonts w:ascii="Arial" w:hAnsi="Arial" w:cs="Arial"/>
          <w:color w:val="FF0000"/>
        </w:rPr>
        <w:t xml:space="preserve"> </w:t>
      </w:r>
      <w:r w:rsidRPr="00DA257C">
        <w:rPr>
          <w:rFonts w:ascii="Arial" w:hAnsi="Arial" w:cs="Arial"/>
        </w:rPr>
        <w:t>Index = ACO2 / ARCO2 * 100</w:t>
      </w:r>
      <w:r w:rsidRPr="00DA257C">
        <w:rPr>
          <w:rFonts w:ascii="Arial" w:hAnsi="Arial" w:cs="Arial"/>
        </w:rPr>
        <w:tab/>
        <w:t xml:space="preserve">(Equation </w:t>
      </w:r>
      <w:r w:rsidRPr="00DA391F">
        <w:rPr>
          <w:rFonts w:ascii="Arial" w:hAnsi="Arial" w:cs="Arial"/>
          <w:b/>
          <w:bCs/>
          <w:strike/>
          <w:color w:val="C45911" w:themeColor="accent2" w:themeShade="BF"/>
          <w:u w:val="single"/>
        </w:rPr>
        <w:t>6</w:t>
      </w:r>
      <w:r w:rsidRPr="00DA391F">
        <w:rPr>
          <w:rFonts w:ascii="Arial" w:hAnsi="Arial" w:cs="Arial"/>
          <w:b/>
          <w:bCs/>
          <w:color w:val="C45911" w:themeColor="accent2" w:themeShade="BF"/>
          <w:u w:val="single"/>
        </w:rPr>
        <w:t>8</w:t>
      </w:r>
      <w:r w:rsidRPr="00DA257C">
        <w:rPr>
          <w:rFonts w:ascii="Arial" w:hAnsi="Arial" w:cs="Arial"/>
          <w:b/>
          <w:bCs/>
        </w:rPr>
        <w:t>-1)</w:t>
      </w:r>
    </w:p>
    <w:p w14:paraId="2795FC14" w14:textId="77777777" w:rsidR="000D50A5" w:rsidRPr="00DA257C" w:rsidRDefault="000D50A5" w:rsidP="000D50A5">
      <w:pPr>
        <w:ind w:left="720"/>
        <w:outlineLvl w:val="2"/>
        <w:rPr>
          <w:rFonts w:ascii="Arial" w:hAnsi="Arial" w:cs="Arial"/>
          <w:bCs/>
        </w:rPr>
      </w:pPr>
      <w:r w:rsidRPr="00DA257C">
        <w:rPr>
          <w:rFonts w:ascii="Arial" w:hAnsi="Arial" w:cs="Arial"/>
          <w:bCs/>
        </w:rPr>
        <w:t>where:</w:t>
      </w:r>
    </w:p>
    <w:p w14:paraId="3FF4414A" w14:textId="77777777" w:rsidR="000D50A5" w:rsidRPr="000D50A5" w:rsidRDefault="000D50A5" w:rsidP="000D50A5">
      <w:pPr>
        <w:tabs>
          <w:tab w:val="right" w:pos="9180"/>
        </w:tabs>
        <w:ind w:left="990"/>
        <w:outlineLvl w:val="2"/>
        <w:rPr>
          <w:rFonts w:ascii="Arial" w:hAnsi="Arial" w:cs="Arial"/>
          <w:bCs/>
          <w:color w:val="0070C0"/>
          <w:u w:val="single"/>
        </w:rPr>
      </w:pPr>
      <w:r w:rsidRPr="00DA257C">
        <w:rPr>
          <w:rFonts w:ascii="Arial" w:hAnsi="Arial" w:cs="Arial"/>
          <w:bCs/>
        </w:rPr>
        <w:t>ACO2 = Annual hourly</w:t>
      </w:r>
      <w:r w:rsidRPr="002A5758">
        <w:rPr>
          <w:rFonts w:ascii="Arial" w:hAnsi="Arial" w:cs="Arial"/>
          <w:bCs/>
        </w:rPr>
        <w:t xml:space="preserve"> </w:t>
      </w:r>
      <w:r w:rsidRPr="002A5758">
        <w:rPr>
          <w:rFonts w:ascii="Arial" w:hAnsi="Arial" w:cs="Arial"/>
          <w:bCs/>
          <w:strike/>
          <w:color w:val="FF0000"/>
          <w:u w:val="single"/>
        </w:rPr>
        <w:t>CO</w:t>
      </w:r>
      <w:r w:rsidRPr="002A5758">
        <w:rPr>
          <w:rFonts w:ascii="Arial" w:hAnsi="Arial" w:cs="Arial"/>
          <w:bCs/>
          <w:strike/>
          <w:color w:val="FF0000"/>
          <w:u w:val="single"/>
          <w:vertAlign w:val="subscript"/>
        </w:rPr>
        <w:t>2</w:t>
      </w:r>
      <w:r w:rsidRPr="002A5758">
        <w:rPr>
          <w:rFonts w:ascii="Arial" w:hAnsi="Arial" w:cs="Arial"/>
          <w:bCs/>
          <w:color w:val="FF0000"/>
          <w:u w:val="single"/>
        </w:rPr>
        <w:t xml:space="preserve"> CO</w:t>
      </w:r>
      <w:r w:rsidRPr="002A5758">
        <w:rPr>
          <w:rFonts w:ascii="Arial" w:hAnsi="Arial" w:cs="Arial"/>
          <w:bCs/>
          <w:color w:val="FF0000"/>
          <w:u w:val="single"/>
          <w:vertAlign w:val="subscript"/>
        </w:rPr>
        <w:t>2</w:t>
      </w:r>
      <w:r w:rsidRPr="002A5758">
        <w:rPr>
          <w:rFonts w:ascii="Arial" w:hAnsi="Arial" w:cs="Arial"/>
          <w:bCs/>
          <w:color w:val="FF0000"/>
          <w:u w:val="single"/>
        </w:rPr>
        <w:t xml:space="preserve">e </w:t>
      </w:r>
      <w:r w:rsidRPr="00DA257C">
        <w:rPr>
          <w:rFonts w:ascii="Arial" w:hAnsi="Arial" w:cs="Arial"/>
          <w:bCs/>
        </w:rPr>
        <w:t>emissions from the Rated Home</w:t>
      </w:r>
    </w:p>
    <w:p w14:paraId="18798C4D" w14:textId="0F0B4989" w:rsidR="000D50A5" w:rsidRPr="000D50A5" w:rsidRDefault="000D50A5" w:rsidP="000D50A5">
      <w:pPr>
        <w:tabs>
          <w:tab w:val="right" w:pos="9180"/>
        </w:tabs>
        <w:ind w:left="2070" w:hanging="1080"/>
        <w:outlineLvl w:val="2"/>
        <w:rPr>
          <w:rFonts w:ascii="Arial" w:hAnsi="Arial" w:cs="Arial"/>
          <w:bCs/>
          <w:color w:val="538135" w:themeColor="accent6" w:themeShade="BF"/>
          <w:u w:val="single"/>
        </w:rPr>
      </w:pPr>
      <w:r w:rsidRPr="00DA257C">
        <w:rPr>
          <w:rFonts w:ascii="Arial" w:hAnsi="Arial" w:cs="Arial"/>
          <w:bCs/>
        </w:rPr>
        <w:t>ARCO2 = Annual hourly</w:t>
      </w:r>
      <w:r w:rsidRPr="002A5758">
        <w:rPr>
          <w:rFonts w:ascii="Arial" w:hAnsi="Arial" w:cs="Arial"/>
          <w:bCs/>
        </w:rPr>
        <w:t xml:space="preserve"> </w:t>
      </w:r>
      <w:r w:rsidRPr="002A5758">
        <w:rPr>
          <w:rFonts w:ascii="Arial" w:hAnsi="Arial" w:cs="Arial"/>
          <w:bCs/>
          <w:strike/>
          <w:color w:val="FF0000"/>
          <w:u w:val="single"/>
        </w:rPr>
        <w:t>CO</w:t>
      </w:r>
      <w:r w:rsidRPr="002A5758">
        <w:rPr>
          <w:rFonts w:ascii="Arial" w:hAnsi="Arial" w:cs="Arial"/>
          <w:bCs/>
          <w:strike/>
          <w:color w:val="FF0000"/>
          <w:u w:val="single"/>
          <w:vertAlign w:val="subscript"/>
        </w:rPr>
        <w:t>2</w:t>
      </w:r>
      <w:r w:rsidRPr="002A5758">
        <w:rPr>
          <w:rFonts w:ascii="Arial" w:hAnsi="Arial" w:cs="Arial"/>
          <w:bCs/>
          <w:color w:val="FF0000"/>
          <w:u w:val="single"/>
        </w:rPr>
        <w:t xml:space="preserve"> CO</w:t>
      </w:r>
      <w:r w:rsidRPr="002A5758">
        <w:rPr>
          <w:rFonts w:ascii="Arial" w:hAnsi="Arial" w:cs="Arial"/>
          <w:bCs/>
          <w:color w:val="FF0000"/>
          <w:u w:val="single"/>
          <w:vertAlign w:val="subscript"/>
        </w:rPr>
        <w:t>2</w:t>
      </w:r>
      <w:r w:rsidRPr="002A5758">
        <w:rPr>
          <w:rFonts w:ascii="Arial" w:hAnsi="Arial" w:cs="Arial"/>
          <w:bCs/>
          <w:color w:val="FF0000"/>
          <w:u w:val="single"/>
        </w:rPr>
        <w:t xml:space="preserve">e </w:t>
      </w:r>
      <w:r w:rsidRPr="00DA257C">
        <w:rPr>
          <w:rFonts w:ascii="Arial" w:hAnsi="Arial" w:cs="Arial"/>
          <w:bCs/>
        </w:rPr>
        <w:t>emissions from the</w:t>
      </w:r>
      <w:r w:rsidR="002A5758">
        <w:rPr>
          <w:rFonts w:ascii="Arial" w:hAnsi="Arial" w:cs="Arial"/>
          <w:bCs/>
        </w:rPr>
        <w:t xml:space="preserve"> </w:t>
      </w:r>
      <w:r w:rsidRPr="002A5758">
        <w:rPr>
          <w:rFonts w:ascii="Arial" w:hAnsi="Arial" w:cs="Arial"/>
          <w:bCs/>
          <w:strike/>
          <w:color w:val="FF0000"/>
          <w:u w:val="single"/>
        </w:rPr>
        <w:t>CO</w:t>
      </w:r>
      <w:r w:rsidRPr="002A5758">
        <w:rPr>
          <w:rFonts w:ascii="Arial" w:hAnsi="Arial" w:cs="Arial"/>
          <w:bCs/>
          <w:strike/>
          <w:color w:val="FF0000"/>
          <w:u w:val="single"/>
          <w:vertAlign w:val="subscript"/>
        </w:rPr>
        <w:t>2</w:t>
      </w:r>
      <w:r w:rsidRPr="002A5758">
        <w:rPr>
          <w:rFonts w:ascii="Arial" w:hAnsi="Arial" w:cs="Arial"/>
          <w:bCs/>
          <w:color w:val="FF0000"/>
          <w:u w:val="single"/>
        </w:rPr>
        <w:t xml:space="preserve"> CO</w:t>
      </w:r>
      <w:r w:rsidRPr="002A5758">
        <w:rPr>
          <w:rFonts w:ascii="Arial" w:hAnsi="Arial" w:cs="Arial"/>
          <w:bCs/>
          <w:color w:val="FF0000"/>
          <w:u w:val="single"/>
          <w:vertAlign w:val="subscript"/>
        </w:rPr>
        <w:t>2</w:t>
      </w:r>
      <w:r w:rsidRPr="002A5758">
        <w:rPr>
          <w:rFonts w:ascii="Arial" w:hAnsi="Arial" w:cs="Arial"/>
          <w:bCs/>
          <w:color w:val="FF0000"/>
          <w:u w:val="single"/>
        </w:rPr>
        <w:t xml:space="preserve">e </w:t>
      </w:r>
      <w:r w:rsidRPr="00DA257C">
        <w:rPr>
          <w:rFonts w:ascii="Arial" w:hAnsi="Arial" w:cs="Arial"/>
          <w:bCs/>
        </w:rPr>
        <w:t>Index Reference Home</w:t>
      </w:r>
    </w:p>
    <w:p w14:paraId="0A082657" w14:textId="77777777" w:rsidR="000D50A5" w:rsidRPr="000D50A5" w:rsidRDefault="000D50A5" w:rsidP="000D50A5">
      <w:pPr>
        <w:pStyle w:val="ListParagraph"/>
        <w:numPr>
          <w:ilvl w:val="0"/>
          <w:numId w:val="5"/>
        </w:numPr>
        <w:tabs>
          <w:tab w:val="num" w:pos="1800"/>
          <w:tab w:val="num" w:pos="2304"/>
        </w:tabs>
        <w:spacing w:after="60"/>
        <w:contextualSpacing/>
        <w:outlineLvl w:val="2"/>
        <w:rPr>
          <w:rFonts w:ascii="Arial" w:hAnsi="Arial" w:cs="Arial"/>
          <w:bCs/>
          <w:vanish/>
          <w:color w:val="538135" w:themeColor="accent6" w:themeShade="BF"/>
          <w:sz w:val="22"/>
          <w:szCs w:val="22"/>
          <w:u w:val="single"/>
        </w:rPr>
      </w:pPr>
    </w:p>
    <w:p w14:paraId="75B38C34" w14:textId="77777777" w:rsidR="000D50A5" w:rsidRPr="000D50A5" w:rsidRDefault="000D50A5" w:rsidP="000D50A5">
      <w:pPr>
        <w:pStyle w:val="ListParagraph"/>
        <w:numPr>
          <w:ilvl w:val="0"/>
          <w:numId w:val="5"/>
        </w:numPr>
        <w:tabs>
          <w:tab w:val="num" w:pos="1800"/>
          <w:tab w:val="num" w:pos="2304"/>
        </w:tabs>
        <w:spacing w:after="60"/>
        <w:contextualSpacing/>
        <w:outlineLvl w:val="2"/>
        <w:rPr>
          <w:rFonts w:ascii="Arial" w:hAnsi="Arial" w:cs="Arial"/>
          <w:bCs/>
          <w:vanish/>
          <w:color w:val="538135" w:themeColor="accent6" w:themeShade="BF"/>
          <w:sz w:val="22"/>
          <w:szCs w:val="22"/>
          <w:u w:val="single"/>
        </w:rPr>
      </w:pPr>
    </w:p>
    <w:p w14:paraId="0416945D" w14:textId="77777777" w:rsidR="000D50A5" w:rsidRPr="000D50A5" w:rsidRDefault="000D50A5" w:rsidP="000D50A5">
      <w:pPr>
        <w:pStyle w:val="ListParagraph"/>
        <w:numPr>
          <w:ilvl w:val="0"/>
          <w:numId w:val="5"/>
        </w:numPr>
        <w:tabs>
          <w:tab w:val="num" w:pos="1800"/>
          <w:tab w:val="num" w:pos="2304"/>
        </w:tabs>
        <w:spacing w:after="60"/>
        <w:contextualSpacing/>
        <w:outlineLvl w:val="2"/>
        <w:rPr>
          <w:rFonts w:ascii="Arial" w:hAnsi="Arial" w:cs="Arial"/>
          <w:bCs/>
          <w:vanish/>
          <w:color w:val="538135" w:themeColor="accent6" w:themeShade="BF"/>
          <w:sz w:val="22"/>
          <w:szCs w:val="22"/>
          <w:u w:val="single"/>
        </w:rPr>
      </w:pPr>
    </w:p>
    <w:p w14:paraId="714675CB" w14:textId="77777777" w:rsidR="000D50A5" w:rsidRPr="000D50A5" w:rsidRDefault="000D50A5" w:rsidP="000D50A5">
      <w:pPr>
        <w:pStyle w:val="ListParagraph"/>
        <w:numPr>
          <w:ilvl w:val="0"/>
          <w:numId w:val="5"/>
        </w:numPr>
        <w:tabs>
          <w:tab w:val="num" w:pos="1800"/>
          <w:tab w:val="num" w:pos="2304"/>
        </w:tabs>
        <w:spacing w:after="60"/>
        <w:contextualSpacing/>
        <w:outlineLvl w:val="2"/>
        <w:rPr>
          <w:rFonts w:ascii="Arial" w:hAnsi="Arial" w:cs="Arial"/>
          <w:bCs/>
          <w:vanish/>
          <w:color w:val="538135" w:themeColor="accent6" w:themeShade="BF"/>
          <w:sz w:val="22"/>
          <w:szCs w:val="22"/>
          <w:u w:val="single"/>
        </w:rPr>
      </w:pPr>
    </w:p>
    <w:p w14:paraId="3721EDEC" w14:textId="77777777" w:rsidR="000D50A5" w:rsidRPr="000D50A5" w:rsidRDefault="000D50A5" w:rsidP="000D50A5">
      <w:pPr>
        <w:pStyle w:val="ListParagraph"/>
        <w:numPr>
          <w:ilvl w:val="0"/>
          <w:numId w:val="5"/>
        </w:numPr>
        <w:tabs>
          <w:tab w:val="num" w:pos="1800"/>
          <w:tab w:val="num" w:pos="2304"/>
        </w:tabs>
        <w:spacing w:after="60"/>
        <w:contextualSpacing/>
        <w:outlineLvl w:val="2"/>
        <w:rPr>
          <w:rFonts w:ascii="Arial" w:hAnsi="Arial" w:cs="Arial"/>
          <w:bCs/>
          <w:vanish/>
          <w:color w:val="538135" w:themeColor="accent6" w:themeShade="BF"/>
          <w:sz w:val="22"/>
          <w:szCs w:val="22"/>
          <w:u w:val="single"/>
        </w:rPr>
      </w:pPr>
    </w:p>
    <w:p w14:paraId="2BB15645" w14:textId="77777777" w:rsidR="000D50A5" w:rsidRPr="000D50A5" w:rsidRDefault="000D50A5" w:rsidP="000D50A5">
      <w:pPr>
        <w:pStyle w:val="ListParagraph"/>
        <w:numPr>
          <w:ilvl w:val="0"/>
          <w:numId w:val="5"/>
        </w:numPr>
        <w:tabs>
          <w:tab w:val="num" w:pos="1800"/>
          <w:tab w:val="num" w:pos="2304"/>
        </w:tabs>
        <w:spacing w:after="60"/>
        <w:contextualSpacing/>
        <w:outlineLvl w:val="2"/>
        <w:rPr>
          <w:rFonts w:ascii="Arial" w:hAnsi="Arial" w:cs="Arial"/>
          <w:bCs/>
          <w:vanish/>
          <w:color w:val="538135" w:themeColor="accent6" w:themeShade="BF"/>
          <w:sz w:val="22"/>
          <w:szCs w:val="22"/>
          <w:u w:val="single"/>
        </w:rPr>
      </w:pPr>
    </w:p>
    <w:p w14:paraId="4D475F3F" w14:textId="77777777" w:rsidR="000D50A5" w:rsidRPr="002A5758" w:rsidRDefault="000D50A5" w:rsidP="000D50A5">
      <w:pPr>
        <w:pStyle w:val="ListParagraph"/>
        <w:tabs>
          <w:tab w:val="right" w:pos="9180"/>
        </w:tabs>
        <w:ind w:left="990"/>
        <w:outlineLvl w:val="2"/>
        <w:rPr>
          <w:rFonts w:ascii="Arial" w:hAnsi="Arial" w:cs="Arial"/>
          <w:bCs/>
          <w:color w:val="FF0000"/>
          <w:sz w:val="22"/>
          <w:szCs w:val="22"/>
          <w:u w:val="single"/>
        </w:rPr>
      </w:pPr>
      <w:r w:rsidRPr="002A5758">
        <w:rPr>
          <w:rFonts w:ascii="Arial" w:hAnsi="Arial" w:cs="Arial"/>
          <w:bCs/>
          <w:color w:val="FF0000"/>
          <w:sz w:val="22"/>
          <w:szCs w:val="22"/>
          <w:u w:val="single"/>
        </w:rPr>
        <w:t>IAF</w:t>
      </w:r>
      <w:r w:rsidRPr="002A5758">
        <w:rPr>
          <w:rFonts w:ascii="Arial" w:hAnsi="Arial" w:cs="Arial"/>
          <w:bCs/>
          <w:color w:val="FF0000"/>
          <w:sz w:val="22"/>
          <w:szCs w:val="22"/>
          <w:u w:val="single"/>
          <w:vertAlign w:val="subscript"/>
        </w:rPr>
        <w:t>RH</w:t>
      </w:r>
      <w:r w:rsidRPr="002A5758">
        <w:rPr>
          <w:rFonts w:ascii="Arial" w:hAnsi="Arial" w:cs="Arial"/>
          <w:bCs/>
          <w:color w:val="FF0000"/>
          <w:sz w:val="22"/>
          <w:szCs w:val="22"/>
          <w:u w:val="single"/>
        </w:rPr>
        <w:t xml:space="preserve"> = Index Adjustment Factor in accordance with Equation 4.3-2</w:t>
      </w:r>
    </w:p>
    <w:p w14:paraId="461DC6FB" w14:textId="77777777" w:rsidR="000D50A5" w:rsidRPr="000D50A5" w:rsidRDefault="000D50A5" w:rsidP="000D50A5">
      <w:pPr>
        <w:pStyle w:val="ListParagraph"/>
        <w:ind w:left="900"/>
        <w:outlineLvl w:val="2"/>
        <w:rPr>
          <w:rFonts w:ascii="Arial" w:hAnsi="Arial" w:cs="Arial"/>
          <w:bCs/>
          <w:color w:val="0070C0"/>
          <w:sz w:val="22"/>
          <w:szCs w:val="22"/>
          <w:u w:val="single"/>
        </w:rPr>
      </w:pPr>
    </w:p>
    <w:p w14:paraId="7F6775E1" w14:textId="77777777" w:rsidR="000D50A5" w:rsidRPr="000D50A5" w:rsidRDefault="000D50A5" w:rsidP="000D50A5">
      <w:pPr>
        <w:pStyle w:val="ListParagraph"/>
        <w:numPr>
          <w:ilvl w:val="1"/>
          <w:numId w:val="6"/>
        </w:numPr>
        <w:spacing w:after="60"/>
        <w:contextualSpacing/>
        <w:outlineLvl w:val="2"/>
        <w:rPr>
          <w:rFonts w:ascii="Arial" w:hAnsi="Arial" w:cs="Arial"/>
          <w:bCs/>
          <w:color w:val="0070C0"/>
          <w:sz w:val="22"/>
          <w:szCs w:val="22"/>
          <w:u w:val="single"/>
        </w:rPr>
      </w:pPr>
      <w:r w:rsidRPr="00DA257C">
        <w:rPr>
          <w:rFonts w:ascii="Arial" w:hAnsi="Arial" w:cs="Arial"/>
          <w:bCs/>
          <w:sz w:val="22"/>
          <w:szCs w:val="22"/>
        </w:rPr>
        <w:t xml:space="preserve">The </w:t>
      </w:r>
      <w:r w:rsidRPr="002A5758">
        <w:rPr>
          <w:rFonts w:ascii="Arial" w:hAnsi="Arial" w:cs="Arial"/>
          <w:bCs/>
          <w:strike/>
          <w:color w:val="FF0000"/>
          <w:sz w:val="22"/>
          <w:szCs w:val="22"/>
          <w:u w:val="single"/>
        </w:rPr>
        <w:t>CO</w:t>
      </w:r>
      <w:r w:rsidRPr="002A5758">
        <w:rPr>
          <w:rFonts w:ascii="Arial" w:hAnsi="Arial" w:cs="Arial"/>
          <w:bCs/>
          <w:strike/>
          <w:color w:val="FF0000"/>
          <w:sz w:val="22"/>
          <w:szCs w:val="22"/>
          <w:u w:val="single"/>
          <w:vertAlign w:val="subscript"/>
        </w:rPr>
        <w:t>2</w:t>
      </w:r>
      <w:r w:rsidRPr="002A5758">
        <w:rPr>
          <w:rFonts w:ascii="Arial" w:hAnsi="Arial" w:cs="Arial"/>
          <w:bCs/>
          <w:color w:val="FF0000"/>
          <w:sz w:val="22"/>
          <w:szCs w:val="22"/>
          <w:u w:val="single"/>
        </w:rPr>
        <w:t xml:space="preserve"> CO</w:t>
      </w:r>
      <w:r w:rsidRPr="002A5758">
        <w:rPr>
          <w:rFonts w:ascii="Arial" w:hAnsi="Arial" w:cs="Arial"/>
          <w:bCs/>
          <w:color w:val="FF0000"/>
          <w:sz w:val="22"/>
          <w:szCs w:val="22"/>
          <w:u w:val="single"/>
          <w:vertAlign w:val="subscript"/>
        </w:rPr>
        <w:t>2</w:t>
      </w:r>
      <w:r w:rsidRPr="002A5758">
        <w:rPr>
          <w:rFonts w:ascii="Arial" w:hAnsi="Arial" w:cs="Arial"/>
          <w:bCs/>
          <w:color w:val="FF0000"/>
          <w:sz w:val="22"/>
          <w:szCs w:val="22"/>
          <w:u w:val="single"/>
        </w:rPr>
        <w:t xml:space="preserve">e </w:t>
      </w:r>
      <w:r w:rsidRPr="00DA257C">
        <w:rPr>
          <w:rFonts w:ascii="Arial" w:hAnsi="Arial" w:cs="Arial"/>
          <w:bCs/>
          <w:sz w:val="22"/>
          <w:szCs w:val="22"/>
        </w:rPr>
        <w:t xml:space="preserve">emission factors for household combustion fuel use shall be those given in Table </w:t>
      </w:r>
      <w:r w:rsidRPr="002A5758">
        <w:rPr>
          <w:rFonts w:ascii="Arial" w:hAnsi="Arial" w:cs="Arial"/>
          <w:bCs/>
          <w:strike/>
          <w:color w:val="FF0000"/>
          <w:sz w:val="22"/>
          <w:szCs w:val="22"/>
          <w:u w:val="single"/>
        </w:rPr>
        <w:t>5.1.2(1)</w:t>
      </w:r>
      <w:r w:rsidRPr="002A5758">
        <w:rPr>
          <w:rFonts w:ascii="Arial" w:hAnsi="Arial" w:cs="Arial"/>
          <w:bCs/>
          <w:color w:val="FF0000"/>
          <w:sz w:val="22"/>
          <w:szCs w:val="22"/>
          <w:u w:val="single"/>
        </w:rPr>
        <w:t>7.1.2(1)</w:t>
      </w:r>
      <w:r w:rsidRPr="000D50A5">
        <w:rPr>
          <w:rFonts w:ascii="Arial" w:hAnsi="Arial" w:cs="Arial"/>
          <w:bCs/>
          <w:color w:val="0070C0"/>
          <w:sz w:val="22"/>
          <w:szCs w:val="22"/>
          <w:u w:val="single"/>
        </w:rPr>
        <w:t>.</w:t>
      </w:r>
    </w:p>
    <w:p w14:paraId="3F222BC1" w14:textId="037AA23B" w:rsidR="000D50A5" w:rsidRPr="000D50A5" w:rsidRDefault="000D50A5" w:rsidP="000D50A5">
      <w:pPr>
        <w:pStyle w:val="ListParagraph"/>
        <w:numPr>
          <w:ilvl w:val="1"/>
          <w:numId w:val="6"/>
        </w:numPr>
        <w:spacing w:after="60"/>
        <w:contextualSpacing/>
        <w:outlineLvl w:val="2"/>
        <w:rPr>
          <w:rFonts w:ascii="Arial" w:hAnsi="Arial" w:cs="Arial"/>
          <w:bCs/>
          <w:color w:val="0070C0"/>
          <w:sz w:val="22"/>
          <w:szCs w:val="22"/>
          <w:u w:val="single"/>
        </w:rPr>
      </w:pPr>
      <w:r w:rsidRPr="00DA257C">
        <w:rPr>
          <w:rFonts w:ascii="Arial" w:hAnsi="Arial" w:cs="Arial"/>
          <w:bCs/>
          <w:sz w:val="22"/>
          <w:szCs w:val="22"/>
        </w:rPr>
        <w:t>Th</w:t>
      </w:r>
      <w:r w:rsidR="00E451BB">
        <w:rPr>
          <w:rFonts w:ascii="Arial" w:hAnsi="Arial" w:cs="Arial"/>
          <w:bCs/>
          <w:sz w:val="22"/>
          <w:szCs w:val="22"/>
        </w:rPr>
        <w:t xml:space="preserve">e </w:t>
      </w:r>
      <w:r w:rsidR="00E451BB" w:rsidRPr="002A5758">
        <w:rPr>
          <w:rFonts w:ascii="Arial" w:hAnsi="Arial" w:cs="Arial"/>
          <w:bCs/>
          <w:strike/>
          <w:color w:val="FF0000"/>
          <w:sz w:val="22"/>
          <w:szCs w:val="22"/>
          <w:u w:val="single"/>
        </w:rPr>
        <w:t>CO</w:t>
      </w:r>
      <w:r w:rsidR="00E451BB" w:rsidRPr="002A5758">
        <w:rPr>
          <w:rFonts w:ascii="Arial" w:hAnsi="Arial" w:cs="Arial"/>
          <w:bCs/>
          <w:strike/>
          <w:color w:val="FF0000"/>
          <w:sz w:val="22"/>
          <w:szCs w:val="22"/>
          <w:u w:val="single"/>
          <w:vertAlign w:val="subscript"/>
        </w:rPr>
        <w:t>2</w:t>
      </w:r>
      <w:r w:rsidR="00E451BB" w:rsidRPr="002A5758">
        <w:rPr>
          <w:rFonts w:ascii="Arial" w:hAnsi="Arial" w:cs="Arial"/>
          <w:bCs/>
          <w:color w:val="FF0000"/>
          <w:sz w:val="22"/>
          <w:szCs w:val="22"/>
          <w:u w:val="single"/>
        </w:rPr>
        <w:t xml:space="preserve"> CO</w:t>
      </w:r>
      <w:r w:rsidR="00E451BB" w:rsidRPr="002A5758">
        <w:rPr>
          <w:rFonts w:ascii="Arial" w:hAnsi="Arial" w:cs="Arial"/>
          <w:bCs/>
          <w:color w:val="FF0000"/>
          <w:sz w:val="22"/>
          <w:szCs w:val="22"/>
          <w:u w:val="single"/>
          <w:vertAlign w:val="subscript"/>
        </w:rPr>
        <w:t>2</w:t>
      </w:r>
      <w:r w:rsidR="00E451BB" w:rsidRPr="002A5758">
        <w:rPr>
          <w:rFonts w:ascii="Arial" w:hAnsi="Arial" w:cs="Arial"/>
          <w:bCs/>
          <w:color w:val="FF0000"/>
          <w:sz w:val="22"/>
          <w:szCs w:val="22"/>
          <w:u w:val="single"/>
        </w:rPr>
        <w:t xml:space="preserve">e </w:t>
      </w:r>
      <w:r w:rsidRPr="00DA257C">
        <w:rPr>
          <w:rFonts w:ascii="Arial" w:hAnsi="Arial" w:cs="Arial"/>
          <w:bCs/>
          <w:sz w:val="22"/>
          <w:szCs w:val="22"/>
        </w:rPr>
        <w:t>emission factors for electricity use shall be the levelized</w:t>
      </w:r>
      <w:r w:rsidR="002A5758">
        <w:rPr>
          <w:rFonts w:ascii="Arial" w:hAnsi="Arial" w:cs="Arial"/>
          <w:bCs/>
          <w:color w:val="C45911" w:themeColor="accent2" w:themeShade="BF"/>
          <w:sz w:val="22"/>
          <w:szCs w:val="22"/>
        </w:rPr>
        <w:t xml:space="preserve"> </w:t>
      </w:r>
      <w:r w:rsidR="00E451BB" w:rsidRPr="002A5758">
        <w:rPr>
          <w:rFonts w:ascii="Arial" w:hAnsi="Arial" w:cs="Arial"/>
          <w:bCs/>
          <w:strike/>
          <w:color w:val="FF0000"/>
          <w:sz w:val="22"/>
          <w:szCs w:val="22"/>
          <w:u w:val="single"/>
        </w:rPr>
        <w:t>CO</w:t>
      </w:r>
      <w:r w:rsidR="00E451BB" w:rsidRPr="002A5758">
        <w:rPr>
          <w:rFonts w:ascii="Arial" w:hAnsi="Arial" w:cs="Arial"/>
          <w:bCs/>
          <w:strike/>
          <w:color w:val="FF0000"/>
          <w:sz w:val="22"/>
          <w:szCs w:val="22"/>
          <w:u w:val="single"/>
          <w:vertAlign w:val="subscript"/>
        </w:rPr>
        <w:t>2</w:t>
      </w:r>
      <w:r w:rsidR="00E451BB" w:rsidRPr="002A5758">
        <w:rPr>
          <w:rFonts w:ascii="Arial" w:hAnsi="Arial" w:cs="Arial"/>
          <w:bCs/>
          <w:color w:val="FF0000"/>
          <w:sz w:val="22"/>
          <w:szCs w:val="22"/>
          <w:u w:val="single"/>
        </w:rPr>
        <w:t xml:space="preserve"> CO</w:t>
      </w:r>
      <w:r w:rsidR="00E451BB" w:rsidRPr="002A5758">
        <w:rPr>
          <w:rFonts w:ascii="Arial" w:hAnsi="Arial" w:cs="Arial"/>
          <w:bCs/>
          <w:color w:val="FF0000"/>
          <w:sz w:val="22"/>
          <w:szCs w:val="22"/>
          <w:u w:val="single"/>
          <w:vertAlign w:val="subscript"/>
        </w:rPr>
        <w:t>2</w:t>
      </w:r>
      <w:r w:rsidR="00E451BB" w:rsidRPr="002A5758">
        <w:rPr>
          <w:rFonts w:ascii="Arial" w:hAnsi="Arial" w:cs="Arial"/>
          <w:bCs/>
          <w:color w:val="FF0000"/>
          <w:sz w:val="22"/>
          <w:szCs w:val="22"/>
          <w:u w:val="single"/>
        </w:rPr>
        <w:t>e</w:t>
      </w:r>
      <w:r w:rsidRPr="002A5758">
        <w:rPr>
          <w:rFonts w:ascii="Arial" w:hAnsi="Arial" w:cs="Arial"/>
          <w:bCs/>
          <w:color w:val="FF0000"/>
          <w:sz w:val="22"/>
          <w:szCs w:val="22"/>
          <w:u w:val="single"/>
        </w:rPr>
        <w:t xml:space="preserve"> combined combustion and precombustion, end-use emission rates having 100-year Global Warming Potential calculated using the 2021 Cambium database</w:t>
      </w:r>
      <w:r w:rsidRPr="002A5758">
        <w:rPr>
          <w:rFonts w:ascii="Arial" w:hAnsi="Arial" w:cs="Arial"/>
          <w:color w:val="FF0000"/>
          <w:sz w:val="22"/>
          <w:szCs w:val="22"/>
          <w:vertAlign w:val="superscript"/>
        </w:rPr>
        <w:footnoteReference w:id="7"/>
      </w:r>
      <w:r w:rsidRPr="002A5758">
        <w:rPr>
          <w:rFonts w:ascii="Arial" w:hAnsi="Arial" w:cs="Arial"/>
          <w:bCs/>
          <w:color w:val="FF0000"/>
          <w:sz w:val="22"/>
          <w:szCs w:val="22"/>
          <w:u w:val="single"/>
          <w:vertAlign w:val="superscript"/>
        </w:rPr>
        <w:t>,</w:t>
      </w:r>
      <w:r w:rsidRPr="002A5758">
        <w:rPr>
          <w:rFonts w:ascii="Arial" w:hAnsi="Arial" w:cs="Arial"/>
          <w:color w:val="FF0000"/>
          <w:sz w:val="22"/>
          <w:szCs w:val="22"/>
          <w:vertAlign w:val="superscript"/>
        </w:rPr>
        <w:footnoteReference w:id="8"/>
      </w:r>
      <w:r w:rsidRPr="002A5758">
        <w:rPr>
          <w:rFonts w:ascii="Arial" w:hAnsi="Arial" w:cs="Arial"/>
          <w:bCs/>
          <w:color w:val="FF0000"/>
          <w:sz w:val="22"/>
          <w:szCs w:val="22"/>
          <w:u w:val="single"/>
        </w:rPr>
        <w:t xml:space="preserve"> for the Low Renewable Energy Cost Scenario for the Long-Run Marginal month-hour CO</w:t>
      </w:r>
      <w:r w:rsidRPr="002A5758">
        <w:rPr>
          <w:rFonts w:ascii="Arial" w:hAnsi="Arial" w:cs="Arial"/>
          <w:bCs/>
          <w:color w:val="FF0000"/>
          <w:sz w:val="22"/>
          <w:szCs w:val="22"/>
          <w:u w:val="single"/>
          <w:vertAlign w:val="subscript"/>
        </w:rPr>
        <w:t>2</w:t>
      </w:r>
      <w:r w:rsidRPr="002A5758">
        <w:rPr>
          <w:rFonts w:ascii="Arial" w:hAnsi="Arial" w:cs="Arial"/>
          <w:bCs/>
          <w:color w:val="FF0000"/>
          <w:sz w:val="22"/>
          <w:szCs w:val="22"/>
          <w:u w:val="single"/>
        </w:rPr>
        <w:t xml:space="preserve">e emission rates </w:t>
      </w:r>
      <w:r w:rsidRPr="002A5758">
        <w:rPr>
          <w:rFonts w:ascii="Arial" w:hAnsi="Arial" w:cs="Arial"/>
          <w:color w:val="FF0000"/>
          <w:sz w:val="22"/>
          <w:szCs w:val="22"/>
          <w:u w:val="single"/>
        </w:rPr>
        <w:t>(lrmer_co2e)</w:t>
      </w:r>
      <w:r w:rsidRPr="002A5758">
        <w:rPr>
          <w:rFonts w:ascii="Arial" w:hAnsi="Arial" w:cs="Arial"/>
          <w:bCs/>
          <w:color w:val="FF0000"/>
          <w:sz w:val="22"/>
          <w:szCs w:val="22"/>
          <w:u w:val="single"/>
        </w:rPr>
        <w:t xml:space="preserve"> for the applicable Cambium Grid and Emission Assessment (GEA) region in accordance with the local ZIP Code using equation 8-2 with a starting year of </w:t>
      </w:r>
      <w:r w:rsidRPr="002A5758">
        <w:rPr>
          <w:rFonts w:ascii="Arial" w:hAnsi="Arial" w:cs="Arial"/>
          <w:bCs/>
          <w:color w:val="FF0000"/>
          <w:sz w:val="22"/>
          <w:szCs w:val="22"/>
          <w:u w:val="single"/>
        </w:rPr>
        <w:lastRenderedPageBreak/>
        <w:t>2025.</w:t>
      </w:r>
      <w:r w:rsidRPr="002A5758">
        <w:rPr>
          <w:rStyle w:val="FootnoteReference"/>
          <w:rFonts w:ascii="Arial" w:hAnsi="Arial" w:cs="Arial"/>
          <w:color w:val="FF0000"/>
          <w:sz w:val="22"/>
          <w:szCs w:val="22"/>
          <w:u w:val="single"/>
        </w:rPr>
        <w:footnoteReference w:id="9"/>
      </w:r>
      <w:r w:rsidRPr="002A5758">
        <w:rPr>
          <w:rFonts w:ascii="Arial" w:hAnsi="Arial" w:cs="Arial"/>
          <w:bCs/>
          <w:color w:val="FF0000"/>
          <w:sz w:val="22"/>
          <w:szCs w:val="22"/>
          <w:u w:val="single"/>
          <w:vertAlign w:val="superscript"/>
        </w:rPr>
        <w:t>,</w:t>
      </w:r>
      <w:r w:rsidRPr="002A5758">
        <w:rPr>
          <w:rStyle w:val="FootnoteReference"/>
          <w:rFonts w:ascii="Arial" w:hAnsi="Arial" w:cs="Arial"/>
          <w:color w:val="FF0000"/>
          <w:sz w:val="22"/>
          <w:szCs w:val="22"/>
          <w:u w:val="single"/>
        </w:rPr>
        <w:footnoteReference w:id="10"/>
      </w:r>
      <w:r w:rsidRPr="002A5758">
        <w:rPr>
          <w:rFonts w:ascii="Arial" w:hAnsi="Arial" w:cs="Arial"/>
          <w:bCs/>
          <w:color w:val="FF0000"/>
          <w:sz w:val="22"/>
          <w:szCs w:val="22"/>
          <w:u w:val="single"/>
          <w:vertAlign w:val="superscript"/>
        </w:rPr>
        <w:t>,</w:t>
      </w:r>
      <w:r w:rsidRPr="002A5758">
        <w:rPr>
          <w:rStyle w:val="FootnoteReference"/>
          <w:rFonts w:ascii="Arial" w:hAnsi="Arial" w:cs="Arial"/>
          <w:color w:val="FF0000"/>
          <w:sz w:val="22"/>
          <w:szCs w:val="22"/>
          <w:u w:val="single"/>
        </w:rPr>
        <w:footnoteReference w:id="11"/>
      </w:r>
      <w:r w:rsidRPr="002A5758">
        <w:rPr>
          <w:rFonts w:ascii="Arial" w:hAnsi="Arial" w:cs="Arial"/>
          <w:bCs/>
          <w:color w:val="FF0000"/>
          <w:sz w:val="22"/>
          <w:szCs w:val="22"/>
          <w:u w:val="single"/>
        </w:rPr>
        <w:t xml:space="preserve"> </w:t>
      </w:r>
      <w:r w:rsidRPr="002A5758">
        <w:rPr>
          <w:rFonts w:ascii="Arial" w:hAnsi="Arial" w:cs="Arial"/>
          <w:bCs/>
          <w:strike/>
          <w:color w:val="FF0000"/>
          <w:sz w:val="22"/>
          <w:szCs w:val="22"/>
          <w:u w:val="single"/>
        </w:rPr>
        <w:t>emission factors calculated using the Cambium database</w:t>
      </w:r>
      <w:r w:rsidRPr="002A5758">
        <w:rPr>
          <w:rFonts w:ascii="Arial" w:hAnsi="Arial" w:cs="Arial"/>
          <w:color w:val="FF0000"/>
          <w:sz w:val="22"/>
          <w:szCs w:val="22"/>
          <w:vertAlign w:val="superscript"/>
        </w:rPr>
        <w:footnoteReference w:id="12"/>
      </w:r>
      <w:r w:rsidRPr="002A5758">
        <w:rPr>
          <w:rFonts w:ascii="Arial" w:hAnsi="Arial" w:cs="Arial"/>
          <w:bCs/>
          <w:strike/>
          <w:color w:val="FF0000"/>
          <w:sz w:val="22"/>
          <w:szCs w:val="22"/>
          <w:u w:val="single"/>
          <w:vertAlign w:val="superscript"/>
        </w:rPr>
        <w:t>,</w:t>
      </w:r>
      <w:r w:rsidRPr="002A5758">
        <w:rPr>
          <w:rFonts w:ascii="Arial" w:hAnsi="Arial" w:cs="Arial"/>
          <w:color w:val="FF0000"/>
          <w:sz w:val="22"/>
          <w:szCs w:val="22"/>
          <w:vertAlign w:val="superscript"/>
        </w:rPr>
        <w:footnoteReference w:id="13"/>
      </w:r>
      <w:r w:rsidRPr="002A5758">
        <w:rPr>
          <w:rFonts w:ascii="Arial" w:hAnsi="Arial" w:cs="Arial"/>
          <w:bCs/>
          <w:strike/>
          <w:color w:val="FF0000"/>
          <w:sz w:val="22"/>
          <w:szCs w:val="22"/>
          <w:u w:val="single"/>
        </w:rPr>
        <w:t xml:space="preserve"> for the Low Renewable Energy Cost Scenario for the Long-Run Marginal </w:t>
      </w:r>
      <w:proofErr w:type="spellStart"/>
      <w:r w:rsidRPr="002A5758">
        <w:rPr>
          <w:rFonts w:ascii="Arial" w:hAnsi="Arial" w:cs="Arial"/>
          <w:bCs/>
          <w:strike/>
          <w:color w:val="FF0000"/>
          <w:sz w:val="22"/>
          <w:szCs w:val="22"/>
          <w:u w:val="single"/>
        </w:rPr>
        <w:t>enduse</w:t>
      </w:r>
      <w:proofErr w:type="spellEnd"/>
      <w:r w:rsidRPr="002A5758">
        <w:rPr>
          <w:rFonts w:ascii="Arial" w:hAnsi="Arial" w:cs="Arial"/>
          <w:bCs/>
          <w:strike/>
          <w:color w:val="FF0000"/>
          <w:sz w:val="22"/>
          <w:szCs w:val="22"/>
          <w:u w:val="single"/>
        </w:rPr>
        <w:t xml:space="preserve"> CO</w:t>
      </w:r>
      <w:r w:rsidRPr="002A5758">
        <w:rPr>
          <w:rFonts w:ascii="Arial" w:hAnsi="Arial" w:cs="Arial"/>
          <w:bCs/>
          <w:strike/>
          <w:color w:val="FF0000"/>
          <w:sz w:val="22"/>
          <w:szCs w:val="22"/>
          <w:u w:val="single"/>
          <w:vertAlign w:val="subscript"/>
        </w:rPr>
        <w:t>2</w:t>
      </w:r>
      <w:r w:rsidRPr="002A5758">
        <w:rPr>
          <w:rFonts w:ascii="Arial" w:hAnsi="Arial" w:cs="Arial"/>
          <w:bCs/>
          <w:strike/>
          <w:color w:val="FF0000"/>
          <w:sz w:val="22"/>
          <w:szCs w:val="22"/>
          <w:u w:val="single"/>
        </w:rPr>
        <w:t xml:space="preserve"> generation rate (</w:t>
      </w:r>
      <w:r w:rsidRPr="002A5758">
        <w:rPr>
          <w:rFonts w:ascii="Arial" w:hAnsi="Arial" w:cs="Arial"/>
          <w:bCs/>
          <w:i/>
          <w:strike/>
          <w:color w:val="FF0000"/>
          <w:sz w:val="22"/>
          <w:szCs w:val="22"/>
          <w:u w:val="single"/>
        </w:rPr>
        <w:t>co2_lmer_enduse</w:t>
      </w:r>
      <w:r w:rsidRPr="002A5758">
        <w:rPr>
          <w:rFonts w:ascii="Arial" w:hAnsi="Arial" w:cs="Arial"/>
          <w:bCs/>
          <w:strike/>
          <w:color w:val="FF0000"/>
          <w:sz w:val="22"/>
          <w:szCs w:val="22"/>
          <w:u w:val="single"/>
        </w:rPr>
        <w:t>: kgCO</w:t>
      </w:r>
      <w:r w:rsidRPr="002A5758">
        <w:rPr>
          <w:rFonts w:ascii="Arial" w:hAnsi="Arial" w:cs="Arial"/>
          <w:bCs/>
          <w:strike/>
          <w:color w:val="FF0000"/>
          <w:sz w:val="22"/>
          <w:szCs w:val="22"/>
          <w:u w:val="single"/>
          <w:vertAlign w:val="subscript"/>
        </w:rPr>
        <w:t>2</w:t>
      </w:r>
      <w:r w:rsidRPr="002A5758">
        <w:rPr>
          <w:rFonts w:ascii="Arial" w:hAnsi="Arial" w:cs="Arial"/>
          <w:bCs/>
          <w:strike/>
          <w:color w:val="FF0000"/>
          <w:sz w:val="22"/>
          <w:szCs w:val="22"/>
          <w:u w:val="single"/>
        </w:rPr>
        <w:t xml:space="preserve"> per </w:t>
      </w:r>
      <w:proofErr w:type="spellStart"/>
      <w:r w:rsidRPr="002A5758">
        <w:rPr>
          <w:rFonts w:ascii="Arial" w:hAnsi="Arial" w:cs="Arial"/>
          <w:bCs/>
          <w:strike/>
          <w:color w:val="FF0000"/>
          <w:sz w:val="22"/>
          <w:szCs w:val="22"/>
          <w:u w:val="single"/>
        </w:rPr>
        <w:t>MWh</w:t>
      </w:r>
      <w:r w:rsidRPr="002A5758">
        <w:rPr>
          <w:rFonts w:ascii="Arial" w:hAnsi="Arial" w:cs="Arial"/>
          <w:bCs/>
          <w:strike/>
          <w:color w:val="FF0000"/>
          <w:sz w:val="22"/>
          <w:szCs w:val="22"/>
          <w:u w:val="single"/>
          <w:vertAlign w:val="subscript"/>
        </w:rPr>
        <w:t>enduse</w:t>
      </w:r>
      <w:proofErr w:type="spellEnd"/>
      <w:r w:rsidRPr="002A5758">
        <w:rPr>
          <w:rFonts w:ascii="Arial" w:hAnsi="Arial" w:cs="Arial"/>
          <w:bCs/>
          <w:strike/>
          <w:color w:val="FF0000"/>
          <w:sz w:val="22"/>
          <w:szCs w:val="22"/>
          <w:u w:val="single"/>
        </w:rPr>
        <w:t>) for the local ZIP Code using equation 6-2 with a starting year of 2025.</w:t>
      </w:r>
      <w:r w:rsidRPr="002A5758">
        <w:rPr>
          <w:rStyle w:val="FootnoteReference"/>
          <w:rFonts w:ascii="Arial" w:hAnsi="Arial" w:cs="Arial"/>
          <w:strike/>
          <w:color w:val="FF0000"/>
          <w:sz w:val="22"/>
          <w:szCs w:val="22"/>
          <w:u w:val="single"/>
        </w:rPr>
        <w:footnoteReference w:id="14"/>
      </w:r>
    </w:p>
    <w:p w14:paraId="1CF55E10" w14:textId="77777777" w:rsidR="000D50A5" w:rsidRPr="000D50A5" w:rsidRDefault="00A73571" w:rsidP="000D50A5">
      <w:pPr>
        <w:tabs>
          <w:tab w:val="right" w:pos="9180"/>
        </w:tabs>
        <w:ind w:left="990"/>
        <w:rPr>
          <w:rFonts w:ascii="Arial" w:eastAsiaTheme="minorEastAsia" w:hAnsi="Arial" w:cs="Arial"/>
          <w:b/>
          <w:color w:val="0070C0"/>
          <w:u w:val="single"/>
        </w:rPr>
      </w:pPr>
      <m:oMath>
        <m:sSub>
          <m:sSubPr>
            <m:ctrlPr>
              <w:rPr>
                <w:rFonts w:ascii="Cambria Math" w:hAnsi="Cambria Math" w:cs="Arial"/>
                <w:b/>
                <w:i/>
              </w:rPr>
            </m:ctrlPr>
          </m:sSubPr>
          <m:e>
            <m:r>
              <m:rPr>
                <m:sty m:val="bi"/>
              </m:rPr>
              <w:rPr>
                <w:rFonts w:ascii="Cambria Math" w:hAnsi="Cambria Math" w:cs="Arial"/>
              </w:rPr>
              <m:t>LRMER</m:t>
            </m:r>
          </m:e>
          <m:sub>
            <m:r>
              <m:rPr>
                <m:sty m:val="bi"/>
              </m:rPr>
              <w:rPr>
                <w:rFonts w:ascii="Cambria Math" w:hAnsi="Cambria Math" w:cs="Arial"/>
              </w:rPr>
              <m:t>levelized</m:t>
            </m:r>
          </m:sub>
        </m:sSub>
        <m:r>
          <m:rPr>
            <m:sty m:val="bi"/>
          </m:rPr>
          <w:rPr>
            <w:rFonts w:ascii="Cambria Math" w:hAnsi="Cambria Math" w:cs="Arial"/>
          </w:rPr>
          <m:t>=</m:t>
        </m:r>
        <m:f>
          <m:fPr>
            <m:ctrlPr>
              <w:rPr>
                <w:rFonts w:ascii="Cambria Math" w:hAnsi="Cambria Math" w:cs="Arial"/>
                <w:b/>
                <w:i/>
              </w:rPr>
            </m:ctrlPr>
          </m:fPr>
          <m:num>
            <m:nary>
              <m:naryPr>
                <m:chr m:val="∑"/>
                <m:limLoc m:val="undOvr"/>
                <m:ctrlPr>
                  <w:rPr>
                    <w:rFonts w:ascii="Cambria Math" w:hAnsi="Cambria Math" w:cs="Arial"/>
                    <w:b/>
                    <w:i/>
                  </w:rPr>
                </m:ctrlPr>
              </m:naryPr>
              <m:sub>
                <m:r>
                  <m:rPr>
                    <m:sty m:val="bi"/>
                  </m:rPr>
                  <w:rPr>
                    <w:rFonts w:ascii="Cambria Math" w:hAnsi="Cambria Math" w:cs="Arial"/>
                  </w:rPr>
                  <m:t>t=0</m:t>
                </m:r>
              </m:sub>
              <m:sup>
                <m:r>
                  <m:rPr>
                    <m:sty m:val="bi"/>
                  </m:rPr>
                  <w:rPr>
                    <w:rFonts w:ascii="Cambria Math" w:hAnsi="Cambria Math" w:cs="Arial"/>
                  </w:rPr>
                  <m:t>n-1</m:t>
                </m:r>
              </m:sup>
              <m:e>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LRMER</m:t>
                        </m:r>
                      </m:e>
                      <m:sub>
                        <m:r>
                          <m:rPr>
                            <m:sty m:val="bi"/>
                          </m:rPr>
                          <w:rPr>
                            <w:rFonts w:ascii="Cambria Math" w:hAnsi="Cambria Math" w:cs="Arial"/>
                          </w:rPr>
                          <m:t>t</m:t>
                        </m:r>
                      </m:sub>
                    </m:sSub>
                  </m:num>
                  <m:den>
                    <m:sSup>
                      <m:sSupPr>
                        <m:ctrlPr>
                          <w:rPr>
                            <w:rFonts w:ascii="Cambria Math" w:hAnsi="Cambria Math" w:cs="Arial"/>
                            <w:b/>
                            <w:i/>
                          </w:rPr>
                        </m:ctrlPr>
                      </m:sSupPr>
                      <m:e>
                        <m:d>
                          <m:dPr>
                            <m:ctrlPr>
                              <w:rPr>
                                <w:rFonts w:ascii="Cambria Math" w:hAnsi="Cambria Math" w:cs="Arial"/>
                                <w:b/>
                                <w:i/>
                              </w:rPr>
                            </m:ctrlPr>
                          </m:dPr>
                          <m:e>
                            <m:r>
                              <m:rPr>
                                <m:sty m:val="bi"/>
                              </m:rPr>
                              <w:rPr>
                                <w:rFonts w:ascii="Cambria Math" w:hAnsi="Cambria Math" w:cs="Arial"/>
                              </w:rPr>
                              <m:t>1+d</m:t>
                            </m:r>
                          </m:e>
                        </m:d>
                      </m:e>
                      <m:sup>
                        <m:r>
                          <m:rPr>
                            <m:sty m:val="bi"/>
                          </m:rPr>
                          <w:rPr>
                            <w:rFonts w:ascii="Cambria Math" w:hAnsi="Cambria Math" w:cs="Arial"/>
                          </w:rPr>
                          <m:t>t</m:t>
                        </m:r>
                      </m:sup>
                    </m:sSup>
                  </m:den>
                </m:f>
              </m:e>
            </m:nary>
          </m:num>
          <m:den>
            <m:nary>
              <m:naryPr>
                <m:chr m:val="∑"/>
                <m:limLoc m:val="undOvr"/>
                <m:ctrlPr>
                  <w:rPr>
                    <w:rFonts w:ascii="Cambria Math" w:hAnsi="Cambria Math" w:cs="Arial"/>
                    <w:b/>
                    <w:i/>
                  </w:rPr>
                </m:ctrlPr>
              </m:naryPr>
              <m:sub>
                <m:r>
                  <m:rPr>
                    <m:sty m:val="bi"/>
                  </m:rPr>
                  <w:rPr>
                    <w:rFonts w:ascii="Cambria Math" w:hAnsi="Cambria Math" w:cs="Arial"/>
                  </w:rPr>
                  <m:t>t=0</m:t>
                </m:r>
              </m:sub>
              <m:sup>
                <m:r>
                  <m:rPr>
                    <m:sty m:val="bi"/>
                  </m:rPr>
                  <w:rPr>
                    <w:rFonts w:ascii="Cambria Math" w:hAnsi="Cambria Math" w:cs="Arial"/>
                  </w:rPr>
                  <m:t>n-1</m:t>
                </m:r>
              </m:sup>
              <m:e>
                <m:f>
                  <m:fPr>
                    <m:ctrlPr>
                      <w:rPr>
                        <w:rFonts w:ascii="Cambria Math" w:hAnsi="Cambria Math" w:cs="Arial"/>
                        <w:b/>
                        <w:i/>
                      </w:rPr>
                    </m:ctrlPr>
                  </m:fPr>
                  <m:num>
                    <m:r>
                      <m:rPr>
                        <m:sty m:val="bi"/>
                      </m:rPr>
                      <w:rPr>
                        <w:rFonts w:ascii="Cambria Math" w:hAnsi="Cambria Math" w:cs="Arial"/>
                      </w:rPr>
                      <m:t>1</m:t>
                    </m:r>
                  </m:num>
                  <m:den>
                    <m:sSup>
                      <m:sSupPr>
                        <m:ctrlPr>
                          <w:rPr>
                            <w:rFonts w:ascii="Cambria Math" w:hAnsi="Cambria Math" w:cs="Arial"/>
                            <w:b/>
                            <w:i/>
                          </w:rPr>
                        </m:ctrlPr>
                      </m:sSupPr>
                      <m:e>
                        <m:d>
                          <m:dPr>
                            <m:ctrlPr>
                              <w:rPr>
                                <w:rFonts w:ascii="Cambria Math" w:hAnsi="Cambria Math" w:cs="Arial"/>
                                <w:b/>
                                <w:i/>
                              </w:rPr>
                            </m:ctrlPr>
                          </m:dPr>
                          <m:e>
                            <m:r>
                              <m:rPr>
                                <m:sty m:val="bi"/>
                              </m:rPr>
                              <w:rPr>
                                <w:rFonts w:ascii="Cambria Math" w:hAnsi="Cambria Math" w:cs="Arial"/>
                              </w:rPr>
                              <m:t>1+d</m:t>
                            </m:r>
                          </m:e>
                        </m:d>
                      </m:e>
                      <m:sup>
                        <m:r>
                          <m:rPr>
                            <m:sty m:val="bi"/>
                          </m:rPr>
                          <w:rPr>
                            <w:rFonts w:ascii="Cambria Math" w:hAnsi="Cambria Math" w:cs="Arial"/>
                          </w:rPr>
                          <m:t>t</m:t>
                        </m:r>
                      </m:sup>
                    </m:sSup>
                  </m:den>
                </m:f>
              </m:e>
            </m:nary>
          </m:den>
        </m:f>
      </m:oMath>
      <w:r w:rsidR="000D50A5" w:rsidRPr="003051D0">
        <w:rPr>
          <w:rFonts w:ascii="Arial" w:eastAsiaTheme="minorEastAsia" w:hAnsi="Arial" w:cs="Arial"/>
        </w:rPr>
        <w:tab/>
      </w:r>
      <w:r w:rsidR="000D50A5" w:rsidRPr="003051D0">
        <w:rPr>
          <w:rFonts w:ascii="Arial" w:eastAsiaTheme="minorEastAsia" w:hAnsi="Arial" w:cs="Arial"/>
          <w:b/>
        </w:rPr>
        <w:t xml:space="preserve">(Equation </w:t>
      </w:r>
      <w:r w:rsidR="000D50A5" w:rsidRPr="002A5758">
        <w:rPr>
          <w:rFonts w:ascii="Arial" w:eastAsiaTheme="minorEastAsia" w:hAnsi="Arial" w:cs="Arial"/>
          <w:b/>
          <w:strike/>
          <w:color w:val="FF0000"/>
        </w:rPr>
        <w:t>6</w:t>
      </w:r>
      <w:r w:rsidR="000D50A5" w:rsidRPr="002A5758">
        <w:rPr>
          <w:rFonts w:ascii="Arial" w:eastAsiaTheme="minorEastAsia" w:hAnsi="Arial" w:cs="Arial"/>
          <w:b/>
          <w:color w:val="FF0000"/>
          <w:u w:val="single"/>
        </w:rPr>
        <w:t>8</w:t>
      </w:r>
      <w:r w:rsidR="000D50A5" w:rsidRPr="003051D0">
        <w:rPr>
          <w:rFonts w:ascii="Arial" w:eastAsiaTheme="minorEastAsia" w:hAnsi="Arial" w:cs="Arial"/>
          <w:b/>
        </w:rPr>
        <w:t>-2)</w:t>
      </w:r>
    </w:p>
    <w:p w14:paraId="0C264237" w14:textId="77777777" w:rsidR="000D50A5" w:rsidRPr="003051D0" w:rsidRDefault="000D50A5" w:rsidP="000D50A5">
      <w:pPr>
        <w:ind w:left="990"/>
        <w:rPr>
          <w:rFonts w:ascii="Arial" w:eastAsiaTheme="minorEastAsia" w:hAnsi="Arial" w:cs="Arial"/>
        </w:rPr>
      </w:pPr>
      <w:r w:rsidRPr="003051D0">
        <w:rPr>
          <w:rFonts w:ascii="Arial" w:eastAsiaTheme="minorEastAsia" w:hAnsi="Arial" w:cs="Arial"/>
        </w:rPr>
        <w:t>where:</w:t>
      </w:r>
    </w:p>
    <w:p w14:paraId="32C6E683" w14:textId="77777777" w:rsidR="000D50A5" w:rsidRPr="003051D0" w:rsidRDefault="000D50A5" w:rsidP="000D50A5">
      <w:pPr>
        <w:ind w:left="1350"/>
        <w:rPr>
          <w:rFonts w:ascii="Arial" w:hAnsi="Arial" w:cs="Arial"/>
        </w:rPr>
      </w:pPr>
      <w:proofErr w:type="spellStart"/>
      <w:r w:rsidRPr="003051D0">
        <w:rPr>
          <w:rFonts w:ascii="Arial" w:hAnsi="Arial" w:cs="Arial"/>
          <w:i/>
        </w:rPr>
        <w:t>LRMER</w:t>
      </w:r>
      <w:r w:rsidRPr="003051D0">
        <w:rPr>
          <w:rFonts w:ascii="Arial" w:hAnsi="Arial" w:cs="Arial"/>
          <w:i/>
          <w:vertAlign w:val="subscript"/>
        </w:rPr>
        <w:t>t</w:t>
      </w:r>
      <w:proofErr w:type="spellEnd"/>
      <w:r w:rsidRPr="003051D0">
        <w:rPr>
          <w:rFonts w:ascii="Arial" w:hAnsi="Arial" w:cs="Arial"/>
        </w:rPr>
        <w:t xml:space="preserve"> = long-run marginal emission rate for year </w:t>
      </w:r>
      <w:r w:rsidRPr="003051D0">
        <w:rPr>
          <w:rFonts w:ascii="Arial" w:hAnsi="Arial" w:cs="Arial"/>
          <w:i/>
        </w:rPr>
        <w:t>t</w:t>
      </w:r>
    </w:p>
    <w:p w14:paraId="138601B7" w14:textId="77777777" w:rsidR="000D50A5" w:rsidRPr="003051D0" w:rsidRDefault="000D50A5" w:rsidP="000D50A5">
      <w:pPr>
        <w:ind w:left="1350"/>
        <w:rPr>
          <w:rFonts w:ascii="Arial" w:hAnsi="Arial" w:cs="Arial"/>
        </w:rPr>
      </w:pPr>
      <w:r w:rsidRPr="003051D0">
        <w:rPr>
          <w:rFonts w:ascii="Arial" w:eastAsiaTheme="minorEastAsia" w:hAnsi="Arial" w:cs="Arial"/>
          <w:i/>
        </w:rPr>
        <w:t>d</w:t>
      </w:r>
      <w:r w:rsidRPr="003051D0">
        <w:rPr>
          <w:rFonts w:ascii="Arial" w:eastAsiaTheme="minorEastAsia" w:hAnsi="Arial" w:cs="Arial"/>
        </w:rPr>
        <w:t xml:space="preserve"> = real social discount rate = 0.03</w:t>
      </w:r>
    </w:p>
    <w:p w14:paraId="16FC7FF5" w14:textId="77777777" w:rsidR="000D50A5" w:rsidRPr="003051D0" w:rsidRDefault="000D50A5" w:rsidP="000D50A5">
      <w:pPr>
        <w:spacing w:after="120"/>
        <w:ind w:left="1714" w:hanging="360"/>
        <w:rPr>
          <w:rFonts w:ascii="Arial" w:eastAsiaTheme="minorEastAsia" w:hAnsi="Arial" w:cs="Arial"/>
        </w:rPr>
      </w:pPr>
      <w:r w:rsidRPr="003051D0">
        <w:rPr>
          <w:rFonts w:ascii="Arial" w:eastAsiaTheme="minorEastAsia" w:hAnsi="Arial" w:cs="Arial"/>
          <w:i/>
        </w:rPr>
        <w:t>n</w:t>
      </w:r>
      <w:r w:rsidRPr="003051D0">
        <w:rPr>
          <w:rFonts w:ascii="Arial" w:eastAsiaTheme="minorEastAsia" w:hAnsi="Arial" w:cs="Arial"/>
        </w:rPr>
        <w:t xml:space="preserve"> = evaluation period in years = 25</w:t>
      </w:r>
    </w:p>
    <w:p w14:paraId="6FC58F80" w14:textId="48258786" w:rsidR="000D50A5" w:rsidRPr="003051D0" w:rsidRDefault="000D50A5" w:rsidP="000D50A5">
      <w:pPr>
        <w:pStyle w:val="ListParagraph"/>
        <w:numPr>
          <w:ilvl w:val="1"/>
          <w:numId w:val="6"/>
        </w:numPr>
        <w:spacing w:after="60"/>
        <w:ind w:left="900" w:hanging="540"/>
        <w:contextualSpacing/>
        <w:outlineLvl w:val="2"/>
        <w:rPr>
          <w:rFonts w:ascii="Arial" w:hAnsi="Arial" w:cs="Arial"/>
          <w:bCs/>
          <w:sz w:val="22"/>
          <w:szCs w:val="22"/>
        </w:rPr>
      </w:pPr>
      <w:r w:rsidRPr="003051D0">
        <w:rPr>
          <w:rFonts w:ascii="Arial" w:hAnsi="Arial" w:cs="Arial"/>
          <w:bCs/>
          <w:sz w:val="22"/>
          <w:szCs w:val="22"/>
        </w:rPr>
        <w:t>The</w:t>
      </w:r>
      <w:r w:rsidR="002A5758">
        <w:rPr>
          <w:rFonts w:ascii="Arial" w:hAnsi="Arial" w:cs="Arial"/>
          <w:bCs/>
          <w:sz w:val="22"/>
          <w:szCs w:val="22"/>
        </w:rPr>
        <w:t xml:space="preserve"> </w:t>
      </w:r>
      <w:r w:rsidRPr="002A5758">
        <w:rPr>
          <w:rFonts w:ascii="Arial" w:hAnsi="Arial" w:cs="Arial"/>
          <w:bCs/>
          <w:strike/>
          <w:color w:val="FF0000"/>
          <w:sz w:val="22"/>
          <w:szCs w:val="22"/>
          <w:u w:val="single"/>
        </w:rPr>
        <w:t>CO</w:t>
      </w:r>
      <w:r w:rsidRPr="002A5758">
        <w:rPr>
          <w:rFonts w:ascii="Arial" w:hAnsi="Arial" w:cs="Arial"/>
          <w:bCs/>
          <w:strike/>
          <w:color w:val="FF0000"/>
          <w:sz w:val="22"/>
          <w:szCs w:val="22"/>
          <w:u w:val="single"/>
          <w:vertAlign w:val="subscript"/>
        </w:rPr>
        <w:t>2</w:t>
      </w:r>
      <w:r w:rsidRPr="002A5758">
        <w:rPr>
          <w:rFonts w:ascii="Arial" w:hAnsi="Arial" w:cs="Arial"/>
          <w:bCs/>
          <w:color w:val="FF0000"/>
          <w:sz w:val="22"/>
          <w:szCs w:val="22"/>
          <w:u w:val="single"/>
        </w:rPr>
        <w:t xml:space="preserve"> CO</w:t>
      </w:r>
      <w:r w:rsidRPr="002A5758">
        <w:rPr>
          <w:rFonts w:ascii="Arial" w:hAnsi="Arial" w:cs="Arial"/>
          <w:bCs/>
          <w:color w:val="FF0000"/>
          <w:sz w:val="22"/>
          <w:szCs w:val="22"/>
          <w:u w:val="single"/>
          <w:vertAlign w:val="subscript"/>
        </w:rPr>
        <w:t>2</w:t>
      </w:r>
      <w:r w:rsidRPr="002A5758">
        <w:rPr>
          <w:rFonts w:ascii="Arial" w:hAnsi="Arial" w:cs="Arial"/>
          <w:bCs/>
          <w:color w:val="FF0000"/>
          <w:sz w:val="22"/>
          <w:szCs w:val="22"/>
          <w:u w:val="single"/>
        </w:rPr>
        <w:t xml:space="preserve">e </w:t>
      </w:r>
      <w:r w:rsidRPr="003051D0">
        <w:rPr>
          <w:rFonts w:ascii="Arial" w:hAnsi="Arial" w:cs="Arial"/>
          <w:bCs/>
          <w:sz w:val="22"/>
          <w:szCs w:val="22"/>
        </w:rPr>
        <w:t xml:space="preserve">emission factors shall be applied to the hourly Purchased Energy by fuel type for both the Rated Home and the </w:t>
      </w:r>
      <w:r w:rsidR="003051D0" w:rsidRPr="002A5758">
        <w:rPr>
          <w:rFonts w:ascii="Arial" w:hAnsi="Arial" w:cs="Arial"/>
          <w:bCs/>
          <w:strike/>
          <w:color w:val="FF0000"/>
          <w:sz w:val="22"/>
          <w:szCs w:val="22"/>
          <w:u w:val="single"/>
        </w:rPr>
        <w:t>CO</w:t>
      </w:r>
      <w:r w:rsidR="003051D0" w:rsidRPr="002A5758">
        <w:rPr>
          <w:rFonts w:ascii="Arial" w:hAnsi="Arial" w:cs="Arial"/>
          <w:bCs/>
          <w:strike/>
          <w:color w:val="FF0000"/>
          <w:sz w:val="22"/>
          <w:szCs w:val="22"/>
          <w:u w:val="single"/>
          <w:vertAlign w:val="subscript"/>
        </w:rPr>
        <w:t>2</w:t>
      </w:r>
      <w:r w:rsidR="003051D0" w:rsidRPr="002A5758">
        <w:rPr>
          <w:rFonts w:ascii="Arial" w:hAnsi="Arial" w:cs="Arial"/>
          <w:bCs/>
          <w:color w:val="FF0000"/>
          <w:sz w:val="22"/>
          <w:szCs w:val="22"/>
          <w:u w:val="single"/>
        </w:rPr>
        <w:t xml:space="preserve"> CO</w:t>
      </w:r>
      <w:r w:rsidR="003051D0" w:rsidRPr="002A5758">
        <w:rPr>
          <w:rFonts w:ascii="Arial" w:hAnsi="Arial" w:cs="Arial"/>
          <w:bCs/>
          <w:color w:val="FF0000"/>
          <w:sz w:val="22"/>
          <w:szCs w:val="22"/>
          <w:u w:val="single"/>
          <w:vertAlign w:val="subscript"/>
        </w:rPr>
        <w:t>2</w:t>
      </w:r>
      <w:r w:rsidR="003051D0" w:rsidRPr="002A5758">
        <w:rPr>
          <w:rFonts w:ascii="Arial" w:hAnsi="Arial" w:cs="Arial"/>
          <w:bCs/>
          <w:color w:val="FF0000"/>
          <w:sz w:val="22"/>
          <w:szCs w:val="22"/>
          <w:u w:val="single"/>
        </w:rPr>
        <w:t>e</w:t>
      </w:r>
      <w:r w:rsidRPr="003051D0">
        <w:rPr>
          <w:rFonts w:ascii="Arial" w:hAnsi="Arial" w:cs="Arial"/>
          <w:bCs/>
          <w:sz w:val="22"/>
          <w:szCs w:val="22"/>
        </w:rPr>
        <w:t xml:space="preserve"> Index Reference Home.</w:t>
      </w:r>
    </w:p>
    <w:p w14:paraId="091F15DE" w14:textId="00009C02" w:rsidR="000D50A5" w:rsidRPr="003051D0" w:rsidRDefault="000D50A5" w:rsidP="000D50A5">
      <w:pPr>
        <w:pStyle w:val="ListParagraph"/>
        <w:numPr>
          <w:ilvl w:val="1"/>
          <w:numId w:val="6"/>
        </w:numPr>
        <w:spacing w:after="60"/>
        <w:ind w:left="900" w:hanging="540"/>
        <w:contextualSpacing/>
        <w:outlineLvl w:val="2"/>
        <w:rPr>
          <w:rFonts w:ascii="Arial" w:hAnsi="Arial" w:cs="Arial"/>
          <w:bCs/>
          <w:sz w:val="22"/>
          <w:szCs w:val="22"/>
        </w:rPr>
      </w:pPr>
      <w:r w:rsidRPr="003051D0">
        <w:rPr>
          <w:rFonts w:ascii="Arial" w:hAnsi="Arial" w:cs="Arial"/>
          <w:bCs/>
          <w:sz w:val="22"/>
          <w:szCs w:val="22"/>
        </w:rPr>
        <w:t xml:space="preserve">The </w:t>
      </w:r>
      <w:r w:rsidR="003051D0" w:rsidRPr="00DA391F">
        <w:rPr>
          <w:rFonts w:ascii="Arial" w:hAnsi="Arial" w:cs="Arial"/>
          <w:bCs/>
          <w:strike/>
          <w:color w:val="C45911" w:themeColor="accent2" w:themeShade="BF"/>
          <w:sz w:val="22"/>
          <w:szCs w:val="22"/>
          <w:u w:val="single"/>
        </w:rPr>
        <w:t>CO</w:t>
      </w:r>
      <w:r w:rsidR="003051D0" w:rsidRPr="00DA391F">
        <w:rPr>
          <w:rFonts w:ascii="Arial" w:hAnsi="Arial" w:cs="Arial"/>
          <w:bCs/>
          <w:strike/>
          <w:color w:val="C45911" w:themeColor="accent2" w:themeShade="BF"/>
          <w:sz w:val="22"/>
          <w:szCs w:val="22"/>
          <w:u w:val="single"/>
          <w:vertAlign w:val="subscript"/>
        </w:rPr>
        <w:t>2</w:t>
      </w:r>
      <w:r w:rsidR="003051D0" w:rsidRPr="00DA391F">
        <w:rPr>
          <w:rFonts w:ascii="Arial" w:hAnsi="Arial" w:cs="Arial"/>
          <w:bCs/>
          <w:color w:val="C45911" w:themeColor="accent2" w:themeShade="BF"/>
          <w:sz w:val="22"/>
          <w:szCs w:val="22"/>
          <w:u w:val="single"/>
        </w:rPr>
        <w:t xml:space="preserve"> CO</w:t>
      </w:r>
      <w:r w:rsidR="003051D0" w:rsidRPr="00DA391F">
        <w:rPr>
          <w:rFonts w:ascii="Arial" w:hAnsi="Arial" w:cs="Arial"/>
          <w:bCs/>
          <w:color w:val="C45911" w:themeColor="accent2" w:themeShade="BF"/>
          <w:sz w:val="22"/>
          <w:szCs w:val="22"/>
          <w:u w:val="single"/>
          <w:vertAlign w:val="subscript"/>
        </w:rPr>
        <w:t>2</w:t>
      </w:r>
      <w:r w:rsidR="003051D0" w:rsidRPr="00DA391F">
        <w:rPr>
          <w:rFonts w:ascii="Arial" w:hAnsi="Arial" w:cs="Arial"/>
          <w:bCs/>
          <w:color w:val="C45911" w:themeColor="accent2" w:themeShade="BF"/>
          <w:sz w:val="22"/>
          <w:szCs w:val="22"/>
          <w:u w:val="single"/>
        </w:rPr>
        <w:t>e</w:t>
      </w:r>
      <w:r w:rsidRPr="003051D0">
        <w:rPr>
          <w:rFonts w:ascii="Arial" w:hAnsi="Arial" w:cs="Arial"/>
          <w:bCs/>
          <w:sz w:val="22"/>
          <w:szCs w:val="22"/>
        </w:rPr>
        <w:t xml:space="preserve"> Index Reference Home shall be identical to the Energy Rating Reference Home except that it shall use electricity for all energy end uses.</w:t>
      </w:r>
    </w:p>
    <w:p w14:paraId="08969C93" w14:textId="7B1E5366" w:rsidR="000D50A5" w:rsidRPr="002A5758" w:rsidRDefault="000D50A5" w:rsidP="000D50A5">
      <w:pPr>
        <w:pStyle w:val="ListParagraph"/>
        <w:numPr>
          <w:ilvl w:val="1"/>
          <w:numId w:val="6"/>
        </w:numPr>
        <w:spacing w:after="60"/>
        <w:ind w:left="900" w:hanging="540"/>
        <w:contextualSpacing/>
        <w:outlineLvl w:val="2"/>
        <w:rPr>
          <w:rFonts w:ascii="Arial" w:hAnsi="Arial" w:cs="Arial"/>
          <w:bCs/>
          <w:strike/>
          <w:color w:val="FF0000"/>
          <w:sz w:val="22"/>
          <w:szCs w:val="22"/>
          <w:u w:val="single"/>
        </w:rPr>
      </w:pPr>
      <w:r w:rsidRPr="002A5758">
        <w:rPr>
          <w:rFonts w:ascii="Arial" w:hAnsi="Arial" w:cs="Arial"/>
          <w:bCs/>
          <w:strike/>
          <w:color w:val="FF0000"/>
          <w:sz w:val="22"/>
          <w:szCs w:val="22"/>
          <w:u w:val="single"/>
        </w:rPr>
        <w:t>Where reported, the CO</w:t>
      </w:r>
      <w:r w:rsidRPr="002A5758">
        <w:rPr>
          <w:rFonts w:ascii="Arial" w:hAnsi="Arial" w:cs="Arial"/>
          <w:bCs/>
          <w:strike/>
          <w:color w:val="FF0000"/>
          <w:sz w:val="22"/>
          <w:szCs w:val="22"/>
          <w:u w:val="single"/>
          <w:vertAlign w:val="subscript"/>
        </w:rPr>
        <w:t>2</w:t>
      </w:r>
      <w:r w:rsidRPr="002A5758">
        <w:rPr>
          <w:rFonts w:ascii="Arial" w:hAnsi="Arial" w:cs="Arial"/>
          <w:bCs/>
          <w:strike/>
          <w:color w:val="FF0000"/>
          <w:sz w:val="22"/>
          <w:szCs w:val="22"/>
          <w:u w:val="single"/>
        </w:rPr>
        <w:t xml:space="preserve"> savings for the Rated Home shall be the CO</w:t>
      </w:r>
      <w:r w:rsidRPr="002A5758">
        <w:rPr>
          <w:rFonts w:ascii="Arial" w:hAnsi="Arial" w:cs="Arial"/>
          <w:bCs/>
          <w:strike/>
          <w:color w:val="FF0000"/>
          <w:sz w:val="22"/>
          <w:szCs w:val="22"/>
          <w:u w:val="single"/>
          <w:vertAlign w:val="subscript"/>
        </w:rPr>
        <w:t>2</w:t>
      </w:r>
      <w:r w:rsidRPr="002A5758">
        <w:rPr>
          <w:rFonts w:ascii="Arial" w:hAnsi="Arial" w:cs="Arial"/>
          <w:bCs/>
          <w:strike/>
          <w:color w:val="FF0000"/>
          <w:sz w:val="22"/>
          <w:szCs w:val="22"/>
          <w:u w:val="single"/>
        </w:rPr>
        <w:t xml:space="preserve"> emissions for the CO</w:t>
      </w:r>
      <w:r w:rsidRPr="002A5758">
        <w:rPr>
          <w:rFonts w:ascii="Arial" w:hAnsi="Arial" w:cs="Arial"/>
          <w:bCs/>
          <w:strike/>
          <w:color w:val="FF0000"/>
          <w:sz w:val="22"/>
          <w:szCs w:val="22"/>
          <w:u w:val="single"/>
          <w:vertAlign w:val="subscript"/>
        </w:rPr>
        <w:t>2</w:t>
      </w:r>
      <w:r w:rsidRPr="002A5758">
        <w:rPr>
          <w:rFonts w:ascii="Arial" w:hAnsi="Arial" w:cs="Arial"/>
          <w:bCs/>
          <w:strike/>
          <w:color w:val="FF0000"/>
          <w:sz w:val="22"/>
          <w:szCs w:val="22"/>
          <w:u w:val="single"/>
        </w:rPr>
        <w:t xml:space="preserve"> Index Reference Home minus the CO</w:t>
      </w:r>
      <w:r w:rsidRPr="002A5758">
        <w:rPr>
          <w:rFonts w:ascii="Arial" w:hAnsi="Arial" w:cs="Arial"/>
          <w:bCs/>
          <w:strike/>
          <w:color w:val="FF0000"/>
          <w:sz w:val="22"/>
          <w:szCs w:val="22"/>
          <w:u w:val="single"/>
          <w:vertAlign w:val="subscript"/>
        </w:rPr>
        <w:t>2</w:t>
      </w:r>
      <w:r w:rsidRPr="002A5758">
        <w:rPr>
          <w:rFonts w:ascii="Arial" w:hAnsi="Arial" w:cs="Arial"/>
          <w:bCs/>
          <w:strike/>
          <w:color w:val="FF0000"/>
          <w:sz w:val="22"/>
          <w:szCs w:val="22"/>
          <w:u w:val="single"/>
        </w:rPr>
        <w:t xml:space="preserve"> emissions for the Rated Home.</w:t>
      </w:r>
    </w:p>
    <w:p w14:paraId="15016C5A" w14:textId="77777777" w:rsidR="000D50A5" w:rsidRPr="000D50A5" w:rsidRDefault="000D50A5" w:rsidP="000D50A5">
      <w:pPr>
        <w:rPr>
          <w:rFonts w:ascii="Arial" w:hAnsi="Arial" w:cs="Arial"/>
        </w:rPr>
      </w:pPr>
    </w:p>
    <w:p w14:paraId="72A66DF7" w14:textId="77777777" w:rsidR="000D50A5" w:rsidRPr="000D50A5" w:rsidRDefault="000D50A5" w:rsidP="000D50A5">
      <w:pPr>
        <w:rPr>
          <w:rFonts w:ascii="Arial" w:eastAsiaTheme="majorEastAsia" w:hAnsi="Arial" w:cs="Arial"/>
        </w:rPr>
      </w:pPr>
    </w:p>
    <w:p w14:paraId="3519F1DD" w14:textId="72E96680" w:rsidR="000D50A5" w:rsidRPr="000D50A5" w:rsidRDefault="000D50A5" w:rsidP="000D50A5">
      <w:pPr>
        <w:spacing w:after="200" w:line="276" w:lineRule="auto"/>
        <w:rPr>
          <w:rFonts w:ascii="Arial" w:hAnsi="Arial" w:cs="Arial"/>
        </w:rPr>
      </w:pPr>
      <w:bookmarkStart w:id="13" w:name="_Toc443655395"/>
      <w:bookmarkStart w:id="14" w:name="_Toc505772477"/>
      <w:r w:rsidRPr="003051D0">
        <w:rPr>
          <w:rStyle w:val="Heading1Char1"/>
          <w:rFonts w:ascii="Arial" w:hAnsi="Arial" w:cs="Arial"/>
          <w:sz w:val="22"/>
          <w:szCs w:val="22"/>
        </w:rPr>
        <w:t>9.</w:t>
      </w:r>
      <w:r w:rsidRPr="000D50A5">
        <w:rPr>
          <w:rStyle w:val="Heading1Char1"/>
          <w:rFonts w:ascii="Arial" w:hAnsi="Arial" w:cs="Arial"/>
          <w:sz w:val="22"/>
          <w:szCs w:val="22"/>
        </w:rPr>
        <w:t xml:space="preserve">   Normative </w:t>
      </w:r>
      <w:bookmarkEnd w:id="13"/>
      <w:r w:rsidRPr="000D50A5">
        <w:rPr>
          <w:rStyle w:val="Heading1Char1"/>
          <w:rFonts w:ascii="Arial" w:hAnsi="Arial" w:cs="Arial"/>
          <w:sz w:val="22"/>
          <w:szCs w:val="22"/>
        </w:rPr>
        <w:t>References</w:t>
      </w:r>
      <w:bookmarkEnd w:id="14"/>
      <w:r w:rsidRPr="000D50A5">
        <w:rPr>
          <w:rFonts w:ascii="Arial" w:hAnsi="Arial" w:cs="Arial"/>
          <w:b/>
        </w:rPr>
        <w:t>.</w:t>
      </w:r>
    </w:p>
    <w:p w14:paraId="65437D62" w14:textId="36CC7D49" w:rsidR="000D50A5" w:rsidRPr="00A440B3" w:rsidRDefault="000D50A5">
      <w:pPr>
        <w:rPr>
          <w:rFonts w:ascii="Arial" w:hAnsi="Arial" w:cs="Arial"/>
        </w:rPr>
      </w:pPr>
      <w:r w:rsidRPr="00A440B3">
        <w:rPr>
          <w:rFonts w:ascii="Arial" w:hAnsi="Arial" w:cs="Arial"/>
        </w:rPr>
        <w:t xml:space="preserve">ANSI/RESNET/ICC </w:t>
      </w:r>
      <w:r w:rsidRPr="002A5758">
        <w:rPr>
          <w:rFonts w:ascii="Arial" w:hAnsi="Arial" w:cs="Arial"/>
          <w:strike/>
          <w:color w:val="FF0000"/>
        </w:rPr>
        <w:t>380-2019</w:t>
      </w:r>
      <w:r w:rsidRPr="002A5758">
        <w:rPr>
          <w:rFonts w:ascii="Arial" w:hAnsi="Arial" w:cs="Arial"/>
          <w:color w:val="FF0000"/>
          <w:u w:val="single"/>
        </w:rPr>
        <w:t>380-2022</w:t>
      </w:r>
      <w:r w:rsidRPr="00A440B3">
        <w:rPr>
          <w:rFonts w:ascii="Arial" w:hAnsi="Arial" w:cs="Arial"/>
        </w:rPr>
        <w:t xml:space="preserve">, </w:t>
      </w:r>
      <w:r w:rsidR="00A440B3" w:rsidRPr="00A440B3">
        <w:rPr>
          <w:rFonts w:ascii="Arial" w:hAnsi="Arial" w:cs="Arial"/>
        </w:rPr>
        <w:t>“Standard for Testing Airtightness of Building, Dwelling Unit, and Sleeping Unit Enclosures; Airtightness of Heating and Cooling Air Distribution Systems; and Airflow of Mechanical Ventilation Systems” and ANSI Approved Addenda. Residential Energy Services Network, Oceanside, CA.</w:t>
      </w:r>
    </w:p>
    <w:p w14:paraId="5DEF3DB2" w14:textId="77777777" w:rsidR="00A440B3" w:rsidRPr="000D50A5" w:rsidRDefault="00A440B3">
      <w:pPr>
        <w:rPr>
          <w:rFonts w:ascii="Arial" w:hAnsi="Arial" w:cs="Arial"/>
        </w:rPr>
      </w:pPr>
    </w:p>
    <w:sectPr w:rsidR="00A440B3" w:rsidRPr="000D50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E21D" w14:textId="77777777" w:rsidR="00C82D9D" w:rsidRDefault="00C82D9D" w:rsidP="001E3B10">
      <w:pPr>
        <w:spacing w:after="0" w:line="240" w:lineRule="auto"/>
      </w:pPr>
      <w:r>
        <w:separator/>
      </w:r>
    </w:p>
  </w:endnote>
  <w:endnote w:type="continuationSeparator" w:id="0">
    <w:p w14:paraId="09132ED0" w14:textId="77777777" w:rsidR="00C82D9D" w:rsidRDefault="00C82D9D" w:rsidP="001E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6E5D" w14:textId="77777777" w:rsidR="00C82D9D" w:rsidRDefault="00C82D9D" w:rsidP="001E3B10">
      <w:pPr>
        <w:spacing w:after="0" w:line="240" w:lineRule="auto"/>
      </w:pPr>
      <w:r>
        <w:separator/>
      </w:r>
    </w:p>
  </w:footnote>
  <w:footnote w:type="continuationSeparator" w:id="0">
    <w:p w14:paraId="1E6050E2" w14:textId="77777777" w:rsidR="00C82D9D" w:rsidRDefault="00C82D9D" w:rsidP="001E3B10">
      <w:pPr>
        <w:spacing w:after="0" w:line="240" w:lineRule="auto"/>
      </w:pPr>
      <w:r>
        <w:continuationSeparator/>
      </w:r>
    </w:p>
  </w:footnote>
  <w:footnote w:id="1">
    <w:p w14:paraId="04D4DA7C" w14:textId="77777777" w:rsidR="00B058A8" w:rsidRPr="00B058A8" w:rsidRDefault="00B058A8" w:rsidP="00B058A8">
      <w:pPr>
        <w:pStyle w:val="FootnoteText"/>
        <w:rPr>
          <w:rFonts w:ascii="Arial" w:hAnsi="Arial" w:cs="Arial"/>
        </w:rPr>
      </w:pPr>
      <w:r w:rsidRPr="00B058A8">
        <w:rPr>
          <w:rStyle w:val="FootnoteReference"/>
          <w:rFonts w:ascii="Arial" w:hAnsi="Arial" w:cs="Arial"/>
        </w:rPr>
        <w:footnoteRef/>
      </w:r>
      <w:r w:rsidRPr="00B058A8">
        <w:rPr>
          <w:rFonts w:ascii="Arial" w:hAnsi="Arial" w:cs="Arial"/>
        </w:rPr>
        <w:t xml:space="preserve"> (Informative Reference) http://www.epa.gov/cleanenergy/energy-resources/egrid/index.html</w:t>
      </w:r>
    </w:p>
  </w:footnote>
  <w:footnote w:id="2">
    <w:p w14:paraId="74CE86CF" w14:textId="339F518B" w:rsidR="00B058A8" w:rsidRPr="00B058A8" w:rsidRDefault="00B058A8" w:rsidP="00B058A8">
      <w:pPr>
        <w:pStyle w:val="FootnoteText"/>
        <w:rPr>
          <w:rFonts w:ascii="Arial" w:hAnsi="Arial" w:cs="Arial"/>
        </w:rPr>
      </w:pPr>
      <w:r w:rsidRPr="00B058A8">
        <w:rPr>
          <w:rStyle w:val="FootnoteReference"/>
          <w:rFonts w:ascii="Arial" w:hAnsi="Arial" w:cs="Arial"/>
        </w:rPr>
        <w:footnoteRef/>
      </w:r>
      <w:r w:rsidRPr="00B058A8">
        <w:rPr>
          <w:rFonts w:ascii="Arial" w:hAnsi="Arial" w:cs="Arial"/>
        </w:rPr>
        <w:t xml:space="preserve"> (Informative Note) RESNET will compile and publish annual total </w:t>
      </w:r>
      <w:r w:rsidRPr="003E39CC">
        <w:rPr>
          <w:rFonts w:ascii="Arial" w:hAnsi="Arial" w:cs="Arial"/>
        </w:rPr>
        <w:t>output emission</w:t>
      </w:r>
      <w:r w:rsidRPr="00B058A8">
        <w:rPr>
          <w:rFonts w:ascii="Arial" w:hAnsi="Arial" w:cs="Arial"/>
        </w:rPr>
        <w:t xml:space="preserve"> rate data for NOx, SO</w:t>
      </w:r>
      <w:r w:rsidRPr="00B058A8">
        <w:rPr>
          <w:rFonts w:ascii="Arial" w:hAnsi="Arial" w:cs="Arial"/>
          <w:vertAlign w:val="subscript"/>
        </w:rPr>
        <w:t>2</w:t>
      </w:r>
      <w:r w:rsidRPr="00B058A8">
        <w:rPr>
          <w:rFonts w:ascii="Arial" w:hAnsi="Arial" w:cs="Arial"/>
        </w:rPr>
        <w:t xml:space="preserve"> and </w:t>
      </w:r>
      <w:r w:rsidRPr="00CE2C05">
        <w:rPr>
          <w:rFonts w:ascii="Arial" w:hAnsi="Arial" w:cs="Arial"/>
          <w:strike/>
          <w:color w:val="FF0000"/>
        </w:rPr>
        <w:t>CO</w:t>
      </w:r>
      <w:r w:rsidRPr="00CE2C05">
        <w:rPr>
          <w:rFonts w:ascii="Arial" w:hAnsi="Arial" w:cs="Arial"/>
          <w:strike/>
          <w:color w:val="FF0000"/>
          <w:vertAlign w:val="subscript"/>
        </w:rPr>
        <w:t>2</w:t>
      </w:r>
      <w:r w:rsidRPr="00CE2C05">
        <w:rPr>
          <w:rFonts w:ascii="Arial" w:hAnsi="Arial" w:cs="Arial"/>
          <w:color w:val="FF0000"/>
        </w:rPr>
        <w:t>CO</w:t>
      </w:r>
      <w:r w:rsidRPr="00CE2C05">
        <w:rPr>
          <w:rFonts w:ascii="Arial" w:hAnsi="Arial" w:cs="Arial"/>
          <w:color w:val="FF0000"/>
          <w:vertAlign w:val="subscript"/>
        </w:rPr>
        <w:t>2e</w:t>
      </w:r>
      <w:r w:rsidRPr="00B058A8">
        <w:rPr>
          <w:rFonts w:ascii="Arial" w:hAnsi="Arial" w:cs="Arial"/>
          <w:color w:val="538135" w:themeColor="accent6" w:themeShade="BF"/>
        </w:rPr>
        <w:t xml:space="preserve"> </w:t>
      </w:r>
      <w:r w:rsidRPr="00B058A8">
        <w:rPr>
          <w:rFonts w:ascii="Arial" w:hAnsi="Arial" w:cs="Arial"/>
        </w:rPr>
        <w:t>in accordance with the provisions of this section that can be used by Approved Software Rating Tools for the calculation of emissions.</w:t>
      </w:r>
    </w:p>
  </w:footnote>
  <w:footnote w:id="3">
    <w:p w14:paraId="3216A325" w14:textId="77777777" w:rsidR="00B058A8" w:rsidRPr="00CE2C05" w:rsidRDefault="00B058A8" w:rsidP="00B058A8">
      <w:pPr>
        <w:pStyle w:val="FootnoteText"/>
        <w:rPr>
          <w:rFonts w:ascii="Arial" w:hAnsi="Arial" w:cs="Arial"/>
          <w:strike/>
          <w:color w:val="FF0000"/>
        </w:rPr>
      </w:pPr>
      <w:r w:rsidRPr="00CE2C05">
        <w:rPr>
          <w:rStyle w:val="FootnoteReference"/>
          <w:rFonts w:ascii="Arial" w:hAnsi="Arial" w:cs="Arial"/>
          <w:strike/>
          <w:color w:val="FF0000"/>
          <w:u w:val="single"/>
        </w:rPr>
        <w:footnoteRef/>
      </w:r>
      <w:r w:rsidRPr="00CE2C05">
        <w:rPr>
          <w:rFonts w:ascii="Arial" w:hAnsi="Arial" w:cs="Arial"/>
          <w:strike/>
          <w:color w:val="FF0000"/>
        </w:rPr>
        <w:t xml:space="preserve"> </w:t>
      </w:r>
      <w:hyperlink r:id="rId1" w:history="1">
        <w:r w:rsidRPr="00CE2C05">
          <w:rPr>
            <w:rStyle w:val="Hyperlink"/>
            <w:rFonts w:ascii="Arial" w:hAnsi="Arial" w:cs="Arial"/>
            <w:strike/>
            <w:color w:val="FF0000"/>
          </w:rPr>
          <w:t>https://cambium.nrel.gov/</w:t>
        </w:r>
      </w:hyperlink>
    </w:p>
  </w:footnote>
  <w:footnote w:id="4">
    <w:p w14:paraId="297D844E" w14:textId="77777777" w:rsidR="00B058A8" w:rsidRPr="00B058A8" w:rsidRDefault="00B058A8" w:rsidP="00B058A8">
      <w:pPr>
        <w:pStyle w:val="FootnoteText"/>
        <w:rPr>
          <w:rFonts w:ascii="Arial" w:hAnsi="Arial" w:cs="Arial"/>
          <w:strike/>
          <w:color w:val="538135" w:themeColor="accent6" w:themeShade="BF"/>
        </w:rPr>
      </w:pPr>
      <w:r w:rsidRPr="00CE2C05">
        <w:rPr>
          <w:rStyle w:val="FootnoteReference"/>
          <w:rFonts w:ascii="Arial" w:hAnsi="Arial" w:cs="Arial"/>
          <w:strike/>
          <w:color w:val="FF0000"/>
          <w:u w:val="single"/>
        </w:rPr>
        <w:footnoteRef/>
      </w:r>
      <w:r w:rsidRPr="00CE2C05">
        <w:rPr>
          <w:rFonts w:ascii="Arial" w:hAnsi="Arial" w:cs="Arial"/>
          <w:strike/>
          <w:color w:val="FF0000"/>
        </w:rPr>
        <w:t xml:space="preserve"> </w:t>
      </w:r>
      <w:r w:rsidRPr="00CE2C05">
        <w:rPr>
          <w:rFonts w:ascii="Arial" w:hAnsi="Arial" w:cs="Arial"/>
          <w:strike/>
          <w:color w:val="FF0000"/>
          <w:u w:val="single"/>
        </w:rPr>
        <w:t xml:space="preserve">Gagnon, Pieter, Will Frazier, Elaine Hale, and Wesley Cole, 2020. “Cambium Documentation: Version 2020.” Golden, CO: National Renewable Energy Laboratory. NREL/TP-6A20-78239. </w:t>
      </w:r>
      <w:hyperlink r:id="rId2" w:history="1">
        <w:r w:rsidRPr="00CE2C05">
          <w:rPr>
            <w:rStyle w:val="Hyperlink"/>
            <w:rFonts w:ascii="Arial" w:hAnsi="Arial" w:cs="Arial"/>
            <w:strike/>
            <w:color w:val="FF0000"/>
          </w:rPr>
          <w:t>https://www.nrel.gov/docs/fy21osti/78239.pdf</w:t>
        </w:r>
      </w:hyperlink>
    </w:p>
  </w:footnote>
  <w:footnote w:id="5">
    <w:p w14:paraId="4F497136" w14:textId="284EECB1" w:rsidR="00B058A8" w:rsidRPr="00B058A8" w:rsidRDefault="00B058A8" w:rsidP="00B058A8">
      <w:pPr>
        <w:pStyle w:val="FootnoteText"/>
        <w:rPr>
          <w:rFonts w:ascii="Arial" w:hAnsi="Arial" w:cs="Arial"/>
        </w:rPr>
      </w:pPr>
      <w:r w:rsidRPr="00B058A8">
        <w:rPr>
          <w:rStyle w:val="FootnoteReference"/>
          <w:rFonts w:ascii="Arial" w:hAnsi="Arial" w:cs="Arial"/>
        </w:rPr>
        <w:footnoteRef/>
      </w:r>
      <w:r w:rsidRPr="00B058A8">
        <w:rPr>
          <w:rFonts w:ascii="Arial" w:hAnsi="Arial" w:cs="Arial"/>
        </w:rPr>
        <w:t xml:space="preserve"> (Informative Note) Developed from the U.S. </w:t>
      </w:r>
      <w:r w:rsidRPr="003E39CC">
        <w:rPr>
          <w:rFonts w:ascii="Arial" w:hAnsi="Arial" w:cs="Arial"/>
        </w:rPr>
        <w:t>EPA AP 42, Fifth Edition Compilation of Air Pollutant Emissions Factors, Volume 1, Chapter 1: External Combustion Sources.</w:t>
      </w:r>
      <w:r w:rsidRPr="003E39CC">
        <w:rPr>
          <w:rFonts w:ascii="Arial" w:hAnsi="Arial" w:cs="Arial"/>
          <w:u w:val="single"/>
        </w:rPr>
        <w:t xml:space="preserve"> </w:t>
      </w:r>
      <w:hyperlink r:id="rId3" w:history="1">
        <w:r w:rsidRPr="00CE2C05">
          <w:rPr>
            <w:rStyle w:val="Hyperlink"/>
            <w:rFonts w:ascii="Arial" w:hAnsi="Arial" w:cs="Arial"/>
            <w:color w:val="FF0000"/>
          </w:rPr>
          <w:t>https://www.epa.gov/air-emissions-factors-and-quantification/ap-42-fifth-edition-volume-i-chapter-1-external-0</w:t>
        </w:r>
      </w:hyperlink>
      <w:r w:rsidRPr="00B058A8">
        <w:rPr>
          <w:rFonts w:ascii="Arial" w:hAnsi="Arial" w:cs="Arial"/>
        </w:rPr>
        <w:t xml:space="preserve"> </w:t>
      </w:r>
    </w:p>
  </w:footnote>
  <w:footnote w:id="6">
    <w:p w14:paraId="33B604F4" w14:textId="77777777" w:rsidR="000D50A5" w:rsidRDefault="000D50A5" w:rsidP="000D50A5">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7">
    <w:p w14:paraId="68E8C9F2" w14:textId="77777777" w:rsidR="000D50A5" w:rsidRPr="000D50A5" w:rsidRDefault="000D50A5" w:rsidP="000D50A5">
      <w:pPr>
        <w:pStyle w:val="FootnoteText"/>
        <w:rPr>
          <w:rFonts w:ascii="Arial" w:hAnsi="Arial" w:cs="Arial"/>
          <w:color w:val="0070C0"/>
          <w:u w:val="single"/>
        </w:rPr>
      </w:pPr>
      <w:r w:rsidRPr="003051D0">
        <w:rPr>
          <w:rStyle w:val="FootnoteReference"/>
          <w:rFonts w:ascii="Arial" w:hAnsi="Arial" w:cs="Arial"/>
        </w:rPr>
        <w:footnoteRef/>
      </w:r>
      <w:r w:rsidRPr="003051D0">
        <w:rPr>
          <w:rFonts w:ascii="Arial" w:hAnsi="Arial" w:cs="Arial"/>
        </w:rPr>
        <w:t xml:space="preserve"> </w:t>
      </w:r>
      <w:r w:rsidRPr="002A5758">
        <w:rPr>
          <w:rFonts w:ascii="Arial" w:hAnsi="Arial" w:cs="Arial"/>
          <w:color w:val="FF0000"/>
          <w:u w:val="single"/>
        </w:rPr>
        <w:t xml:space="preserve">(Normative Note) </w:t>
      </w:r>
      <w:hyperlink r:id="rId4" w:history="1">
        <w:r w:rsidRPr="000D50A5">
          <w:rPr>
            <w:rStyle w:val="Hyperlink"/>
            <w:rFonts w:ascii="Arial" w:hAnsi="Arial" w:cs="Arial"/>
            <w:color w:val="0070C0"/>
          </w:rPr>
          <w:t>https://cambium.nrel.gov/</w:t>
        </w:r>
      </w:hyperlink>
      <w:r w:rsidRPr="000D50A5">
        <w:rPr>
          <w:rFonts w:ascii="Arial" w:hAnsi="Arial" w:cs="Arial"/>
          <w:color w:val="0070C0"/>
          <w:u w:val="single"/>
        </w:rPr>
        <w:t xml:space="preserve">  </w:t>
      </w:r>
    </w:p>
  </w:footnote>
  <w:footnote w:id="8">
    <w:p w14:paraId="459849CA" w14:textId="77777777" w:rsidR="000D50A5" w:rsidRPr="000D50A5" w:rsidRDefault="000D50A5" w:rsidP="000D50A5">
      <w:pPr>
        <w:pStyle w:val="FootnoteText"/>
        <w:rPr>
          <w:rFonts w:ascii="Arial" w:hAnsi="Arial" w:cs="Arial"/>
          <w:color w:val="0070C0"/>
        </w:rPr>
      </w:pPr>
      <w:r w:rsidRPr="003051D0">
        <w:rPr>
          <w:rStyle w:val="FootnoteReference"/>
          <w:rFonts w:ascii="Arial" w:hAnsi="Arial" w:cs="Arial"/>
        </w:rPr>
        <w:footnoteRef/>
      </w:r>
      <w:r w:rsidRPr="003051D0">
        <w:rPr>
          <w:rFonts w:ascii="Arial" w:hAnsi="Arial" w:cs="Arial"/>
        </w:rPr>
        <w:t xml:space="preserve"> </w:t>
      </w:r>
      <w:r w:rsidRPr="002A5758">
        <w:rPr>
          <w:rFonts w:ascii="Arial" w:hAnsi="Arial" w:cs="Arial"/>
          <w:color w:val="FF0000"/>
          <w:u w:val="single"/>
        </w:rPr>
        <w:t>(Normative Note)</w:t>
      </w:r>
      <w:r w:rsidRPr="002A5758">
        <w:rPr>
          <w:rFonts w:ascii="Arial" w:hAnsi="Arial" w:cs="Arial"/>
          <w:color w:val="FF0000"/>
        </w:rPr>
        <w:t xml:space="preserve"> </w:t>
      </w:r>
      <w:r w:rsidRPr="003051D0">
        <w:rPr>
          <w:rFonts w:ascii="Arial" w:hAnsi="Arial" w:cs="Arial"/>
        </w:rPr>
        <w:t xml:space="preserve">Gagnon, Pieter; Frazier, Will; Hale, Elaine, Cole, Wesley (2022): Long-run Marginal Emission Rates for Electricity - Workbooks for 2021 Cambium Data. National Renewable Energy Laboratory, Golden, CO. </w:t>
      </w:r>
      <w:hyperlink r:id="rId5" w:history="1">
        <w:r w:rsidRPr="000D50A5">
          <w:rPr>
            <w:rStyle w:val="Hyperlink"/>
            <w:rFonts w:ascii="Arial" w:hAnsi="Arial" w:cs="Arial"/>
            <w:color w:val="0070C0"/>
          </w:rPr>
          <w:t>https://data.nrel.gov/submissions/183</w:t>
        </w:r>
      </w:hyperlink>
      <w:r w:rsidRPr="000D50A5">
        <w:rPr>
          <w:rFonts w:ascii="Arial" w:hAnsi="Arial" w:cs="Arial"/>
          <w:color w:val="0070C0"/>
          <w:u w:val="single"/>
        </w:rPr>
        <w:t xml:space="preserve">   </w:t>
      </w:r>
    </w:p>
  </w:footnote>
  <w:footnote w:id="9">
    <w:p w14:paraId="7E53B467" w14:textId="77777777" w:rsidR="000D50A5" w:rsidRPr="003051D0" w:rsidRDefault="000D50A5" w:rsidP="000D50A5">
      <w:pPr>
        <w:pStyle w:val="FootnoteText"/>
        <w:rPr>
          <w:rFonts w:ascii="Arial" w:hAnsi="Arial" w:cs="Arial"/>
        </w:rPr>
      </w:pPr>
      <w:r w:rsidRPr="003051D0">
        <w:rPr>
          <w:rStyle w:val="FootnoteReference"/>
          <w:rFonts w:ascii="Arial" w:hAnsi="Arial" w:cs="Arial"/>
        </w:rPr>
        <w:footnoteRef/>
      </w:r>
      <w:r w:rsidRPr="003051D0">
        <w:rPr>
          <w:rFonts w:ascii="Arial" w:hAnsi="Arial" w:cs="Arial"/>
        </w:rPr>
        <w:t xml:space="preserve"> (Informative note) National Renewable Energy Laboratory (NREL) provides a spreadsheet tool for the calculation of levelized CO</w:t>
      </w:r>
      <w:r w:rsidRPr="003051D0">
        <w:rPr>
          <w:rFonts w:ascii="Arial" w:hAnsi="Arial" w:cs="Arial"/>
          <w:vertAlign w:val="subscript"/>
        </w:rPr>
        <w:t>2e</w:t>
      </w:r>
      <w:r w:rsidRPr="003051D0">
        <w:rPr>
          <w:rFonts w:ascii="Arial" w:hAnsi="Arial" w:cs="Arial"/>
        </w:rPr>
        <w:t xml:space="preserve"> emission rates that can be accessed at https://data.nrel.gov/submissions/183.   </w:t>
      </w:r>
    </w:p>
  </w:footnote>
  <w:footnote w:id="10">
    <w:p w14:paraId="6C3CD471" w14:textId="77777777" w:rsidR="000D50A5" w:rsidRPr="003051D0" w:rsidRDefault="000D50A5" w:rsidP="000D50A5">
      <w:pPr>
        <w:pStyle w:val="FootnoteText"/>
        <w:rPr>
          <w:rFonts w:ascii="Arial" w:hAnsi="Arial" w:cs="Arial"/>
        </w:rPr>
      </w:pPr>
      <w:r w:rsidRPr="003051D0">
        <w:rPr>
          <w:rStyle w:val="FootnoteReference"/>
          <w:rFonts w:ascii="Arial" w:hAnsi="Arial" w:cs="Arial"/>
        </w:rPr>
        <w:footnoteRef/>
      </w:r>
      <w:r w:rsidRPr="003051D0">
        <w:rPr>
          <w:rFonts w:ascii="Arial" w:hAnsi="Arial" w:cs="Arial"/>
        </w:rPr>
        <w:t xml:space="preserve"> (Informative Note) RESNET provides a spreadsheet of the hourly emission factors and ZIP code mappings that meet these criteria that can be accessed at </w:t>
      </w:r>
      <w:hyperlink r:id="rId6" w:history="1">
        <w:r w:rsidRPr="003051D0">
          <w:rPr>
            <w:rStyle w:val="Hyperlink"/>
            <w:rFonts w:ascii="Arial" w:hAnsi="Arial" w:cs="Arial"/>
            <w:color w:val="auto"/>
            <w:u w:val="none"/>
          </w:rPr>
          <w:t>https://www.resnet.us/wp-content/uploads/RESNET_2021_CO</w:t>
        </w:r>
        <w:r w:rsidRPr="003051D0">
          <w:rPr>
            <w:rStyle w:val="Hyperlink"/>
            <w:rFonts w:ascii="Arial" w:hAnsi="Arial" w:cs="Arial"/>
            <w:color w:val="auto"/>
            <w:u w:val="none"/>
            <w:vertAlign w:val="subscript"/>
          </w:rPr>
          <w:t>2e</w:t>
        </w:r>
        <w:r w:rsidRPr="003051D0">
          <w:rPr>
            <w:rStyle w:val="Hyperlink"/>
            <w:rFonts w:ascii="Arial" w:hAnsi="Arial" w:cs="Arial"/>
            <w:color w:val="auto"/>
            <w:u w:val="none"/>
          </w:rPr>
          <w:t>_GEAdata.xlsx</w:t>
        </w:r>
      </w:hyperlink>
      <w:r w:rsidRPr="003051D0">
        <w:rPr>
          <w:rFonts w:ascii="Arial" w:hAnsi="Arial" w:cs="Arial"/>
        </w:rPr>
        <w:t>.</w:t>
      </w:r>
    </w:p>
  </w:footnote>
  <w:footnote w:id="11">
    <w:p w14:paraId="74AEEB28" w14:textId="77777777" w:rsidR="000D50A5" w:rsidRPr="000D50A5" w:rsidRDefault="000D50A5" w:rsidP="000D50A5">
      <w:pPr>
        <w:pStyle w:val="FootnoteText"/>
        <w:rPr>
          <w:rFonts w:ascii="Arial" w:hAnsi="Arial" w:cs="Arial"/>
        </w:rPr>
      </w:pPr>
      <w:r w:rsidRPr="003051D0">
        <w:rPr>
          <w:rStyle w:val="FootnoteReference"/>
          <w:rFonts w:ascii="Arial" w:hAnsi="Arial" w:cs="Arial"/>
        </w:rPr>
        <w:footnoteRef/>
      </w:r>
      <w:r w:rsidRPr="003051D0">
        <w:rPr>
          <w:rFonts w:ascii="Arial" w:hAnsi="Arial" w:cs="Arial"/>
        </w:rPr>
        <w:t xml:space="preserve"> (Informative Note) These Cambium CO</w:t>
      </w:r>
      <w:r w:rsidRPr="003051D0">
        <w:rPr>
          <w:rFonts w:ascii="Arial" w:hAnsi="Arial" w:cs="Arial"/>
          <w:vertAlign w:val="subscript"/>
        </w:rPr>
        <w:t>2</w:t>
      </w:r>
      <w:r w:rsidRPr="003051D0">
        <w:rPr>
          <w:rFonts w:ascii="Arial" w:hAnsi="Arial" w:cs="Arial"/>
        </w:rPr>
        <w:t>e emission data are provided in units of kg/MWh.</w:t>
      </w:r>
    </w:p>
  </w:footnote>
  <w:footnote w:id="12">
    <w:p w14:paraId="75806453" w14:textId="77777777" w:rsidR="000D50A5" w:rsidRPr="002A5758" w:rsidRDefault="000D50A5" w:rsidP="000D50A5">
      <w:pPr>
        <w:pStyle w:val="FootnoteText"/>
        <w:rPr>
          <w:rFonts w:ascii="Arial" w:hAnsi="Arial" w:cs="Arial"/>
          <w:strike/>
          <w:color w:val="FF0000"/>
          <w:u w:val="single"/>
        </w:rPr>
      </w:pPr>
      <w:r w:rsidRPr="002A5758">
        <w:rPr>
          <w:rStyle w:val="FootnoteReference"/>
          <w:rFonts w:ascii="Arial" w:hAnsi="Arial" w:cs="Arial"/>
          <w:strike/>
          <w:color w:val="FF0000"/>
          <w:u w:val="single"/>
        </w:rPr>
        <w:footnoteRef/>
      </w:r>
      <w:r w:rsidRPr="002A5758">
        <w:rPr>
          <w:rFonts w:ascii="Arial" w:hAnsi="Arial" w:cs="Arial"/>
          <w:strike/>
          <w:color w:val="FF0000"/>
          <w:u w:val="single"/>
        </w:rPr>
        <w:t xml:space="preserve"> </w:t>
      </w:r>
      <w:hyperlink r:id="rId7" w:history="1">
        <w:r w:rsidRPr="002A5758">
          <w:rPr>
            <w:rStyle w:val="Hyperlink"/>
            <w:rFonts w:ascii="Arial" w:hAnsi="Arial" w:cs="Arial"/>
            <w:strike/>
            <w:color w:val="FF0000"/>
          </w:rPr>
          <w:t>https://cambium.nrel.gov/</w:t>
        </w:r>
      </w:hyperlink>
      <w:r w:rsidRPr="002A5758">
        <w:rPr>
          <w:rFonts w:ascii="Arial" w:hAnsi="Arial" w:cs="Arial"/>
          <w:strike/>
          <w:color w:val="FF0000"/>
          <w:u w:val="single"/>
        </w:rPr>
        <w:t xml:space="preserve">  </w:t>
      </w:r>
    </w:p>
  </w:footnote>
  <w:footnote w:id="13">
    <w:p w14:paraId="5995BBA9" w14:textId="77777777" w:rsidR="000D50A5" w:rsidRPr="002A5758" w:rsidRDefault="000D50A5" w:rsidP="000D50A5">
      <w:pPr>
        <w:pStyle w:val="FootnoteText"/>
        <w:rPr>
          <w:rFonts w:ascii="Arial" w:hAnsi="Arial" w:cs="Arial"/>
          <w:strike/>
          <w:color w:val="FF0000"/>
        </w:rPr>
      </w:pPr>
      <w:r w:rsidRPr="002A5758">
        <w:rPr>
          <w:rStyle w:val="FootnoteReference"/>
          <w:rFonts w:ascii="Arial" w:hAnsi="Arial" w:cs="Arial"/>
          <w:strike/>
          <w:color w:val="FF0000"/>
          <w:u w:val="single"/>
        </w:rPr>
        <w:footnoteRef/>
      </w:r>
      <w:r w:rsidRPr="002A5758">
        <w:rPr>
          <w:rFonts w:ascii="Arial" w:hAnsi="Arial" w:cs="Arial"/>
          <w:strike/>
          <w:color w:val="FF0000"/>
          <w:u w:val="single"/>
        </w:rPr>
        <w:t xml:space="preserve"> Gagnon, Pieter, Will Frazier, Elaine Hale, and Wesley Cole, 2020. “Cambium Documentation: Version 2020.” Golden, CO: National Renewable Energy Laboratory. NREL/TP-6A20-78239. </w:t>
      </w:r>
      <w:hyperlink r:id="rId8" w:history="1">
        <w:r w:rsidRPr="002A5758">
          <w:rPr>
            <w:rStyle w:val="Hyperlink"/>
            <w:rFonts w:ascii="Arial" w:hAnsi="Arial" w:cs="Arial"/>
            <w:strike/>
            <w:color w:val="FF0000"/>
          </w:rPr>
          <w:t>https://www.nrel.gov/docs/fy21osti/78239.pdf</w:t>
        </w:r>
      </w:hyperlink>
      <w:r w:rsidRPr="002A5758">
        <w:rPr>
          <w:rFonts w:ascii="Arial" w:hAnsi="Arial" w:cs="Arial"/>
          <w:strike/>
          <w:color w:val="FF0000"/>
          <w:u w:val="single"/>
        </w:rPr>
        <w:t xml:space="preserve">  </w:t>
      </w:r>
    </w:p>
  </w:footnote>
  <w:footnote w:id="14">
    <w:p w14:paraId="604D37CE" w14:textId="77777777" w:rsidR="000D50A5" w:rsidRPr="000D50A5" w:rsidRDefault="000D50A5" w:rsidP="000D50A5">
      <w:pPr>
        <w:pStyle w:val="FootnoteText"/>
        <w:rPr>
          <w:rFonts w:ascii="Arial" w:hAnsi="Arial" w:cs="Arial"/>
          <w:color w:val="FF0000"/>
          <w:u w:val="single"/>
        </w:rPr>
      </w:pPr>
      <w:r w:rsidRPr="002A5758">
        <w:rPr>
          <w:rStyle w:val="FootnoteReference"/>
          <w:rFonts w:ascii="Arial" w:hAnsi="Arial" w:cs="Arial"/>
          <w:strike/>
          <w:color w:val="FF0000"/>
          <w:u w:val="single"/>
        </w:rPr>
        <w:footnoteRef/>
      </w:r>
      <w:r w:rsidRPr="002A5758">
        <w:rPr>
          <w:rFonts w:ascii="Arial" w:hAnsi="Arial" w:cs="Arial"/>
          <w:strike/>
          <w:color w:val="FF0000"/>
          <w:u w:val="single"/>
        </w:rPr>
        <w:t xml:space="preserve"> (Informative note) National Renewable Energy Laboratory (NREL) provides a spreadsheet tool for the calculation of levelized CO</w:t>
      </w:r>
      <w:r w:rsidRPr="002A5758">
        <w:rPr>
          <w:rFonts w:ascii="Arial" w:hAnsi="Arial" w:cs="Arial"/>
          <w:strike/>
          <w:color w:val="FF0000"/>
          <w:u w:val="single"/>
          <w:vertAlign w:val="subscript"/>
        </w:rPr>
        <w:t>2</w:t>
      </w:r>
      <w:r w:rsidRPr="002A5758">
        <w:rPr>
          <w:rFonts w:ascii="Arial" w:hAnsi="Arial" w:cs="Arial"/>
          <w:strike/>
          <w:color w:val="FF0000"/>
          <w:u w:val="single"/>
        </w:rPr>
        <w:t xml:space="preserve"> emission rates. The NREL spreadsheet tool uses the input parameters specified by this section as inputs to the spreadsheet tool.</w:t>
      </w:r>
      <w:r w:rsidRPr="002A5758">
        <w:rPr>
          <w:rFonts w:ascii="Arial" w:hAnsi="Arial" w:cs="Arial"/>
          <w:color w:val="FF0000"/>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EB5A" w14:textId="6F570724" w:rsidR="001E3B10" w:rsidRDefault="00BD64B9">
    <w:pPr>
      <w:pStyle w:val="Header"/>
    </w:pPr>
    <w:r>
      <w:t>PDS</w:t>
    </w:r>
    <w:r w:rsidR="00001213">
      <w:t>01</w:t>
    </w:r>
    <w:r w:rsidR="001E3B10">
      <w:t>_301-2022_AdnB_</w:t>
    </w:r>
    <w:r w:rsidR="00DE67C7">
      <w:t>webcmnt</w:t>
    </w:r>
  </w:p>
  <w:p w14:paraId="19C7AE19" w14:textId="77777777" w:rsidR="001E3B10" w:rsidRDefault="001E3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0390D"/>
    <w:multiLevelType w:val="hybridMultilevel"/>
    <w:tmpl w:val="1D70B54A"/>
    <w:lvl w:ilvl="0" w:tplc="8F16CC4E">
      <w:start w:val="1"/>
      <w:numFmt w:val="lowerLetter"/>
      <w:lvlText w:val="(%1)"/>
      <w:lvlJc w:val="left"/>
      <w:pPr>
        <w:ind w:left="540" w:hanging="360"/>
      </w:pPr>
      <w:rPr>
        <w:rFonts w:hint="default"/>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B435D98"/>
    <w:multiLevelType w:val="hybridMultilevel"/>
    <w:tmpl w:val="A760AE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 w15:restartNumberingAfterBreak="0">
    <w:nsid w:val="50DB3289"/>
    <w:multiLevelType w:val="multilevel"/>
    <w:tmpl w:val="C2D84E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3BA6872"/>
    <w:multiLevelType w:val="multilevel"/>
    <w:tmpl w:val="8F8EDD28"/>
    <w:numStyleLink w:val="RESNETstd"/>
  </w:abstractNum>
  <w:abstractNum w:abstractNumId="5" w15:restartNumberingAfterBreak="0">
    <w:nsid w:val="78773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09377">
    <w:abstractNumId w:val="1"/>
  </w:num>
  <w:num w:numId="2" w16cid:durableId="614365806">
    <w:abstractNumId w:val="0"/>
  </w:num>
  <w:num w:numId="3" w16cid:durableId="1162771803">
    <w:abstractNumId w:val="2"/>
  </w:num>
  <w:num w:numId="4" w16cid:durableId="912618498">
    <w:abstractNumId w:val="4"/>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16cid:durableId="479080145">
    <w:abstractNumId w:val="5"/>
  </w:num>
  <w:num w:numId="6" w16cid:durableId="855772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0"/>
    <w:rsid w:val="00001213"/>
    <w:rsid w:val="00082061"/>
    <w:rsid w:val="000B100C"/>
    <w:rsid w:val="000D50A5"/>
    <w:rsid w:val="00141D41"/>
    <w:rsid w:val="001C1C92"/>
    <w:rsid w:val="001C5960"/>
    <w:rsid w:val="001E3B10"/>
    <w:rsid w:val="002A5758"/>
    <w:rsid w:val="003051D0"/>
    <w:rsid w:val="00317632"/>
    <w:rsid w:val="00341C42"/>
    <w:rsid w:val="003652BA"/>
    <w:rsid w:val="00373EB5"/>
    <w:rsid w:val="003E39CC"/>
    <w:rsid w:val="006E3703"/>
    <w:rsid w:val="00762D80"/>
    <w:rsid w:val="00765381"/>
    <w:rsid w:val="007E4633"/>
    <w:rsid w:val="008B2814"/>
    <w:rsid w:val="00A440B3"/>
    <w:rsid w:val="00A5155A"/>
    <w:rsid w:val="00A73571"/>
    <w:rsid w:val="00B058A8"/>
    <w:rsid w:val="00B52B89"/>
    <w:rsid w:val="00BD64B9"/>
    <w:rsid w:val="00C16DA8"/>
    <w:rsid w:val="00C82D9D"/>
    <w:rsid w:val="00CA59D4"/>
    <w:rsid w:val="00CE2C05"/>
    <w:rsid w:val="00DA257C"/>
    <w:rsid w:val="00DA391F"/>
    <w:rsid w:val="00DE67C7"/>
    <w:rsid w:val="00DF7AFA"/>
    <w:rsid w:val="00E451BB"/>
    <w:rsid w:val="00E72E0D"/>
    <w:rsid w:val="00EE7F4C"/>
    <w:rsid w:val="00F224DF"/>
    <w:rsid w:val="00F66F7A"/>
    <w:rsid w:val="00FC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0FFD"/>
  <w15:chartTrackingRefBased/>
  <w15:docId w15:val="{F6F88CBD-BF13-470E-A40D-E6FF0D67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0D50A5"/>
    <w:pPr>
      <w:keepNext/>
      <w:keepLines/>
      <w:spacing w:after="0" w:line="240" w:lineRule="auto"/>
      <w:jc w:val="center"/>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autoRedefine/>
    <w:qFormat/>
    <w:rsid w:val="000D50A5"/>
    <w:pPr>
      <w:keepNext/>
      <w:keepLines/>
      <w:spacing w:before="40" w:after="0" w:line="240" w:lineRule="auto"/>
      <w:ind w:left="72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B05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B10"/>
  </w:style>
  <w:style w:type="paragraph" w:styleId="Footer">
    <w:name w:val="footer"/>
    <w:basedOn w:val="Normal"/>
    <w:link w:val="FooterChar"/>
    <w:uiPriority w:val="99"/>
    <w:unhideWhenUsed/>
    <w:rsid w:val="001E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B10"/>
  </w:style>
  <w:style w:type="character" w:styleId="CommentReference">
    <w:name w:val="annotation reference"/>
    <w:uiPriority w:val="99"/>
    <w:rsid w:val="00DF7AFA"/>
    <w:rPr>
      <w:sz w:val="16"/>
      <w:szCs w:val="16"/>
    </w:rPr>
  </w:style>
  <w:style w:type="paragraph" w:styleId="CommentText">
    <w:name w:val="annotation text"/>
    <w:basedOn w:val="Normal"/>
    <w:link w:val="CommentTextChar"/>
    <w:uiPriority w:val="99"/>
    <w:rsid w:val="00DF7A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F7AFA"/>
    <w:rPr>
      <w:rFonts w:ascii="Times New Roman" w:eastAsia="Times New Roman" w:hAnsi="Times New Roman" w:cs="Times New Roman"/>
      <w:sz w:val="20"/>
      <w:szCs w:val="20"/>
    </w:rPr>
  </w:style>
  <w:style w:type="paragraph" w:styleId="BodyText">
    <w:name w:val="Body Text"/>
    <w:basedOn w:val="Normal"/>
    <w:link w:val="BodyTextChar"/>
    <w:uiPriority w:val="99"/>
    <w:rsid w:val="00DF7AF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F7AFA"/>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F7AFA"/>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DF7AFA"/>
    <w:rPr>
      <w:rFonts w:ascii="Times New Roman" w:eastAsia="MS Mincho" w:hAnsi="Times New Roman" w:cs="Times New Roman"/>
      <w:sz w:val="20"/>
      <w:szCs w:val="20"/>
    </w:rPr>
  </w:style>
  <w:style w:type="paragraph" w:styleId="ListParagraph">
    <w:name w:val="List Paragraph"/>
    <w:basedOn w:val="Normal"/>
    <w:link w:val="ListParagraphChar"/>
    <w:uiPriority w:val="34"/>
    <w:qFormat/>
    <w:rsid w:val="00DF7AF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F7AFA"/>
    <w:rPr>
      <w:rFonts w:ascii="Times New Roman" w:eastAsia="Times New Roman" w:hAnsi="Times New Roman" w:cs="Times New Roman"/>
      <w:sz w:val="24"/>
      <w:szCs w:val="24"/>
    </w:rPr>
  </w:style>
  <w:style w:type="character" w:styleId="Hyperlink">
    <w:name w:val="Hyperlink"/>
    <w:uiPriority w:val="99"/>
    <w:rsid w:val="00B058A8"/>
    <w:rPr>
      <w:color w:val="0000FF"/>
      <w:u w:val="single"/>
    </w:rPr>
  </w:style>
  <w:style w:type="character" w:styleId="FootnoteReference">
    <w:name w:val="footnote reference"/>
    <w:uiPriority w:val="99"/>
    <w:rsid w:val="00B058A8"/>
    <w:rPr>
      <w:rFonts w:cs="Times New Roman"/>
      <w:vertAlign w:val="superscript"/>
    </w:rPr>
  </w:style>
  <w:style w:type="numbering" w:customStyle="1" w:styleId="RESNETstd">
    <w:name w:val="RESNET_std"/>
    <w:uiPriority w:val="99"/>
    <w:rsid w:val="00B058A8"/>
    <w:pPr>
      <w:numPr>
        <w:numId w:val="3"/>
      </w:numPr>
    </w:pPr>
  </w:style>
  <w:style w:type="paragraph" w:customStyle="1" w:styleId="three">
    <w:name w:val="three"/>
    <w:basedOn w:val="Heading3"/>
    <w:link w:val="threeChar"/>
    <w:qFormat/>
    <w:rsid w:val="00B058A8"/>
    <w:pPr>
      <w:keepNext w:val="0"/>
      <w:keepLines w:val="0"/>
      <w:numPr>
        <w:ilvl w:val="2"/>
        <w:numId w:val="4"/>
      </w:numPr>
      <w:tabs>
        <w:tab w:val="clear" w:pos="720"/>
        <w:tab w:val="num" w:pos="360"/>
      </w:tabs>
      <w:spacing w:before="0" w:after="120" w:line="240" w:lineRule="auto"/>
    </w:pPr>
    <w:rPr>
      <w:rFonts w:ascii="Times New Roman" w:eastAsia="Times New Roman" w:hAnsi="Times New Roman" w:cs="Times New Roman"/>
      <w:bCs/>
      <w:color w:val="auto"/>
    </w:rPr>
  </w:style>
  <w:style w:type="paragraph" w:customStyle="1" w:styleId="four">
    <w:name w:val="four"/>
    <w:basedOn w:val="Heading3"/>
    <w:link w:val="fourChar"/>
    <w:qFormat/>
    <w:rsid w:val="00B058A8"/>
    <w:pPr>
      <w:keepNext w:val="0"/>
      <w:keepLines w:val="0"/>
      <w:numPr>
        <w:ilvl w:val="3"/>
        <w:numId w:val="4"/>
      </w:numPr>
      <w:spacing w:before="0" w:after="120" w:line="240" w:lineRule="auto"/>
    </w:pPr>
    <w:rPr>
      <w:rFonts w:ascii="Times New Roman" w:eastAsia="Times New Roman" w:hAnsi="Times New Roman" w:cs="Times New Roman"/>
      <w:bCs/>
    </w:rPr>
  </w:style>
  <w:style w:type="paragraph" w:customStyle="1" w:styleId="five">
    <w:name w:val="five"/>
    <w:basedOn w:val="Heading3"/>
    <w:link w:val="fiveChar"/>
    <w:qFormat/>
    <w:rsid w:val="00B058A8"/>
    <w:pPr>
      <w:keepNext w:val="0"/>
      <w:keepLines w:val="0"/>
      <w:numPr>
        <w:ilvl w:val="4"/>
        <w:numId w:val="4"/>
      </w:numPr>
      <w:tabs>
        <w:tab w:val="clear" w:pos="1800"/>
      </w:tabs>
      <w:spacing w:before="0" w:after="120" w:line="240" w:lineRule="auto"/>
    </w:pPr>
    <w:rPr>
      <w:rFonts w:ascii="Times New Roman" w:eastAsia="Times New Roman" w:hAnsi="Times New Roman" w:cs="Times New Roman"/>
      <w:bCs/>
    </w:rPr>
  </w:style>
  <w:style w:type="character" w:customStyle="1" w:styleId="fourChar">
    <w:name w:val="four Char"/>
    <w:basedOn w:val="Heading3Char"/>
    <w:link w:val="four"/>
    <w:rsid w:val="00B058A8"/>
    <w:rPr>
      <w:rFonts w:ascii="Times New Roman" w:eastAsia="Times New Roman" w:hAnsi="Times New Roman" w:cs="Times New Roman"/>
      <w:bCs/>
      <w:color w:val="1F3763" w:themeColor="accent1" w:themeShade="7F"/>
      <w:sz w:val="24"/>
      <w:szCs w:val="24"/>
    </w:rPr>
  </w:style>
  <w:style w:type="character" w:customStyle="1" w:styleId="fiveChar">
    <w:name w:val="five Char"/>
    <w:basedOn w:val="Heading3Char"/>
    <w:link w:val="five"/>
    <w:rsid w:val="00B058A8"/>
    <w:rPr>
      <w:rFonts w:ascii="Times New Roman" w:eastAsia="Times New Roman" w:hAnsi="Times New Roman" w:cs="Times New Roman"/>
      <w:bCs/>
      <w:color w:val="1F3763" w:themeColor="accent1" w:themeShade="7F"/>
      <w:sz w:val="24"/>
      <w:szCs w:val="24"/>
    </w:rPr>
  </w:style>
  <w:style w:type="paragraph" w:customStyle="1" w:styleId="seven">
    <w:name w:val="seven"/>
    <w:basedOn w:val="Normal"/>
    <w:rsid w:val="00B058A8"/>
    <w:pPr>
      <w:numPr>
        <w:ilvl w:val="6"/>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seventh">
    <w:name w:val="seventh"/>
    <w:basedOn w:val="seven"/>
    <w:link w:val="seventhChar"/>
    <w:qFormat/>
    <w:rsid w:val="00B058A8"/>
    <w:pPr>
      <w:ind w:left="3420" w:hanging="1440"/>
    </w:pPr>
  </w:style>
  <w:style w:type="character" w:customStyle="1" w:styleId="seventhChar">
    <w:name w:val="seventh Char"/>
    <w:basedOn w:val="DefaultParagraphFont"/>
    <w:link w:val="seventh"/>
    <w:rsid w:val="00B058A8"/>
    <w:rPr>
      <w:rFonts w:ascii="Times New Roman" w:eastAsia="Times New Roman" w:hAnsi="Times New Roman" w:cs="Times New Roman"/>
      <w:sz w:val="24"/>
      <w:szCs w:val="24"/>
    </w:rPr>
  </w:style>
  <w:style w:type="paragraph" w:customStyle="1" w:styleId="sixth">
    <w:name w:val="sixth"/>
    <w:basedOn w:val="Heading3"/>
    <w:qFormat/>
    <w:rsid w:val="00B058A8"/>
    <w:pPr>
      <w:keepNext w:val="0"/>
      <w:keepLines w:val="0"/>
      <w:numPr>
        <w:ilvl w:val="5"/>
        <w:numId w:val="4"/>
      </w:numPr>
      <w:tabs>
        <w:tab w:val="clear" w:pos="3474"/>
        <w:tab w:val="num" w:pos="2304"/>
      </w:tabs>
      <w:spacing w:before="0" w:after="60" w:line="240" w:lineRule="auto"/>
      <w:ind w:left="1080"/>
    </w:pPr>
    <w:rPr>
      <w:rFonts w:ascii="Times New Roman" w:eastAsia="Times New Roman" w:hAnsi="Times New Roman" w:cs="Times New Roman"/>
      <w:bCs/>
      <w:color w:val="auto"/>
    </w:rPr>
  </w:style>
  <w:style w:type="paragraph" w:customStyle="1" w:styleId="two">
    <w:name w:val="two"/>
    <w:basedOn w:val="Normal"/>
    <w:qFormat/>
    <w:rsid w:val="00B058A8"/>
    <w:pPr>
      <w:numPr>
        <w:ilvl w:val="1"/>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eight">
    <w:name w:val="eight"/>
    <w:basedOn w:val="Normal"/>
    <w:link w:val="eightChar"/>
    <w:qFormat/>
    <w:rsid w:val="00B058A8"/>
    <w:pPr>
      <w:numPr>
        <w:ilvl w:val="7"/>
        <w:numId w:val="4"/>
      </w:numPr>
      <w:spacing w:after="0" w:line="240" w:lineRule="auto"/>
    </w:pPr>
    <w:rPr>
      <w:rFonts w:ascii="Times New Roman" w:eastAsia="Times New Roman" w:hAnsi="Times New Roman" w:cs="Times New Roman"/>
      <w:sz w:val="24"/>
      <w:szCs w:val="24"/>
    </w:rPr>
  </w:style>
  <w:style w:type="character" w:customStyle="1" w:styleId="eightChar">
    <w:name w:val="eight Char"/>
    <w:basedOn w:val="DefaultParagraphFont"/>
    <w:link w:val="eight"/>
    <w:rsid w:val="00B058A8"/>
    <w:rPr>
      <w:rFonts w:ascii="Times New Roman" w:eastAsia="Times New Roman" w:hAnsi="Times New Roman" w:cs="Times New Roman"/>
      <w:sz w:val="24"/>
      <w:szCs w:val="24"/>
    </w:rPr>
  </w:style>
  <w:style w:type="paragraph" w:customStyle="1" w:styleId="sixa">
    <w:name w:val="six a"/>
    <w:basedOn w:val="sixth"/>
    <w:link w:val="sixaChar"/>
    <w:qFormat/>
    <w:rsid w:val="00B058A8"/>
    <w:pPr>
      <w:ind w:left="2610" w:hanging="1170"/>
    </w:pPr>
  </w:style>
  <w:style w:type="character" w:customStyle="1" w:styleId="sixaChar">
    <w:name w:val="six a Char"/>
    <w:basedOn w:val="DefaultParagraphFont"/>
    <w:link w:val="sixa"/>
    <w:rsid w:val="00B058A8"/>
    <w:rPr>
      <w:rFonts w:ascii="Times New Roman" w:eastAsia="Times New Roman" w:hAnsi="Times New Roman" w:cs="Times New Roman"/>
      <w:bCs/>
      <w:sz w:val="24"/>
      <w:szCs w:val="24"/>
    </w:rPr>
  </w:style>
  <w:style w:type="character" w:customStyle="1" w:styleId="Heading3Char">
    <w:name w:val="Heading 3 Char"/>
    <w:basedOn w:val="DefaultParagraphFont"/>
    <w:link w:val="Heading3"/>
    <w:uiPriority w:val="9"/>
    <w:semiHidden/>
    <w:rsid w:val="00B058A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uiPriority w:val="9"/>
    <w:rsid w:val="000D50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D50A5"/>
    <w:rPr>
      <w:rFonts w:ascii="Times New Roman" w:eastAsia="Times New Roman" w:hAnsi="Times New Roman" w:cs="Times New Roman"/>
      <w:b/>
      <w:sz w:val="24"/>
      <w:szCs w:val="24"/>
    </w:rPr>
  </w:style>
  <w:style w:type="character" w:customStyle="1" w:styleId="Heading1Char1">
    <w:name w:val="Heading 1 Char1"/>
    <w:basedOn w:val="DefaultParagraphFont"/>
    <w:link w:val="Heading1"/>
    <w:rsid w:val="000D50A5"/>
    <w:rPr>
      <w:rFonts w:ascii="Times New Roman" w:eastAsiaTheme="majorEastAsia" w:hAnsi="Times New Roman" w:cs="Times New Roman"/>
      <w:b/>
      <w:bCs/>
      <w:sz w:val="24"/>
      <w:szCs w:val="28"/>
    </w:rPr>
  </w:style>
  <w:style w:type="character" w:customStyle="1" w:styleId="threeChar">
    <w:name w:val="three Char"/>
    <w:basedOn w:val="Heading3Char"/>
    <w:link w:val="three"/>
    <w:rsid w:val="000D50A5"/>
    <w:rPr>
      <w:rFonts w:ascii="Times New Roman" w:eastAsia="Times New Roman" w:hAnsi="Times New Roman" w:cs="Times New Roman"/>
      <w:bCs/>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F224D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24D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rel.gov/docs/fy21osti/78239.pdf" TargetMode="External"/><Relationship Id="rId3" Type="http://schemas.openxmlformats.org/officeDocument/2006/relationships/hyperlink" Target="https://www.epa.gov/air-emissions-factors-and-quantification/ap-42-fifth-edition-volume-i-chapter-1-external-0" TargetMode="External"/><Relationship Id="rId7" Type="http://schemas.openxmlformats.org/officeDocument/2006/relationships/hyperlink" Target="https://cambium.nrel.gov/" TargetMode="External"/><Relationship Id="rId2" Type="http://schemas.openxmlformats.org/officeDocument/2006/relationships/hyperlink" Target="https://www.nrel.gov/docs/fy21osti/78239.pdf" TargetMode="External"/><Relationship Id="rId1" Type="http://schemas.openxmlformats.org/officeDocument/2006/relationships/hyperlink" Target="https://cambium.nrel.gov/" TargetMode="External"/><Relationship Id="rId6" Type="http://schemas.openxmlformats.org/officeDocument/2006/relationships/hyperlink" Target="https://www.resnet.us/wp-content/uploads/RESNET_2021_CO2e_GEAdata.xlsx" TargetMode="External"/><Relationship Id="rId5" Type="http://schemas.openxmlformats.org/officeDocument/2006/relationships/hyperlink" Target="https://data.nrel.gov/submissions/183" TargetMode="External"/><Relationship Id="rId4" Type="http://schemas.openxmlformats.org/officeDocument/2006/relationships/hyperlink" Target="https://cambium.nre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Dixon</dc:creator>
  <cp:keywords/>
  <dc:description/>
  <cp:lastModifiedBy>Rick Dixon</cp:lastModifiedBy>
  <cp:revision>11</cp:revision>
  <dcterms:created xsi:type="dcterms:W3CDTF">2022-05-11T01:10:00Z</dcterms:created>
  <dcterms:modified xsi:type="dcterms:W3CDTF">2022-05-12T13:33:00Z</dcterms:modified>
</cp:coreProperties>
</file>