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EBF7" w14:textId="0F77B23F" w:rsidR="001E7A04" w:rsidRDefault="008E3922" w:rsidP="00243F8C">
      <w:pPr>
        <w:spacing w:after="200" w:line="276" w:lineRule="auto"/>
        <w:jc w:val="center"/>
        <w:rPr>
          <w:b/>
          <w:bCs/>
          <w:sz w:val="56"/>
          <w:szCs w:val="56"/>
        </w:rPr>
      </w:pPr>
      <w:bookmarkStart w:id="0" w:name="_Hlk161053723"/>
      <w:r>
        <w:rPr>
          <w:b/>
          <w:bCs/>
          <w:sz w:val="56"/>
          <w:szCs w:val="56"/>
        </w:rPr>
        <w:t xml:space="preserve"> </w:t>
      </w:r>
      <w:r w:rsidR="001E7A04">
        <w:rPr>
          <w:b/>
          <w:bCs/>
          <w:sz w:val="56"/>
          <w:szCs w:val="56"/>
        </w:rPr>
        <w:t xml:space="preserve">Draft </w:t>
      </w:r>
      <w:r w:rsidR="00187A8F">
        <w:rPr>
          <w:b/>
          <w:bCs/>
          <w:sz w:val="56"/>
          <w:szCs w:val="56"/>
        </w:rPr>
        <w:t>PDS</w:t>
      </w:r>
      <w:r w:rsidR="00A96311">
        <w:rPr>
          <w:b/>
          <w:bCs/>
          <w:sz w:val="56"/>
          <w:szCs w:val="56"/>
        </w:rPr>
        <w:t>-0</w:t>
      </w:r>
      <w:r w:rsidR="002A3D5F">
        <w:rPr>
          <w:b/>
          <w:bCs/>
          <w:sz w:val="56"/>
          <w:szCs w:val="56"/>
        </w:rPr>
        <w:t>2</w:t>
      </w:r>
    </w:p>
    <w:p w14:paraId="2E6F59CB" w14:textId="7DBC4459" w:rsidR="001E7A04" w:rsidRDefault="001E7A04" w:rsidP="00187A8F">
      <w:pPr>
        <w:spacing w:after="200" w:line="276" w:lineRule="auto"/>
        <w:ind w:right="-720"/>
        <w:jc w:val="center"/>
        <w:rPr>
          <w:b/>
          <w:bCs/>
          <w:sz w:val="56"/>
          <w:szCs w:val="56"/>
        </w:rPr>
      </w:pPr>
      <w:r w:rsidRPr="001F4937">
        <w:rPr>
          <w:b/>
          <w:bCs/>
          <w:sz w:val="56"/>
          <w:szCs w:val="56"/>
        </w:rPr>
        <w:t>RESNET/ICC 301</w:t>
      </w:r>
      <w:r>
        <w:rPr>
          <w:b/>
          <w:bCs/>
          <w:sz w:val="56"/>
          <w:szCs w:val="56"/>
        </w:rPr>
        <w:t>-2022 Addendum C</w:t>
      </w:r>
    </w:p>
    <w:p w14:paraId="50481269" w14:textId="7152DE64" w:rsidR="00187A8F" w:rsidRDefault="00187A8F" w:rsidP="00187A8F">
      <w:pPr>
        <w:spacing w:after="200" w:line="276" w:lineRule="auto"/>
        <w:ind w:right="-720"/>
        <w:jc w:val="center"/>
        <w:rPr>
          <w:b/>
          <w:bCs/>
          <w:sz w:val="56"/>
          <w:szCs w:val="56"/>
        </w:rPr>
      </w:pPr>
      <w:r>
        <w:rPr>
          <w:b/>
          <w:bCs/>
          <w:sz w:val="56"/>
          <w:szCs w:val="56"/>
        </w:rPr>
        <w:t>Interim Updates</w:t>
      </w:r>
    </w:p>
    <w:bookmarkEnd w:id="0"/>
    <w:p w14:paraId="48030372" w14:textId="40B16915" w:rsidR="00626805" w:rsidRPr="006174DF" w:rsidRDefault="00626805" w:rsidP="00626805">
      <w:pPr>
        <w:rPr>
          <w:b/>
          <w:bCs/>
          <w:i/>
          <w:iCs/>
          <w:color w:val="0070C0"/>
        </w:rPr>
      </w:pPr>
      <w:r>
        <w:rPr>
          <w:b/>
          <w:bCs/>
          <w:i/>
          <w:iCs/>
          <w:color w:val="0070C0"/>
        </w:rPr>
        <w:t>Note: Where th</w:t>
      </w:r>
      <w:r w:rsidR="00347C99">
        <w:rPr>
          <w:b/>
          <w:bCs/>
          <w:i/>
          <w:iCs/>
          <w:color w:val="0070C0"/>
        </w:rPr>
        <w:t>e</w:t>
      </w:r>
      <w:r>
        <w:rPr>
          <w:b/>
          <w:bCs/>
          <w:i/>
          <w:iCs/>
          <w:color w:val="0070C0"/>
        </w:rPr>
        <w:t xml:space="preserve"> superscript,</w:t>
      </w:r>
      <w:r w:rsidR="00347C99">
        <w:rPr>
          <w:b/>
          <w:bCs/>
          <w:i/>
          <w:iCs/>
          <w:color w:val="0070C0"/>
        </w:rPr>
        <w:t xml:space="preserve"> </w:t>
      </w:r>
      <w:proofErr w:type="gramStart"/>
      <w:r w:rsidR="00347C99">
        <w:rPr>
          <w:b/>
          <w:bCs/>
          <w:i/>
          <w:iCs/>
          <w:color w:val="0070C0"/>
        </w:rPr>
        <w:t>“</w:t>
      </w:r>
      <w:r w:rsidR="00E85874">
        <w:rPr>
          <w:b/>
          <w:bCs/>
          <w:i/>
          <w:iCs/>
          <w:color w:val="0070C0"/>
        </w:rPr>
        <w:t xml:space="preserve"> </w:t>
      </w:r>
      <w:r w:rsidRPr="004156D8">
        <w:rPr>
          <w:b/>
          <w:bCs/>
          <w:i/>
          <w:iCs/>
          <w:color w:val="0070C0"/>
          <w:vertAlign w:val="superscript"/>
        </w:rPr>
        <w:t>(</w:t>
      </w:r>
      <w:proofErr w:type="gramEnd"/>
      <w:r w:rsidRPr="004156D8">
        <w:rPr>
          <w:b/>
          <w:bCs/>
          <w:i/>
          <w:iCs/>
          <w:color w:val="0070C0"/>
          <w:vertAlign w:val="superscript"/>
        </w:rPr>
        <w:t>1</w:t>
      </w:r>
      <w:r>
        <w:rPr>
          <w:b/>
          <w:bCs/>
          <w:i/>
          <w:iCs/>
          <w:color w:val="0070C0"/>
          <w:vertAlign w:val="superscript"/>
        </w:rPr>
        <w:t>)</w:t>
      </w:r>
      <w:r w:rsidR="00347C99">
        <w:rPr>
          <w:b/>
          <w:bCs/>
          <w:i/>
          <w:iCs/>
          <w:color w:val="0070C0"/>
        </w:rPr>
        <w:t>”,</w:t>
      </w:r>
      <w:r w:rsidR="00E85874">
        <w:rPr>
          <w:b/>
          <w:bCs/>
          <w:i/>
          <w:iCs/>
          <w:color w:val="0070C0"/>
        </w:rPr>
        <w:t xml:space="preserve"> in blue print</w:t>
      </w:r>
      <w:r>
        <w:rPr>
          <w:b/>
          <w:bCs/>
          <w:i/>
          <w:iCs/>
          <w:color w:val="0070C0"/>
        </w:rPr>
        <w:t xml:space="preserve"> </w:t>
      </w:r>
      <w:r w:rsidR="00E85874">
        <w:rPr>
          <w:b/>
          <w:bCs/>
          <w:i/>
          <w:iCs/>
          <w:color w:val="0070C0"/>
        </w:rPr>
        <w:t xml:space="preserve">occurs in this draft it indicates that </w:t>
      </w:r>
      <w:r>
        <w:rPr>
          <w:b/>
          <w:bCs/>
          <w:i/>
          <w:iCs/>
          <w:color w:val="0070C0"/>
        </w:rPr>
        <w:t xml:space="preserve">sections, tables and equations are added or deleted </w:t>
      </w:r>
      <w:r w:rsidR="00E85874">
        <w:rPr>
          <w:b/>
          <w:bCs/>
          <w:i/>
          <w:iCs/>
          <w:color w:val="0070C0"/>
        </w:rPr>
        <w:t>which affects</w:t>
      </w:r>
      <w:r>
        <w:rPr>
          <w:b/>
          <w:bCs/>
          <w:i/>
          <w:iCs/>
          <w:color w:val="0070C0"/>
        </w:rPr>
        <w:t xml:space="preserve"> existing section, table or equation numbers and references to those numbers</w:t>
      </w:r>
      <w:r w:rsidR="00E85874">
        <w:rPr>
          <w:b/>
          <w:bCs/>
          <w:i/>
          <w:iCs/>
          <w:color w:val="0070C0"/>
        </w:rPr>
        <w:t>.</w:t>
      </w:r>
      <w:r>
        <w:rPr>
          <w:b/>
          <w:bCs/>
          <w:i/>
          <w:iCs/>
          <w:color w:val="0070C0"/>
        </w:rPr>
        <w:t xml:space="preserve"> </w:t>
      </w:r>
      <w:r w:rsidR="00E85874">
        <w:rPr>
          <w:b/>
          <w:bCs/>
          <w:i/>
          <w:iCs/>
          <w:color w:val="0070C0"/>
        </w:rPr>
        <w:t>R</w:t>
      </w:r>
      <w:r>
        <w:rPr>
          <w:b/>
          <w:bCs/>
          <w:i/>
          <w:iCs/>
          <w:color w:val="0070C0"/>
        </w:rPr>
        <w:t xml:space="preserve">enumbering will be established editorially upon the finalization of the addendum. </w:t>
      </w:r>
      <w:r w:rsidR="00347C99">
        <w:rPr>
          <w:b/>
          <w:bCs/>
          <w:i/>
          <w:iCs/>
          <w:color w:val="0070C0"/>
        </w:rPr>
        <w:t>F</w:t>
      </w:r>
      <w:r w:rsidR="00E85874">
        <w:rPr>
          <w:b/>
          <w:bCs/>
          <w:i/>
          <w:iCs/>
          <w:color w:val="0070C0"/>
        </w:rPr>
        <w:t xml:space="preserve">ootnote numbers </w:t>
      </w:r>
      <w:r w:rsidR="00347C99">
        <w:rPr>
          <w:b/>
          <w:bCs/>
          <w:i/>
          <w:iCs/>
          <w:color w:val="0070C0"/>
        </w:rPr>
        <w:t>correlate with</w:t>
      </w:r>
      <w:r w:rsidR="00E85874">
        <w:rPr>
          <w:b/>
          <w:bCs/>
          <w:i/>
          <w:iCs/>
          <w:color w:val="0070C0"/>
        </w:rPr>
        <w:t>in th</w:t>
      </w:r>
      <w:r w:rsidR="00347C99">
        <w:rPr>
          <w:b/>
          <w:bCs/>
          <w:i/>
          <w:iCs/>
          <w:color w:val="0070C0"/>
        </w:rPr>
        <w:t>is</w:t>
      </w:r>
      <w:r w:rsidR="00E85874">
        <w:rPr>
          <w:b/>
          <w:bCs/>
          <w:i/>
          <w:iCs/>
          <w:color w:val="0070C0"/>
        </w:rPr>
        <w:t xml:space="preserve"> Addendum </w:t>
      </w:r>
      <w:r w:rsidR="00347C99">
        <w:rPr>
          <w:b/>
          <w:bCs/>
          <w:i/>
          <w:iCs/>
          <w:color w:val="0070C0"/>
        </w:rPr>
        <w:t xml:space="preserve">for easy reference but </w:t>
      </w:r>
      <w:r w:rsidR="00E85874">
        <w:rPr>
          <w:b/>
          <w:bCs/>
          <w:i/>
          <w:iCs/>
          <w:color w:val="0070C0"/>
        </w:rPr>
        <w:t xml:space="preserve">do not match the respective footnote numbers in the standard </w:t>
      </w:r>
      <w:r w:rsidR="00347C99">
        <w:rPr>
          <w:b/>
          <w:bCs/>
          <w:i/>
          <w:iCs/>
          <w:color w:val="0070C0"/>
        </w:rPr>
        <w:t>which may be altered by</w:t>
      </w:r>
      <w:r w:rsidR="00E85874">
        <w:rPr>
          <w:b/>
          <w:bCs/>
          <w:i/>
          <w:iCs/>
          <w:color w:val="0070C0"/>
        </w:rPr>
        <w:t xml:space="preserve"> other addenda</w:t>
      </w:r>
      <w:r w:rsidR="00347C99">
        <w:rPr>
          <w:b/>
          <w:bCs/>
          <w:i/>
          <w:iCs/>
          <w:color w:val="0070C0"/>
        </w:rPr>
        <w:t xml:space="preserve"> as well</w:t>
      </w:r>
      <w:r w:rsidR="00E85874">
        <w:rPr>
          <w:b/>
          <w:bCs/>
          <w:i/>
          <w:iCs/>
          <w:color w:val="0070C0"/>
        </w:rPr>
        <w:t xml:space="preserve">. </w:t>
      </w:r>
      <w:r w:rsidR="00347C99">
        <w:rPr>
          <w:b/>
          <w:bCs/>
          <w:i/>
          <w:iCs/>
          <w:color w:val="0070C0"/>
        </w:rPr>
        <w:t>All renumbering</w:t>
      </w:r>
      <w:r w:rsidR="00E85874">
        <w:rPr>
          <w:b/>
          <w:bCs/>
          <w:i/>
          <w:iCs/>
          <w:color w:val="0070C0"/>
        </w:rPr>
        <w:t xml:space="preserve"> will be </w:t>
      </w:r>
      <w:r w:rsidR="00347C99">
        <w:rPr>
          <w:b/>
          <w:bCs/>
          <w:i/>
          <w:iCs/>
          <w:color w:val="0070C0"/>
        </w:rPr>
        <w:t>conducted</w:t>
      </w:r>
      <w:r w:rsidR="00E85874">
        <w:rPr>
          <w:b/>
          <w:bCs/>
          <w:i/>
          <w:iCs/>
          <w:color w:val="0070C0"/>
        </w:rPr>
        <w:t xml:space="preserve"> editorially upon finalization of this </w:t>
      </w:r>
      <w:r w:rsidR="00E85874" w:rsidRPr="00347C99">
        <w:rPr>
          <w:b/>
          <w:bCs/>
          <w:i/>
          <w:iCs/>
          <w:color w:val="0070C0"/>
        </w:rPr>
        <w:t>addendum</w:t>
      </w:r>
      <w:r w:rsidR="00347C99" w:rsidRPr="00347C99">
        <w:rPr>
          <w:b/>
          <w:bCs/>
          <w:i/>
          <w:iCs/>
          <w:color w:val="0070C0"/>
        </w:rPr>
        <w:t xml:space="preserve"> </w:t>
      </w:r>
      <w:r w:rsidR="00347C99" w:rsidRPr="00347C99">
        <w:rPr>
          <w:b/>
          <w:i/>
          <w:iCs/>
          <w:color w:val="0070C0"/>
        </w:rPr>
        <w:t>and is intended to correlate with renumbering resulting from other addenda</w:t>
      </w:r>
      <w:r w:rsidR="00E85874" w:rsidRPr="00347C99">
        <w:rPr>
          <w:b/>
          <w:bCs/>
          <w:i/>
          <w:iCs/>
          <w:color w:val="0070C0"/>
        </w:rPr>
        <w:t>.</w:t>
      </w:r>
      <w:r w:rsidR="00E85874">
        <w:rPr>
          <w:b/>
          <w:bCs/>
          <w:i/>
          <w:iCs/>
          <w:color w:val="0070C0"/>
        </w:rPr>
        <w:t xml:space="preserve"> </w:t>
      </w:r>
      <w:r>
        <w:rPr>
          <w:b/>
          <w:bCs/>
          <w:i/>
          <w:iCs/>
          <w:color w:val="0070C0"/>
        </w:rPr>
        <w:t xml:space="preserve"> </w:t>
      </w:r>
    </w:p>
    <w:p w14:paraId="4484FBB3" w14:textId="77777777" w:rsidR="00E45002" w:rsidRPr="00E45002" w:rsidRDefault="00E45002" w:rsidP="00E45002">
      <w:pPr>
        <w:spacing w:after="200" w:line="276" w:lineRule="auto"/>
        <w:rPr>
          <w:rFonts w:ascii="Arial" w:hAnsi="Arial" w:cs="Arial"/>
          <w:b/>
          <w:bCs/>
          <w:sz w:val="22"/>
          <w:szCs w:val="22"/>
        </w:rPr>
      </w:pPr>
    </w:p>
    <w:p w14:paraId="751636DD" w14:textId="271292B4" w:rsidR="001E7A04" w:rsidRPr="006174DF" w:rsidRDefault="006174DF" w:rsidP="006174DF">
      <w:pPr>
        <w:rPr>
          <w:b/>
          <w:bCs/>
          <w:i/>
          <w:iCs/>
          <w:color w:val="0070C0"/>
        </w:rPr>
      </w:pPr>
      <w:r>
        <w:rPr>
          <w:b/>
          <w:bCs/>
          <w:i/>
          <w:iCs/>
          <w:color w:val="0070C0"/>
        </w:rPr>
        <w:t xml:space="preserve">Modify </w:t>
      </w:r>
      <w:r w:rsidR="002A3D5F">
        <w:rPr>
          <w:b/>
          <w:bCs/>
          <w:i/>
          <w:iCs/>
          <w:color w:val="0070C0"/>
        </w:rPr>
        <w:t xml:space="preserve">sections of </w:t>
      </w:r>
      <w:r>
        <w:rPr>
          <w:b/>
          <w:bCs/>
          <w:i/>
          <w:iCs/>
          <w:color w:val="0070C0"/>
        </w:rPr>
        <w:t>Standard ANSI/RESNET/ICC 301-2022 as follows</w:t>
      </w:r>
      <w:r w:rsidR="00FD19C9">
        <w:rPr>
          <w:b/>
          <w:bCs/>
          <w:i/>
          <w:iCs/>
          <w:color w:val="0070C0"/>
        </w:rPr>
        <w:t>.</w:t>
      </w:r>
      <w:r w:rsidR="005512D2">
        <w:rPr>
          <w:b/>
          <w:bCs/>
          <w:i/>
          <w:iCs/>
          <w:color w:val="0070C0"/>
        </w:rPr>
        <w:t xml:space="preserve"> </w:t>
      </w:r>
      <w:r w:rsidR="008039F2">
        <w:rPr>
          <w:b/>
          <w:bCs/>
          <w:i/>
          <w:iCs/>
          <w:color w:val="0070C0"/>
        </w:rPr>
        <w:t xml:space="preserve"> </w:t>
      </w:r>
    </w:p>
    <w:p w14:paraId="742B571A" w14:textId="7A899374" w:rsidR="008F1DC1" w:rsidRPr="005C40A0" w:rsidRDefault="008F1DC1" w:rsidP="008F1DC1"/>
    <w:p w14:paraId="3DB96A78" w14:textId="241EAC76" w:rsidR="008F1DC1" w:rsidRPr="00FA69E8" w:rsidRDefault="008F1DC1" w:rsidP="00243F8C">
      <w:pPr>
        <w:numPr>
          <w:ilvl w:val="0"/>
          <w:numId w:val="6"/>
        </w:numPr>
        <w:tabs>
          <w:tab w:val="left" w:pos="748"/>
        </w:tabs>
        <w:spacing w:after="240"/>
        <w:rPr>
          <w:b/>
          <w:bCs/>
        </w:rPr>
      </w:pPr>
      <w:bookmarkStart w:id="1" w:name="_Toc309821105"/>
      <w:bookmarkStart w:id="2" w:name="_Toc443655354"/>
      <w:bookmarkStart w:id="3" w:name="_Toc505772422"/>
      <w:bookmarkStart w:id="4" w:name="_Ref495328865"/>
      <w:r w:rsidRPr="00FA69E8">
        <w:rPr>
          <w:rStyle w:val="Heading1Char1"/>
        </w:rPr>
        <w:t>Purpose</w:t>
      </w:r>
      <w:bookmarkEnd w:id="1"/>
      <w:bookmarkEnd w:id="2"/>
      <w:bookmarkEnd w:id="3"/>
      <w:r w:rsidRPr="00FA69E8">
        <w:rPr>
          <w:b/>
          <w:bCs/>
        </w:rPr>
        <w:t xml:space="preserve">. </w:t>
      </w:r>
      <w:bookmarkEnd w:id="4"/>
    </w:p>
    <w:p w14:paraId="662A1CB6" w14:textId="70BA7940" w:rsidR="008F1DC1" w:rsidRPr="00FA69E8" w:rsidRDefault="008F1DC1" w:rsidP="00243F8C">
      <w:pPr>
        <w:numPr>
          <w:ilvl w:val="0"/>
          <w:numId w:val="6"/>
        </w:numPr>
        <w:tabs>
          <w:tab w:val="left" w:pos="748"/>
        </w:tabs>
        <w:spacing w:after="240"/>
      </w:pPr>
      <w:bookmarkStart w:id="5" w:name="_Toc309821106"/>
      <w:bookmarkStart w:id="6" w:name="_Toc443655355"/>
      <w:bookmarkStart w:id="7" w:name="_Toc505772423"/>
      <w:r w:rsidRPr="00FA69E8">
        <w:rPr>
          <w:rStyle w:val="Heading1Char1"/>
        </w:rPr>
        <w:t>Scope</w:t>
      </w:r>
      <w:bookmarkEnd w:id="5"/>
      <w:bookmarkEnd w:id="6"/>
      <w:bookmarkEnd w:id="7"/>
      <w:r w:rsidRPr="00FA69E8">
        <w:rPr>
          <w:b/>
          <w:bCs/>
        </w:rPr>
        <w:t>.</w:t>
      </w:r>
      <w:r w:rsidRPr="00FA69E8">
        <w:tab/>
      </w:r>
    </w:p>
    <w:p w14:paraId="789C6B46" w14:textId="7550288E" w:rsidR="008F1DC1" w:rsidRPr="00FA69E8" w:rsidRDefault="008F1DC1" w:rsidP="00243F8C">
      <w:pPr>
        <w:numPr>
          <w:ilvl w:val="0"/>
          <w:numId w:val="6"/>
        </w:numPr>
        <w:tabs>
          <w:tab w:val="left" w:pos="748"/>
        </w:tabs>
        <w:spacing w:after="240"/>
        <w:rPr>
          <w:b/>
        </w:rPr>
      </w:pPr>
      <w:bookmarkStart w:id="8" w:name="_Toc309821109"/>
      <w:bookmarkStart w:id="9" w:name="_Toc443655356"/>
      <w:bookmarkStart w:id="10" w:name="_Toc505772424"/>
      <w:r w:rsidRPr="00FA69E8">
        <w:rPr>
          <w:rStyle w:val="Heading1Char1"/>
        </w:rPr>
        <w:t>Definitions</w:t>
      </w:r>
      <w:bookmarkEnd w:id="8"/>
      <w:bookmarkEnd w:id="9"/>
      <w:bookmarkEnd w:id="10"/>
      <w:r w:rsidRPr="00FA69E8">
        <w:rPr>
          <w:b/>
        </w:rPr>
        <w:t>.</w:t>
      </w:r>
    </w:p>
    <w:p w14:paraId="7063F788" w14:textId="7F8655D3" w:rsidR="008F1DC1" w:rsidRPr="00FA69E8" w:rsidRDefault="008F1DC1" w:rsidP="00243F8C">
      <w:pPr>
        <w:numPr>
          <w:ilvl w:val="1"/>
          <w:numId w:val="6"/>
        </w:numPr>
        <w:tabs>
          <w:tab w:val="left" w:pos="748"/>
        </w:tabs>
        <w:spacing w:after="240"/>
        <w:rPr>
          <w:b/>
        </w:rPr>
      </w:pPr>
      <w:bookmarkStart w:id="11" w:name="_Toc443655357"/>
      <w:bookmarkStart w:id="12" w:name="_Toc505772425"/>
      <w:r w:rsidRPr="00FA69E8">
        <w:rPr>
          <w:rStyle w:val="Heading2Char"/>
        </w:rPr>
        <w:t>General</w:t>
      </w:r>
      <w:bookmarkEnd w:id="11"/>
      <w:bookmarkEnd w:id="12"/>
      <w:r w:rsidRPr="00FA69E8">
        <w:rPr>
          <w:b/>
        </w:rPr>
        <w:t>.</w:t>
      </w:r>
      <w:r w:rsidRPr="00FA69E8">
        <w:t xml:space="preserve"> </w:t>
      </w:r>
    </w:p>
    <w:p w14:paraId="341F4CEE" w14:textId="143A2BDE" w:rsidR="006B3C99" w:rsidRPr="008A68BB" w:rsidRDefault="008F1DC1" w:rsidP="00243F8C">
      <w:pPr>
        <w:numPr>
          <w:ilvl w:val="1"/>
          <w:numId w:val="6"/>
        </w:numPr>
        <w:tabs>
          <w:tab w:val="left" w:pos="748"/>
        </w:tabs>
        <w:spacing w:after="240"/>
        <w:rPr>
          <w:b/>
        </w:rPr>
      </w:pPr>
      <w:bookmarkStart w:id="13" w:name="_Toc443655358"/>
      <w:bookmarkStart w:id="14" w:name="_Toc505772426"/>
      <w:bookmarkStart w:id="15" w:name="_Hlk161053757"/>
      <w:r w:rsidRPr="008A68BB">
        <w:rPr>
          <w:rStyle w:val="Heading2Char"/>
        </w:rPr>
        <w:t>Definitions.</w:t>
      </w:r>
      <w:bookmarkEnd w:id="13"/>
      <w:bookmarkEnd w:id="14"/>
      <w:r w:rsidRPr="008A68BB">
        <w:rPr>
          <w:b/>
        </w:rPr>
        <w:t xml:space="preserve">  </w:t>
      </w:r>
    </w:p>
    <w:p w14:paraId="421B60EF" w14:textId="5958786F" w:rsidR="006B3C99" w:rsidRPr="008A68BB" w:rsidRDefault="006B3C99" w:rsidP="006B3C99">
      <w:pPr>
        <w:spacing w:before="120"/>
        <w:ind w:left="360"/>
        <w:rPr>
          <w:u w:val="single"/>
        </w:rPr>
      </w:pPr>
      <w:r w:rsidRPr="008A68BB">
        <w:rPr>
          <w:b/>
          <w:i/>
          <w:u w:val="single"/>
        </w:rPr>
        <w:t>Battery Storage Losses</w:t>
      </w:r>
      <w:r w:rsidRPr="008A68BB">
        <w:rPr>
          <w:u w:val="single"/>
        </w:rPr>
        <w:t xml:space="preserve"> – Charging and discharging energy losses </w:t>
      </w:r>
      <w:r w:rsidR="00332F05" w:rsidRPr="008A68BB">
        <w:rPr>
          <w:u w:val="single"/>
        </w:rPr>
        <w:t xml:space="preserve">calculated as total annual energy based on the </w:t>
      </w:r>
      <w:r w:rsidR="00332F05" w:rsidRPr="00CF5B2F">
        <w:rPr>
          <w:strike/>
          <w:color w:val="FF0000"/>
          <w:u w:val="single"/>
        </w:rPr>
        <w:t>round-</w:t>
      </w:r>
      <w:proofErr w:type="spellStart"/>
      <w:r w:rsidR="00332F05" w:rsidRPr="00CF5B2F">
        <w:rPr>
          <w:strike/>
          <w:color w:val="FF0000"/>
          <w:u w:val="single"/>
        </w:rPr>
        <w:t>trip</w:t>
      </w:r>
      <w:r w:rsidR="00334CD7" w:rsidRPr="00CF5B2F">
        <w:rPr>
          <w:color w:val="FF0000"/>
          <w:u w:val="single"/>
        </w:rPr>
        <w:t>rated</w:t>
      </w:r>
      <w:proofErr w:type="spellEnd"/>
      <w:r w:rsidR="00334CD7" w:rsidRPr="00CF5B2F">
        <w:rPr>
          <w:color w:val="FF0000"/>
          <w:u w:val="single"/>
        </w:rPr>
        <w:t xml:space="preserve"> single charge-discharge cycle</w:t>
      </w:r>
      <w:r w:rsidR="00332F05" w:rsidRPr="008A68BB">
        <w:rPr>
          <w:u w:val="single"/>
        </w:rPr>
        <w:t xml:space="preserve"> efficiency for the</w:t>
      </w:r>
      <w:r w:rsidRPr="008A68BB">
        <w:rPr>
          <w:u w:val="single"/>
        </w:rPr>
        <w:t xml:space="preserve"> On-Site Battery Storage system.</w:t>
      </w:r>
    </w:p>
    <w:bookmarkEnd w:id="15"/>
    <w:p w14:paraId="3888367D" w14:textId="5285B525" w:rsidR="00C248C7" w:rsidRPr="008A68BB" w:rsidRDefault="0014408A" w:rsidP="005119F7">
      <w:pPr>
        <w:spacing w:before="180"/>
        <w:ind w:left="360"/>
        <w:rPr>
          <w:u w:val="single"/>
        </w:rPr>
      </w:pPr>
      <w:r w:rsidRPr="008A68BB">
        <w:rPr>
          <w:b/>
          <w:bCs/>
          <w:i/>
          <w:iCs/>
          <w:u w:val="single"/>
        </w:rPr>
        <w:t>Carbon Dioxide Equivalen</w:t>
      </w:r>
      <w:r w:rsidR="00DD33F7" w:rsidRPr="008A68BB">
        <w:rPr>
          <w:b/>
          <w:bCs/>
          <w:i/>
          <w:iCs/>
          <w:u w:val="single"/>
        </w:rPr>
        <w:t>t</w:t>
      </w:r>
      <w:r w:rsidRPr="008A68BB">
        <w:rPr>
          <w:b/>
          <w:bCs/>
          <w:i/>
          <w:iCs/>
          <w:u w:val="single"/>
        </w:rPr>
        <w:t xml:space="preserve"> (CO2e)</w:t>
      </w:r>
      <w:r w:rsidR="00E34B9D" w:rsidRPr="008A68BB">
        <w:rPr>
          <w:b/>
          <w:bCs/>
          <w:i/>
          <w:iCs/>
          <w:u w:val="single"/>
        </w:rPr>
        <w:t xml:space="preserve"> Emissions</w:t>
      </w:r>
      <w:r w:rsidRPr="008A68BB">
        <w:rPr>
          <w:u w:val="single"/>
        </w:rPr>
        <w:t xml:space="preserve"> – The CO2 pre-combustion and combustion emissions and the emissions of CH4 and N2O at their 100-year GWP equivalent emissions in accordance with the IPCC Sixth Assessment Report. </w:t>
      </w:r>
    </w:p>
    <w:p w14:paraId="6F25B957" w14:textId="2B5CC913" w:rsidR="00B10AF0" w:rsidRPr="008A68BB" w:rsidRDefault="000A403F" w:rsidP="005119F7">
      <w:pPr>
        <w:spacing w:before="180"/>
        <w:ind w:left="360"/>
        <w:rPr>
          <w:b/>
          <w:i/>
          <w:u w:val="single"/>
        </w:rPr>
      </w:pPr>
      <w:r w:rsidRPr="008A68BB">
        <w:rPr>
          <w:b/>
          <w:bCs/>
          <w:i/>
          <w:iCs/>
          <w:u w:val="single"/>
        </w:rPr>
        <w:t xml:space="preserve">Carbon Dioxide </w:t>
      </w:r>
      <w:r w:rsidR="00622C8C" w:rsidRPr="008A68BB">
        <w:rPr>
          <w:b/>
          <w:bCs/>
          <w:i/>
          <w:iCs/>
          <w:u w:val="single"/>
        </w:rPr>
        <w:t>E</w:t>
      </w:r>
      <w:r w:rsidRPr="008A68BB">
        <w:rPr>
          <w:b/>
          <w:bCs/>
          <w:i/>
          <w:iCs/>
          <w:u w:val="single"/>
        </w:rPr>
        <w:t>quivalen</w:t>
      </w:r>
      <w:r w:rsidR="00DD33F7" w:rsidRPr="008A68BB">
        <w:rPr>
          <w:b/>
          <w:bCs/>
          <w:i/>
          <w:iCs/>
          <w:u w:val="single"/>
        </w:rPr>
        <w:t>t</w:t>
      </w:r>
      <w:r w:rsidRPr="008A68BB">
        <w:rPr>
          <w:b/>
          <w:bCs/>
          <w:i/>
          <w:iCs/>
          <w:u w:val="single"/>
        </w:rPr>
        <w:t xml:space="preserve"> </w:t>
      </w:r>
      <w:r w:rsidR="00291162" w:rsidRPr="008A68BB">
        <w:rPr>
          <w:b/>
          <w:bCs/>
          <w:i/>
          <w:iCs/>
          <w:u w:val="single"/>
        </w:rPr>
        <w:t xml:space="preserve">Rating </w:t>
      </w:r>
      <w:r w:rsidRPr="008A68BB">
        <w:rPr>
          <w:b/>
          <w:bCs/>
          <w:i/>
          <w:iCs/>
          <w:u w:val="single"/>
        </w:rPr>
        <w:t>Index (</w:t>
      </w:r>
      <w:r w:rsidR="00B10AF0" w:rsidRPr="008A68BB">
        <w:rPr>
          <w:b/>
          <w:bCs/>
          <w:i/>
          <w:iCs/>
          <w:u w:val="single"/>
        </w:rPr>
        <w:t xml:space="preserve">CO2e </w:t>
      </w:r>
      <w:r w:rsidR="00291162" w:rsidRPr="008A68BB">
        <w:rPr>
          <w:b/>
          <w:bCs/>
          <w:i/>
          <w:iCs/>
          <w:u w:val="single"/>
        </w:rPr>
        <w:t xml:space="preserve">Rating </w:t>
      </w:r>
      <w:r w:rsidR="00B10AF0" w:rsidRPr="008A68BB">
        <w:rPr>
          <w:b/>
          <w:bCs/>
          <w:i/>
          <w:iCs/>
          <w:u w:val="single"/>
        </w:rPr>
        <w:t>Index</w:t>
      </w:r>
      <w:r w:rsidRPr="008A68BB">
        <w:rPr>
          <w:b/>
          <w:bCs/>
          <w:i/>
          <w:iCs/>
          <w:u w:val="single"/>
        </w:rPr>
        <w:t>)</w:t>
      </w:r>
      <w:r w:rsidR="00B10AF0" w:rsidRPr="008A68BB">
        <w:rPr>
          <w:i/>
          <w:iCs/>
          <w:u w:val="single"/>
        </w:rPr>
        <w:t xml:space="preserve"> </w:t>
      </w:r>
      <w:r w:rsidR="00B10AF0" w:rsidRPr="008A68BB">
        <w:rPr>
          <w:u w:val="single"/>
        </w:rPr>
        <w:t>– A numerical integer value that represents the relative Carbon Dioxide equivalen</w:t>
      </w:r>
      <w:r w:rsidR="00447BB6" w:rsidRPr="008A68BB">
        <w:rPr>
          <w:u w:val="single"/>
        </w:rPr>
        <w:t>t</w:t>
      </w:r>
      <w:r w:rsidR="00B10AF0" w:rsidRPr="008A68BB">
        <w:rPr>
          <w:u w:val="single"/>
        </w:rPr>
        <w:t xml:space="preserve"> (CO2e) emissions of a Rated Home as compared with the CO2e emissions of the CO2e Reference Home where an Index value of 100 represents the CO2e performance of the CO2e Reference Home and an Index value of 0 (zero) represents a home that emits zero net CO2e annually.</w:t>
      </w:r>
    </w:p>
    <w:p w14:paraId="658086D2" w14:textId="77777777" w:rsidR="003D0F38" w:rsidRPr="008A68BB" w:rsidRDefault="003D0F38" w:rsidP="003D0F38">
      <w:pPr>
        <w:tabs>
          <w:tab w:val="left" w:pos="748"/>
        </w:tabs>
        <w:ind w:left="360"/>
        <w:rPr>
          <w:b/>
          <w:i/>
          <w:u w:val="single"/>
        </w:rPr>
      </w:pPr>
    </w:p>
    <w:p w14:paraId="202927FB" w14:textId="77777777" w:rsidR="00AF1DD0" w:rsidRPr="00DA6433" w:rsidRDefault="00AF1DD0" w:rsidP="00AF1DD0">
      <w:pPr>
        <w:autoSpaceDE w:val="0"/>
        <w:autoSpaceDN w:val="0"/>
        <w:adjustRightInd w:val="0"/>
        <w:ind w:left="360"/>
      </w:pPr>
      <w:r w:rsidRPr="008A68BB">
        <w:rPr>
          <w:b/>
          <w:i/>
        </w:rPr>
        <w:lastRenderedPageBreak/>
        <w:t xml:space="preserve">Conditioned Space Volume </w:t>
      </w:r>
      <w:r w:rsidRPr="008A68BB">
        <w:rPr>
          <w:b/>
          <w:i/>
          <w:szCs w:val="22"/>
        </w:rPr>
        <w:t>(CSV)</w:t>
      </w:r>
      <w:r w:rsidRPr="008A68BB">
        <w:rPr>
          <w:rStyle w:val="FootnoteReference"/>
        </w:rPr>
        <w:footnoteReference w:id="2"/>
      </w:r>
      <w:r w:rsidRPr="008A68BB">
        <w:rPr>
          <w:b/>
          <w:i/>
        </w:rPr>
        <w:t xml:space="preserve"> </w:t>
      </w:r>
      <w:r w:rsidRPr="008A68BB">
        <w:rPr>
          <w:i/>
        </w:rPr>
        <w:t>–</w:t>
      </w:r>
      <w:r w:rsidRPr="008A68BB">
        <w:rPr>
          <w:b/>
          <w:i/>
        </w:rPr>
        <w:t xml:space="preserve"> </w:t>
      </w:r>
      <w:r w:rsidRPr="008A68BB">
        <w:t xml:space="preserve">The volume within a Dwelling Unit serviced by a </w:t>
      </w:r>
      <w:r w:rsidRPr="00DA6433">
        <w:t>space heating or cooling system designed to maintain space conditions at 78°F for cooling and 68°F for heating. The following specific spaces are addressed to ensure consistent application of this definition:</w:t>
      </w:r>
    </w:p>
    <w:p w14:paraId="65EF79DC" w14:textId="77777777" w:rsidR="00AF1DD0" w:rsidRPr="00DA6433" w:rsidRDefault="00AF1DD0" w:rsidP="00AF1DD0">
      <w:pPr>
        <w:pStyle w:val="ListParagraph"/>
        <w:numPr>
          <w:ilvl w:val="0"/>
          <w:numId w:val="20"/>
        </w:numPr>
        <w:suppressAutoHyphens/>
        <w:autoSpaceDE w:val="0"/>
        <w:autoSpaceDN w:val="0"/>
        <w:adjustRightInd w:val="0"/>
        <w:spacing w:line="100" w:lineRule="atLeast"/>
        <w:ind w:left="1080"/>
        <w:contextualSpacing/>
      </w:pPr>
      <w:r w:rsidRPr="00DA6433">
        <w:t xml:space="preserve">If the volume both above and below a floor assembly meets this definition and is part of the subject Dwelling Unit, then the </w:t>
      </w:r>
      <w:r w:rsidRPr="00DA6433">
        <w:rPr>
          <w:bCs/>
          <w:iCs/>
          <w:szCs w:val="22"/>
        </w:rPr>
        <w:t xml:space="preserve">CSV shall include the </w:t>
      </w:r>
      <w:r w:rsidRPr="00DA6433">
        <w:t xml:space="preserve">volume of the </w:t>
      </w:r>
      <w:r w:rsidRPr="00DA6433">
        <w:rPr>
          <w:bCs/>
          <w:iCs/>
          <w:szCs w:val="22"/>
        </w:rPr>
        <w:t xml:space="preserve">full depth of the </w:t>
      </w:r>
      <w:r w:rsidRPr="00DA6433">
        <w:t xml:space="preserve">floor assembly. Otherwise, the volume of the </w:t>
      </w:r>
      <w:r w:rsidRPr="00DA6433">
        <w:rPr>
          <w:bCs/>
          <w:iCs/>
          <w:szCs w:val="22"/>
        </w:rPr>
        <w:t xml:space="preserve">full depth of the </w:t>
      </w:r>
      <w:r w:rsidRPr="00DA6433">
        <w:t>floor assembly shall be excluded.</w:t>
      </w:r>
    </w:p>
    <w:p w14:paraId="2F22D72C" w14:textId="77777777" w:rsidR="00AF1DD0" w:rsidRPr="0070117D" w:rsidRDefault="00AF1DD0" w:rsidP="00AF1DD0">
      <w:pPr>
        <w:pStyle w:val="ListParagraph"/>
        <w:suppressAutoHyphens/>
        <w:autoSpaceDE w:val="0"/>
        <w:autoSpaceDN w:val="0"/>
        <w:adjustRightInd w:val="0"/>
        <w:spacing w:line="100" w:lineRule="atLeast"/>
        <w:ind w:left="1440"/>
        <w:contextualSpacing/>
      </w:pPr>
      <w:r w:rsidRPr="0070117D">
        <w:rPr>
          <w:b/>
        </w:rPr>
        <w:t>Exception:</w:t>
      </w:r>
      <w:r w:rsidRPr="0070117D">
        <w:t xml:space="preserve">  The wall height </w:t>
      </w:r>
      <w:r w:rsidRPr="0070117D">
        <w:rPr>
          <w:szCs w:val="22"/>
        </w:rPr>
        <w:t xml:space="preserve">used to determine the volume </w:t>
      </w:r>
      <w:r w:rsidRPr="0070117D">
        <w:t xml:space="preserve">shall extend from the finished floor to the bottom </w:t>
      </w:r>
      <w:r w:rsidRPr="0070117D">
        <w:rPr>
          <w:szCs w:val="22"/>
        </w:rPr>
        <w:t>surface</w:t>
      </w:r>
      <w:r w:rsidRPr="0070117D">
        <w:t xml:space="preserve"> of the floor decking above the Rated Dwelling Unit for </w:t>
      </w:r>
      <w:r w:rsidRPr="0070117D">
        <w:rPr>
          <w:szCs w:val="22"/>
        </w:rPr>
        <w:t>all floors other than the top</w:t>
      </w:r>
      <w:r w:rsidRPr="0070117D">
        <w:rPr>
          <w:strike/>
        </w:rPr>
        <w:t xml:space="preserve"> </w:t>
      </w:r>
      <w:r w:rsidRPr="0070117D">
        <w:t>floor</w:t>
      </w:r>
      <w:r w:rsidRPr="0070117D">
        <w:rPr>
          <w:szCs w:val="22"/>
        </w:rPr>
        <w:t xml:space="preserve">. For Dwelling Units on the top floor, this dimension shall extend from the top surface of the finished floor to the interior surface of the </w:t>
      </w:r>
      <w:r w:rsidRPr="0070117D">
        <w:t>enclosure air barrier.</w:t>
      </w:r>
    </w:p>
    <w:p w14:paraId="66A57C30" w14:textId="77777777"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If the volume of at least one of the spaces horizontally adjacent to a wall assembly meets this definition, and that volume is part of the subject Dwelling Unit, </w:t>
      </w:r>
      <w:r w:rsidRPr="0070117D">
        <w:rPr>
          <w:bCs/>
          <w:iCs/>
          <w:szCs w:val="22"/>
        </w:rPr>
        <w:t xml:space="preserve">CSV shall include </w:t>
      </w:r>
      <w:r w:rsidRPr="0070117D">
        <w:t>the volume of the</w:t>
      </w:r>
      <w:r w:rsidRPr="0070117D">
        <w:rPr>
          <w:bCs/>
          <w:iCs/>
          <w:szCs w:val="22"/>
        </w:rPr>
        <w:t xml:space="preserve"> full width of the</w:t>
      </w:r>
      <w:r w:rsidRPr="0070117D">
        <w:t xml:space="preserve"> wall assembly. Otherwise, the volume of the</w:t>
      </w:r>
      <w:r w:rsidRPr="0070117D">
        <w:rPr>
          <w:bCs/>
          <w:iCs/>
          <w:szCs w:val="22"/>
        </w:rPr>
        <w:t xml:space="preserve"> full width of the</w:t>
      </w:r>
      <w:r w:rsidRPr="0070117D">
        <w:t xml:space="preserve"> wall assembly shall be excluded.</w:t>
      </w:r>
    </w:p>
    <w:p w14:paraId="759A2908" w14:textId="77777777" w:rsidR="00AF1DD0" w:rsidRPr="0070117D" w:rsidRDefault="00AF1DD0" w:rsidP="00AF1DD0">
      <w:pPr>
        <w:pStyle w:val="ListParagraph"/>
        <w:suppressAutoHyphens/>
        <w:autoSpaceDE w:val="0"/>
        <w:autoSpaceDN w:val="0"/>
        <w:adjustRightInd w:val="0"/>
        <w:spacing w:line="100" w:lineRule="atLeast"/>
        <w:ind w:left="1440"/>
        <w:contextualSpacing/>
        <w:rPr>
          <w:strike/>
        </w:rPr>
      </w:pPr>
      <w:r w:rsidRPr="0070117D">
        <w:rPr>
          <w:b/>
        </w:rPr>
        <w:t>Exception:</w:t>
      </w:r>
      <w:r w:rsidRPr="0070117D">
        <w:t xml:space="preserve"> </w:t>
      </w:r>
      <w:r w:rsidRPr="0070117D">
        <w:rPr>
          <w:szCs w:val="22"/>
        </w:rPr>
        <w:t>If the subject Dwelling Unit shares a wall assembly</w:t>
      </w:r>
      <w:r w:rsidRPr="0070117D">
        <w:rPr>
          <w:rStyle w:val="FootnoteReference"/>
          <w:szCs w:val="22"/>
        </w:rPr>
        <w:footnoteReference w:id="3"/>
      </w:r>
      <w:r w:rsidRPr="0070117D">
        <w:rPr>
          <w:szCs w:val="22"/>
        </w:rPr>
        <w:t xml:space="preserve"> with another Dwelling Unit, then the CSV of the subject Dwelling Unit shall include half the volume of the full width of that shared wall assembly.</w:t>
      </w:r>
    </w:p>
    <w:p w14:paraId="362511D1" w14:textId="3F81229D"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The </w:t>
      </w:r>
      <w:r w:rsidRPr="0070117D">
        <w:rPr>
          <w:bCs/>
          <w:iCs/>
          <w:szCs w:val="22"/>
        </w:rPr>
        <w:t xml:space="preserve">CSV shall exclude the </w:t>
      </w:r>
      <w:r w:rsidRPr="0070117D">
        <w:t>volume of a garage even when it is conditioned.</w:t>
      </w:r>
      <w:r w:rsidR="0089683D" w:rsidRPr="0070117D">
        <w:t xml:space="preserve"> </w:t>
      </w:r>
    </w:p>
    <w:p w14:paraId="472946C8" w14:textId="77777777"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The </w:t>
      </w:r>
      <w:r w:rsidRPr="0070117D">
        <w:rPr>
          <w:bCs/>
          <w:iCs/>
          <w:szCs w:val="22"/>
        </w:rPr>
        <w:t xml:space="preserve">CSV shall exclude the </w:t>
      </w:r>
      <w:r w:rsidRPr="0070117D">
        <w:t>volume of a thermally isolated sunroom.</w:t>
      </w:r>
    </w:p>
    <w:p w14:paraId="158D47EB" w14:textId="77777777"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r w:rsidRPr="0070117D">
        <w:t xml:space="preserve">The </w:t>
      </w:r>
      <w:r w:rsidRPr="0070117D">
        <w:rPr>
          <w:bCs/>
          <w:iCs/>
          <w:szCs w:val="22"/>
        </w:rPr>
        <w:t xml:space="preserve">CSV shall include the </w:t>
      </w:r>
      <w:r w:rsidRPr="0070117D">
        <w:t xml:space="preserve">volume of an Attic, crawlspace, or a basement </w:t>
      </w:r>
      <w:r w:rsidRPr="0070117D">
        <w:rPr>
          <w:bCs/>
          <w:iCs/>
          <w:szCs w:val="22"/>
        </w:rPr>
        <w:t xml:space="preserve">only </w:t>
      </w:r>
      <w:r w:rsidRPr="0070117D">
        <w:t xml:space="preserve">if </w:t>
      </w:r>
      <w:r w:rsidRPr="0070117D">
        <w:rPr>
          <w:bCs/>
          <w:iCs/>
          <w:szCs w:val="22"/>
        </w:rPr>
        <w:t>it</w:t>
      </w:r>
      <w:r w:rsidRPr="0070117D" w:rsidDel="001548B4">
        <w:t xml:space="preserve"> </w:t>
      </w:r>
      <w:r w:rsidRPr="0070117D">
        <w:t xml:space="preserve">is contiguous with </w:t>
      </w:r>
      <w:r w:rsidRPr="0070117D">
        <w:rPr>
          <w:bCs/>
          <w:iCs/>
          <w:szCs w:val="22"/>
        </w:rPr>
        <w:t>and dedicated</w:t>
      </w:r>
      <w:bookmarkStart w:id="16" w:name="_Ref56430952"/>
      <w:r w:rsidRPr="0070117D">
        <w:rPr>
          <w:rStyle w:val="FootnoteReference"/>
          <w:bCs/>
          <w:iCs/>
          <w:szCs w:val="22"/>
        </w:rPr>
        <w:footnoteReference w:id="4"/>
      </w:r>
      <w:bookmarkEnd w:id="16"/>
      <w:r w:rsidRPr="0070117D">
        <w:rPr>
          <w:bCs/>
          <w:iCs/>
          <w:szCs w:val="22"/>
        </w:rPr>
        <w:t xml:space="preserve"> to </w:t>
      </w:r>
      <w:r w:rsidRPr="0070117D">
        <w:t xml:space="preserve">the </w:t>
      </w:r>
      <w:bookmarkStart w:id="17" w:name="_Hlk86854245"/>
      <w:r w:rsidRPr="0070117D">
        <w:t>subject</w:t>
      </w:r>
      <w:bookmarkEnd w:id="17"/>
      <w:r w:rsidRPr="0070117D">
        <w:t xml:space="preserve"> Dwelling Unit and the party conducting evaluations has either:</w:t>
      </w:r>
    </w:p>
    <w:p w14:paraId="680CAD01" w14:textId="77777777" w:rsidR="00AF1DD0" w:rsidRPr="0070117D" w:rsidRDefault="00AF1DD0" w:rsidP="00AF1DD0">
      <w:pPr>
        <w:pStyle w:val="ListParagraph"/>
        <w:numPr>
          <w:ilvl w:val="1"/>
          <w:numId w:val="21"/>
        </w:numPr>
        <w:suppressAutoHyphens/>
        <w:autoSpaceDE w:val="0"/>
        <w:autoSpaceDN w:val="0"/>
        <w:adjustRightInd w:val="0"/>
        <w:spacing w:line="100" w:lineRule="atLeast"/>
        <w:contextualSpacing/>
      </w:pPr>
      <w:r w:rsidRPr="0070117D">
        <w:t>Obtained an ACCA Manual J, S, and either B or D report and verified that both the heating and cooling equipment and distribution system are designed to offset the entire design load of the volume; or</w:t>
      </w:r>
    </w:p>
    <w:p w14:paraId="4955E6C4" w14:textId="77777777" w:rsidR="00AF1DD0" w:rsidRPr="0070117D" w:rsidRDefault="00AF1DD0" w:rsidP="00AF1DD0">
      <w:pPr>
        <w:pStyle w:val="ListParagraph"/>
        <w:numPr>
          <w:ilvl w:val="1"/>
          <w:numId w:val="21"/>
        </w:numPr>
        <w:suppressAutoHyphens/>
        <w:autoSpaceDE w:val="0"/>
        <w:autoSpaceDN w:val="0"/>
        <w:adjustRightInd w:val="0"/>
        <w:spacing w:line="100" w:lineRule="atLeast"/>
        <w:contextualSpacing/>
      </w:pPr>
      <w:r w:rsidRPr="0070117D">
        <w:t xml:space="preserve">Verified through visual inspection that both the heating and cooling equipment and distribution system serve the volume and, in the judgment of the party conducting evaluations, </w:t>
      </w:r>
      <w:proofErr w:type="gramStart"/>
      <w:r w:rsidRPr="0070117D">
        <w:t>are capable of maintaining</w:t>
      </w:r>
      <w:proofErr w:type="gramEnd"/>
      <w:r w:rsidRPr="0070117D">
        <w:t xml:space="preserve"> </w:t>
      </w:r>
      <w:r w:rsidRPr="0070117D">
        <w:rPr>
          <w:bCs/>
          <w:iCs/>
          <w:szCs w:val="22"/>
        </w:rPr>
        <w:t xml:space="preserve">space conditions </w:t>
      </w:r>
      <w:r w:rsidRPr="0070117D">
        <w:rPr>
          <w:szCs w:val="22"/>
        </w:rPr>
        <w:t>at 78°F (26°C) for cooling and 68°F (20°C) for heating</w:t>
      </w:r>
      <w:r w:rsidRPr="0070117D">
        <w:t>.</w:t>
      </w:r>
    </w:p>
    <w:p w14:paraId="7F82BA27" w14:textId="2AA74555" w:rsidR="00AF1DD0" w:rsidRPr="0070117D" w:rsidRDefault="00AF1DD0" w:rsidP="00AF1DD0">
      <w:pPr>
        <w:pStyle w:val="ListParagraph"/>
        <w:numPr>
          <w:ilvl w:val="0"/>
          <w:numId w:val="20"/>
        </w:numPr>
        <w:suppressAutoHyphens/>
        <w:autoSpaceDE w:val="0"/>
        <w:autoSpaceDN w:val="0"/>
        <w:adjustRightInd w:val="0"/>
        <w:spacing w:line="100" w:lineRule="atLeast"/>
        <w:ind w:left="1080"/>
        <w:contextualSpacing/>
      </w:pPr>
      <w:bookmarkStart w:id="18" w:name="_Hlk86854293"/>
      <w:r w:rsidRPr="0070117D">
        <w:t xml:space="preserve">The </w:t>
      </w:r>
      <w:r w:rsidRPr="0070117D">
        <w:rPr>
          <w:bCs/>
          <w:iCs/>
          <w:szCs w:val="22"/>
        </w:rPr>
        <w:t xml:space="preserve">CSV shall include the </w:t>
      </w:r>
      <w:r w:rsidRPr="0070117D">
        <w:t>volume of a</w:t>
      </w:r>
      <w:r w:rsidRPr="0070117D">
        <w:rPr>
          <w:iCs/>
          <w:szCs w:val="22"/>
        </w:rPr>
        <w:t>n adjacent</w:t>
      </w:r>
      <w:r w:rsidRPr="0070117D">
        <w:t xml:space="preserve"> mechanical closet, regardless of access location, </w:t>
      </w:r>
      <w:r w:rsidRPr="0070117D">
        <w:rPr>
          <w:iCs/>
          <w:szCs w:val="22"/>
        </w:rPr>
        <w:t>only if it</w:t>
      </w:r>
      <w:r w:rsidRPr="0070117D">
        <w:t xml:space="preserve"> is contiguous with </w:t>
      </w:r>
      <w:r w:rsidRPr="0070117D">
        <w:rPr>
          <w:iCs/>
          <w:szCs w:val="22"/>
        </w:rPr>
        <w:t>and dedicated</w:t>
      </w:r>
      <w:r w:rsidR="007D2084">
        <w:rPr>
          <w:iCs/>
          <w:szCs w:val="22"/>
          <w:vertAlign w:val="superscript"/>
        </w:rPr>
        <w:t>4</w:t>
      </w:r>
      <w:r w:rsidRPr="0070117D">
        <w:rPr>
          <w:iCs/>
          <w:szCs w:val="22"/>
        </w:rPr>
        <w:t xml:space="preserve"> to </w:t>
      </w:r>
      <w:r w:rsidRPr="0070117D">
        <w:t>the subject Dwelling Unit</w:t>
      </w:r>
      <w:r w:rsidRPr="0070117D">
        <w:rPr>
          <w:iCs/>
          <w:szCs w:val="22"/>
        </w:rPr>
        <w:t>, only includes equipment serving the subject Dwelling Unit, and</w:t>
      </w:r>
      <w:r w:rsidRPr="0070117D">
        <w:rPr>
          <w:bCs/>
          <w:iCs/>
          <w:szCs w:val="22"/>
        </w:rPr>
        <w:t xml:space="preserve"> the party conducting evaluations has either</w:t>
      </w:r>
      <w:bookmarkEnd w:id="18"/>
      <w:r w:rsidRPr="0070117D">
        <w:t>:</w:t>
      </w:r>
    </w:p>
    <w:p w14:paraId="552C58E9" w14:textId="77777777" w:rsidR="00AF1DD0" w:rsidRPr="0070117D" w:rsidRDefault="00AF1DD0" w:rsidP="00AF1DD0">
      <w:pPr>
        <w:suppressAutoHyphens/>
        <w:spacing w:after="120"/>
        <w:ind w:left="720"/>
        <w:rPr>
          <w:iCs/>
          <w:szCs w:val="22"/>
        </w:rPr>
      </w:pPr>
    </w:p>
    <w:p w14:paraId="215BCE78" w14:textId="77777777" w:rsidR="00AF1DD0" w:rsidRPr="0070117D" w:rsidRDefault="00AF1DD0" w:rsidP="00AF1DD0">
      <w:pPr>
        <w:numPr>
          <w:ilvl w:val="1"/>
          <w:numId w:val="22"/>
        </w:numPr>
        <w:shd w:val="clear" w:color="auto" w:fill="FFFFFF"/>
        <w:suppressAutoHyphens/>
        <w:spacing w:after="120"/>
        <w:rPr>
          <w:bCs/>
          <w:iCs/>
          <w:szCs w:val="22"/>
        </w:rPr>
      </w:pPr>
      <w:r w:rsidRPr="0070117D">
        <w:rPr>
          <w:bCs/>
          <w:iCs/>
          <w:szCs w:val="22"/>
        </w:rPr>
        <w:t>Obtained an ACCA Manual J, S, and either B or D report and verified that both the heating and cooling equipment and distribution system are designed to offset the entire design load of the volume; or</w:t>
      </w:r>
    </w:p>
    <w:p w14:paraId="5A0C93AE" w14:textId="77777777" w:rsidR="00AF1DD0" w:rsidRPr="0070117D" w:rsidRDefault="00AF1DD0" w:rsidP="00AF1DD0">
      <w:pPr>
        <w:numPr>
          <w:ilvl w:val="1"/>
          <w:numId w:val="22"/>
        </w:numPr>
        <w:shd w:val="clear" w:color="auto" w:fill="FFFFFF"/>
        <w:suppressAutoHyphens/>
        <w:spacing w:after="120"/>
        <w:rPr>
          <w:bCs/>
          <w:iCs/>
          <w:szCs w:val="22"/>
        </w:rPr>
      </w:pPr>
      <w:r w:rsidRPr="0070117D">
        <w:rPr>
          <w:bCs/>
          <w:iCs/>
          <w:szCs w:val="22"/>
        </w:rPr>
        <w:lastRenderedPageBreak/>
        <w:t xml:space="preserve">Verified through visual inspection that both the heating and cooling equipment and distribution system serve the volume and, in the judgment of the party conducting evaluations, </w:t>
      </w:r>
      <w:proofErr w:type="gramStart"/>
      <w:r w:rsidRPr="0070117D">
        <w:rPr>
          <w:szCs w:val="22"/>
        </w:rPr>
        <w:t xml:space="preserve">are capable of </w:t>
      </w:r>
      <w:r w:rsidRPr="0070117D">
        <w:rPr>
          <w:bCs/>
          <w:iCs/>
          <w:szCs w:val="22"/>
        </w:rPr>
        <w:t>maintaining</w:t>
      </w:r>
      <w:proofErr w:type="gramEnd"/>
      <w:r w:rsidRPr="0070117D">
        <w:rPr>
          <w:bCs/>
          <w:iCs/>
          <w:szCs w:val="22"/>
        </w:rPr>
        <w:t xml:space="preserve"> space conditions at 78°F (26°C) for cooling and 68°F (20°C) for heating.</w:t>
      </w:r>
      <w:bookmarkStart w:id="19" w:name="_Hlk86854349"/>
    </w:p>
    <w:bookmarkEnd w:id="19"/>
    <w:p w14:paraId="2F8A5BFE" w14:textId="77777777" w:rsidR="00AF1DD0" w:rsidRDefault="00AF1DD0" w:rsidP="00AF1DD0">
      <w:pPr>
        <w:rPr>
          <w:rFonts w:ascii="Arial" w:hAnsi="Arial" w:cs="Arial"/>
        </w:rPr>
      </w:pPr>
    </w:p>
    <w:p w14:paraId="39B1D96C" w14:textId="77777777" w:rsidR="00443948" w:rsidRPr="00016C42" w:rsidRDefault="00443948" w:rsidP="00443948">
      <w:pPr>
        <w:spacing w:before="180"/>
        <w:ind w:left="360"/>
        <w:rPr>
          <w:bCs/>
          <w:u w:val="single"/>
        </w:rPr>
      </w:pPr>
      <w:bookmarkStart w:id="20" w:name="_Hlk86854620"/>
      <w:r w:rsidRPr="00FB2D17">
        <w:rPr>
          <w:b/>
          <w:i/>
        </w:rPr>
        <w:t>Electric Auxiliary Energy (</w:t>
      </w:r>
      <w:proofErr w:type="spellStart"/>
      <w:r w:rsidRPr="00FB2D17">
        <w:rPr>
          <w:b/>
          <w:i/>
        </w:rPr>
        <w:t>Eae</w:t>
      </w:r>
      <w:proofErr w:type="spellEnd"/>
      <w:r w:rsidRPr="00FB2D17">
        <w:rPr>
          <w:b/>
          <w:i/>
        </w:rPr>
        <w:t>)</w:t>
      </w:r>
      <w:r w:rsidRPr="00016C42">
        <w:rPr>
          <w:bCs/>
          <w:i/>
        </w:rPr>
        <w:t xml:space="preserve"> </w:t>
      </w:r>
      <w:r w:rsidRPr="00016C42">
        <w:rPr>
          <w:bCs/>
        </w:rPr>
        <w:t xml:space="preserve">– The average annual Auxiliary Electric Consumption for a gas Furnace or Boiler in Kilowatt-Hours per year as </w:t>
      </w:r>
      <w:r w:rsidRPr="00016C42">
        <w:rPr>
          <w:bCs/>
          <w:u w:val="single"/>
        </w:rPr>
        <w:t xml:space="preserve">formerly </w:t>
      </w:r>
      <w:r w:rsidRPr="00016C42">
        <w:rPr>
          <w:bCs/>
        </w:rPr>
        <w:t>published in the AHRI Consumer’s Directory of Certified Efficiency Ratings.</w:t>
      </w:r>
    </w:p>
    <w:p w14:paraId="41F5F12A" w14:textId="77777777" w:rsidR="00443948" w:rsidRDefault="00443948" w:rsidP="00443948">
      <w:pPr>
        <w:tabs>
          <w:tab w:val="left" w:pos="748"/>
        </w:tabs>
        <w:ind w:left="360"/>
        <w:rPr>
          <w:bCs/>
          <w:i/>
          <w:u w:val="single"/>
        </w:rPr>
      </w:pPr>
    </w:p>
    <w:p w14:paraId="757F42F3" w14:textId="0BFDC92A" w:rsidR="007D33B4" w:rsidRPr="00016C42" w:rsidRDefault="007D33B4" w:rsidP="007D33B4">
      <w:pPr>
        <w:tabs>
          <w:tab w:val="left" w:pos="748"/>
        </w:tabs>
        <w:ind w:left="360"/>
        <w:rPr>
          <w:bCs/>
          <w:u w:val="single"/>
        </w:rPr>
      </w:pPr>
      <w:bookmarkStart w:id="21" w:name="_Hlk161053873"/>
      <w:r w:rsidRPr="0062454B">
        <w:rPr>
          <w:b/>
          <w:i/>
        </w:rPr>
        <w:t>Heating Seasonal Performance Factor (HSPF)</w:t>
      </w:r>
      <w:r w:rsidRPr="0062454B">
        <w:rPr>
          <w:bCs/>
        </w:rPr>
        <w:t xml:space="preserve"> – A standardized measure of Heat Pump efficiency, based on the total heating output of a Heat Pump in Btu and divided by the total electric energy input in watt-hours and under test conditions specified by</w:t>
      </w:r>
      <w:r w:rsidRPr="008C0353">
        <w:rPr>
          <w:bCs/>
          <w:color w:val="FF0000"/>
        </w:rPr>
        <w:t xml:space="preserve"> </w:t>
      </w:r>
      <w:r w:rsidRPr="008C0353">
        <w:rPr>
          <w:bCs/>
          <w:strike/>
          <w:color w:val="FF0000"/>
        </w:rPr>
        <w:t xml:space="preserve">the Air Conditioning and Refrigeration Institute </w:t>
      </w:r>
      <w:r w:rsidRPr="0062454B">
        <w:rPr>
          <w:bCs/>
        </w:rPr>
        <w:t xml:space="preserve">Standard </w:t>
      </w:r>
      <w:r w:rsidRPr="007D33B4">
        <w:rPr>
          <w:bCs/>
          <w:color w:val="FF0000"/>
          <w:u w:val="single"/>
        </w:rPr>
        <w:t xml:space="preserve">AHRI </w:t>
      </w:r>
      <w:r w:rsidRPr="0062454B">
        <w:rPr>
          <w:bCs/>
        </w:rPr>
        <w:t>210/240</w:t>
      </w:r>
      <w:r w:rsidR="004A00E8">
        <w:rPr>
          <w:bCs/>
          <w:color w:val="FF0000"/>
          <w:u w:val="single"/>
        </w:rPr>
        <w:t xml:space="preserve"> - 2017</w:t>
      </w:r>
      <w:r w:rsidRPr="00016C42">
        <w:rPr>
          <w:bCs/>
          <w:u w:val="single"/>
        </w:rPr>
        <w:t>.</w:t>
      </w:r>
    </w:p>
    <w:p w14:paraId="4523479E" w14:textId="77777777" w:rsidR="007D33B4" w:rsidRPr="00016C42" w:rsidRDefault="007D33B4" w:rsidP="00443948">
      <w:pPr>
        <w:tabs>
          <w:tab w:val="left" w:pos="748"/>
        </w:tabs>
        <w:ind w:left="360"/>
        <w:rPr>
          <w:bCs/>
          <w:i/>
          <w:u w:val="single"/>
        </w:rPr>
      </w:pPr>
    </w:p>
    <w:p w14:paraId="67A8901E" w14:textId="34302E08" w:rsidR="00443948" w:rsidRPr="00016C42" w:rsidRDefault="00443948" w:rsidP="00443948">
      <w:pPr>
        <w:tabs>
          <w:tab w:val="left" w:pos="748"/>
        </w:tabs>
        <w:ind w:left="360"/>
        <w:rPr>
          <w:bCs/>
          <w:u w:val="single"/>
        </w:rPr>
      </w:pPr>
      <w:r w:rsidRPr="00FB2D17">
        <w:rPr>
          <w:b/>
          <w:i/>
          <w:u w:val="single"/>
        </w:rPr>
        <w:t>Heating Seasonal Performance Factor 2 (HSPF2)</w:t>
      </w:r>
      <w:r w:rsidRPr="00016C42">
        <w:rPr>
          <w:bCs/>
          <w:u w:val="single"/>
        </w:rPr>
        <w:t xml:space="preserve"> – A standardized measure of Heat Pump efficiency, based on the total heating output of a Heat Pump in Btu and divided by the total electric energy input in watt-hours and under test conditions specified by </w:t>
      </w:r>
      <w:r w:rsidRPr="007D33B4">
        <w:rPr>
          <w:bCs/>
          <w:strike/>
          <w:color w:val="FF0000"/>
          <w:u w:val="single"/>
        </w:rPr>
        <w:t xml:space="preserve">the Air Conditioning and Refrigeration Institute </w:t>
      </w:r>
      <w:r w:rsidRPr="008C0353">
        <w:rPr>
          <w:bCs/>
          <w:u w:val="single"/>
        </w:rPr>
        <w:t>Standard</w:t>
      </w:r>
      <w:r w:rsidR="007D33B4" w:rsidRPr="008C0353">
        <w:rPr>
          <w:bCs/>
          <w:u w:val="single"/>
        </w:rPr>
        <w:t xml:space="preserve"> </w:t>
      </w:r>
      <w:r w:rsidR="007D33B4">
        <w:rPr>
          <w:bCs/>
          <w:color w:val="FF0000"/>
          <w:u w:val="single"/>
        </w:rPr>
        <w:t>AHRI</w:t>
      </w:r>
      <w:r w:rsidRPr="00016C42">
        <w:rPr>
          <w:bCs/>
          <w:u w:val="single"/>
        </w:rPr>
        <w:t xml:space="preserve"> 210/240</w:t>
      </w:r>
      <w:r w:rsidRPr="007D33B4">
        <w:rPr>
          <w:bCs/>
          <w:strike/>
          <w:color w:val="FF0000"/>
          <w:u w:val="single"/>
        </w:rPr>
        <w:t xml:space="preserve"> 2023</w:t>
      </w:r>
      <w:r w:rsidRPr="00016C42">
        <w:rPr>
          <w:bCs/>
          <w:u w:val="single"/>
        </w:rPr>
        <w:t>.</w:t>
      </w:r>
    </w:p>
    <w:p w14:paraId="48ADB2ED" w14:textId="77777777" w:rsidR="00443948" w:rsidRPr="00016C42" w:rsidRDefault="00443948" w:rsidP="00443948">
      <w:pPr>
        <w:tabs>
          <w:tab w:val="left" w:pos="748"/>
        </w:tabs>
        <w:ind w:left="360"/>
        <w:rPr>
          <w:bCs/>
          <w:iCs/>
          <w:u w:val="single"/>
        </w:rPr>
      </w:pPr>
    </w:p>
    <w:bookmarkEnd w:id="20"/>
    <w:bookmarkEnd w:id="21"/>
    <w:p w14:paraId="1AD5AC2A" w14:textId="5A22FBD0" w:rsidR="00443948" w:rsidRPr="00016C42" w:rsidRDefault="00443948" w:rsidP="00443948">
      <w:pPr>
        <w:spacing w:before="180"/>
        <w:ind w:left="360"/>
        <w:rPr>
          <w:bCs/>
        </w:rPr>
      </w:pPr>
      <w:r w:rsidRPr="00FB2D17">
        <w:rPr>
          <w:b/>
          <w:i/>
        </w:rPr>
        <w:t>Internal Gains</w:t>
      </w:r>
      <w:r w:rsidRPr="00FB2D17">
        <w:rPr>
          <w:b/>
        </w:rPr>
        <w:t xml:space="preserve"> </w:t>
      </w:r>
      <w:r w:rsidRPr="00016C42">
        <w:rPr>
          <w:bCs/>
        </w:rPr>
        <w:t xml:space="preserve">– The heat gains within a home attributable to lights, people, hot water tanks, equipment, appliances, and Miscellaneous Energy Loads </w:t>
      </w:r>
      <w:r w:rsidRPr="00016C42">
        <w:rPr>
          <w:bCs/>
          <w:strike/>
        </w:rPr>
        <w:t>internal to the Conditioned Space Volume</w:t>
      </w:r>
      <w:r w:rsidRPr="00016C42">
        <w:rPr>
          <w:bCs/>
        </w:rPr>
        <w:t>.</w:t>
      </w:r>
    </w:p>
    <w:p w14:paraId="6E77A153" w14:textId="77777777" w:rsidR="00443948" w:rsidRPr="00016C42" w:rsidRDefault="00443948" w:rsidP="00443948">
      <w:pPr>
        <w:spacing w:before="240"/>
        <w:ind w:left="360"/>
        <w:rPr>
          <w:bCs/>
        </w:rPr>
      </w:pPr>
      <w:r w:rsidRPr="00FB2D17">
        <w:rPr>
          <w:b/>
          <w:i/>
          <w:iCs/>
          <w:u w:val="single"/>
        </w:rPr>
        <w:t>On-Site Battery Storage</w:t>
      </w:r>
      <w:r w:rsidRPr="00016C42">
        <w:rPr>
          <w:bCs/>
          <w:u w:val="single"/>
        </w:rPr>
        <w:t xml:space="preserve"> – Electrical energy storage system on the site of the Rated Home accepting electrical energy from On-Site Power Production, storing that electric energy, and then dispatching the stored electric energy to power building loads in accordance with a defined battery energy storage system power dispatch protocol.</w:t>
      </w:r>
    </w:p>
    <w:p w14:paraId="01C6474C" w14:textId="77777777" w:rsidR="00AF1DD0" w:rsidRDefault="00AF1DD0" w:rsidP="00AC02A4">
      <w:pPr>
        <w:tabs>
          <w:tab w:val="left" w:pos="748"/>
        </w:tabs>
        <w:ind w:left="360"/>
        <w:rPr>
          <w:bCs/>
          <w:iCs/>
          <w:u w:val="single"/>
        </w:rPr>
      </w:pPr>
    </w:p>
    <w:p w14:paraId="51FBB5FA" w14:textId="63DEC7E8" w:rsidR="007D33B4" w:rsidRDefault="007D33B4" w:rsidP="00AC02A4">
      <w:pPr>
        <w:tabs>
          <w:tab w:val="left" w:pos="748"/>
        </w:tabs>
        <w:ind w:left="360"/>
        <w:rPr>
          <w:bCs/>
          <w:u w:val="single"/>
        </w:rPr>
      </w:pPr>
      <w:bookmarkStart w:id="22" w:name="_Hlk161053903"/>
      <w:r w:rsidRPr="0090711B">
        <w:rPr>
          <w:b/>
          <w:i/>
        </w:rPr>
        <w:t>Seasonal Energy Efficiency Ratio (SEER)</w:t>
      </w:r>
      <w:r w:rsidRPr="0090711B">
        <w:rPr>
          <w:bCs/>
        </w:rPr>
        <w:t xml:space="preserve"> – A standardized measure of Air Conditioner efficiency based on the total cooling output of an Air Conditioner in Btu/h, divided by the total electric energy input, in Watt-hours, under test conditions specified by </w:t>
      </w:r>
      <w:r w:rsidRPr="008C0353">
        <w:rPr>
          <w:bCs/>
          <w:strike/>
          <w:color w:val="FF0000"/>
        </w:rPr>
        <w:t xml:space="preserve">the Air Conditioning and Refrigeration Institute </w:t>
      </w:r>
      <w:r w:rsidRPr="008C0353">
        <w:rPr>
          <w:bCs/>
        </w:rPr>
        <w:t>Standard</w:t>
      </w:r>
      <w:r w:rsidRPr="008C0353">
        <w:rPr>
          <w:bCs/>
          <w:u w:val="single"/>
        </w:rPr>
        <w:t xml:space="preserve"> </w:t>
      </w:r>
      <w:r w:rsidRPr="0062454B">
        <w:rPr>
          <w:bCs/>
          <w:color w:val="FF0000"/>
          <w:u w:val="single"/>
        </w:rPr>
        <w:t>AHRI</w:t>
      </w:r>
      <w:r w:rsidRPr="008C0353">
        <w:rPr>
          <w:bCs/>
          <w:color w:val="FF0000"/>
        </w:rPr>
        <w:t xml:space="preserve"> </w:t>
      </w:r>
      <w:r w:rsidRPr="008C0353">
        <w:rPr>
          <w:bCs/>
        </w:rPr>
        <w:t>210/240</w:t>
      </w:r>
      <w:r w:rsidR="008C0353" w:rsidRPr="008C0353">
        <w:rPr>
          <w:bCs/>
          <w:color w:val="FF0000"/>
          <w:u w:val="single"/>
        </w:rPr>
        <w:t xml:space="preserve"> </w:t>
      </w:r>
      <w:r w:rsidR="004A00E8" w:rsidRPr="008C0353">
        <w:rPr>
          <w:bCs/>
          <w:color w:val="FF0000"/>
          <w:u w:val="single"/>
        </w:rPr>
        <w:t>- 2017</w:t>
      </w:r>
      <w:r w:rsidRPr="008C0353">
        <w:rPr>
          <w:bCs/>
          <w:u w:val="single"/>
        </w:rPr>
        <w:t>.</w:t>
      </w:r>
    </w:p>
    <w:p w14:paraId="47643440" w14:textId="77777777" w:rsidR="007D33B4" w:rsidRPr="00016C42" w:rsidRDefault="007D33B4" w:rsidP="00AC02A4">
      <w:pPr>
        <w:tabs>
          <w:tab w:val="left" w:pos="748"/>
        </w:tabs>
        <w:ind w:left="360"/>
        <w:rPr>
          <w:bCs/>
          <w:iCs/>
          <w:u w:val="single"/>
        </w:rPr>
      </w:pPr>
    </w:p>
    <w:p w14:paraId="18886229" w14:textId="3762BE8D" w:rsidR="003D0F38" w:rsidRPr="00016C42" w:rsidRDefault="003D0F38" w:rsidP="00AC02A4">
      <w:pPr>
        <w:tabs>
          <w:tab w:val="left" w:pos="748"/>
        </w:tabs>
        <w:ind w:left="360"/>
        <w:rPr>
          <w:bCs/>
          <w:u w:val="single"/>
        </w:rPr>
      </w:pPr>
      <w:r w:rsidRPr="00FB2D17">
        <w:rPr>
          <w:b/>
          <w:i/>
          <w:u w:val="single"/>
        </w:rPr>
        <w:t>Seasonal Energy Efficiency Ratio 2 (SEER2)</w:t>
      </w:r>
      <w:r w:rsidRPr="00016C42">
        <w:rPr>
          <w:bCs/>
          <w:u w:val="single"/>
        </w:rPr>
        <w:t xml:space="preserve"> – A standardized measure of Air Conditioner efficiency based on the total cooling output of an Air Conditioner in Btu/h, divided by the total electric energy input, in Watt-hours, under test conditions specified by </w:t>
      </w:r>
      <w:r w:rsidRPr="007D33B4">
        <w:rPr>
          <w:bCs/>
          <w:strike/>
          <w:color w:val="FF0000"/>
          <w:u w:val="single"/>
        </w:rPr>
        <w:t xml:space="preserve">the </w:t>
      </w:r>
      <w:r w:rsidR="007D33B4" w:rsidRPr="007D33B4">
        <w:rPr>
          <w:bCs/>
          <w:strike/>
          <w:color w:val="FF0000"/>
          <w:u w:val="single"/>
        </w:rPr>
        <w:t xml:space="preserve">Air Conditioning and Refrigeration Institute </w:t>
      </w:r>
      <w:r w:rsidR="007D33B4" w:rsidRPr="008C0353">
        <w:rPr>
          <w:bCs/>
        </w:rPr>
        <w:t xml:space="preserve">Standard </w:t>
      </w:r>
      <w:r w:rsidR="007D33B4">
        <w:rPr>
          <w:bCs/>
          <w:color w:val="FF0000"/>
          <w:u w:val="single"/>
        </w:rPr>
        <w:t>AHRI</w:t>
      </w:r>
      <w:r w:rsidR="007D33B4" w:rsidRPr="00016C42">
        <w:rPr>
          <w:bCs/>
          <w:u w:val="single"/>
        </w:rPr>
        <w:t xml:space="preserve"> 210/240</w:t>
      </w:r>
      <w:r w:rsidR="007D33B4" w:rsidRPr="007D33B4">
        <w:rPr>
          <w:bCs/>
          <w:strike/>
          <w:color w:val="FF0000"/>
          <w:u w:val="single"/>
        </w:rPr>
        <w:t xml:space="preserve"> 2023</w:t>
      </w:r>
      <w:r w:rsidRPr="00016C42">
        <w:rPr>
          <w:bCs/>
          <w:u w:val="single"/>
        </w:rPr>
        <w:t>.</w:t>
      </w:r>
    </w:p>
    <w:p w14:paraId="432A6DF3" w14:textId="77777777" w:rsidR="003D0F38" w:rsidRPr="00016C42" w:rsidRDefault="003D0F38" w:rsidP="00E45002">
      <w:pPr>
        <w:pStyle w:val="ListParagraph"/>
        <w:numPr>
          <w:ilvl w:val="0"/>
          <w:numId w:val="12"/>
        </w:numPr>
        <w:tabs>
          <w:tab w:val="num" w:pos="720"/>
          <w:tab w:val="left" w:pos="748"/>
        </w:tabs>
        <w:spacing w:before="120"/>
        <w:rPr>
          <w:rStyle w:val="Heading3Char"/>
          <w:rFonts w:eastAsia="MS Mincho"/>
          <w:b w:val="0"/>
          <w:vanish/>
          <w:u w:val="single"/>
        </w:rPr>
      </w:pPr>
    </w:p>
    <w:p w14:paraId="4DC8DFD0" w14:textId="77777777" w:rsidR="003D0F38" w:rsidRPr="00016C42" w:rsidRDefault="003D0F38" w:rsidP="00E45002">
      <w:pPr>
        <w:pStyle w:val="ListParagraph"/>
        <w:numPr>
          <w:ilvl w:val="0"/>
          <w:numId w:val="12"/>
        </w:numPr>
        <w:tabs>
          <w:tab w:val="num" w:pos="720"/>
          <w:tab w:val="left" w:pos="748"/>
        </w:tabs>
        <w:spacing w:before="120"/>
        <w:rPr>
          <w:rStyle w:val="Heading3Char"/>
          <w:rFonts w:eastAsia="MS Mincho"/>
          <w:b w:val="0"/>
          <w:vanish/>
          <w:u w:val="single"/>
        </w:rPr>
      </w:pPr>
    </w:p>
    <w:p w14:paraId="2E3F14EA" w14:textId="77777777" w:rsidR="003D0F38" w:rsidRPr="00016C42" w:rsidRDefault="003D0F38" w:rsidP="00E45002">
      <w:pPr>
        <w:pStyle w:val="ListParagraph"/>
        <w:numPr>
          <w:ilvl w:val="0"/>
          <w:numId w:val="12"/>
        </w:numPr>
        <w:tabs>
          <w:tab w:val="num" w:pos="720"/>
          <w:tab w:val="left" w:pos="748"/>
        </w:tabs>
        <w:spacing w:before="120"/>
        <w:rPr>
          <w:rStyle w:val="Heading3Char"/>
          <w:rFonts w:eastAsia="MS Mincho"/>
          <w:b w:val="0"/>
          <w:vanish/>
          <w:u w:val="single"/>
        </w:rPr>
      </w:pPr>
    </w:p>
    <w:p w14:paraId="4512337E" w14:textId="77777777" w:rsidR="003D0F38" w:rsidRPr="00016C42" w:rsidRDefault="003D0F38" w:rsidP="00E45002">
      <w:pPr>
        <w:pStyle w:val="ListParagraph"/>
        <w:numPr>
          <w:ilvl w:val="0"/>
          <w:numId w:val="12"/>
        </w:numPr>
        <w:tabs>
          <w:tab w:val="num" w:pos="720"/>
          <w:tab w:val="left" w:pos="748"/>
        </w:tabs>
        <w:spacing w:before="120"/>
        <w:rPr>
          <w:rStyle w:val="Heading3Char"/>
          <w:rFonts w:eastAsia="MS Mincho"/>
          <w:b w:val="0"/>
          <w:vanish/>
          <w:u w:val="single"/>
        </w:rPr>
      </w:pPr>
    </w:p>
    <w:p w14:paraId="664E447C" w14:textId="77777777" w:rsidR="003D0F38" w:rsidRPr="00016C42" w:rsidRDefault="003D0F38" w:rsidP="00E45002">
      <w:pPr>
        <w:pStyle w:val="ListParagraph"/>
        <w:numPr>
          <w:ilvl w:val="1"/>
          <w:numId w:val="12"/>
        </w:numPr>
        <w:tabs>
          <w:tab w:val="left" w:pos="748"/>
          <w:tab w:val="num" w:pos="792"/>
        </w:tabs>
        <w:spacing w:before="120"/>
        <w:rPr>
          <w:rStyle w:val="Heading3Char"/>
          <w:rFonts w:eastAsia="MS Mincho"/>
          <w:b w:val="0"/>
          <w:vanish/>
          <w:u w:val="single"/>
        </w:rPr>
      </w:pPr>
    </w:p>
    <w:p w14:paraId="63A62F79" w14:textId="77777777" w:rsidR="003D0F38" w:rsidRPr="00016C42" w:rsidRDefault="003D0F38" w:rsidP="00E45002">
      <w:pPr>
        <w:pStyle w:val="ListParagraph"/>
        <w:numPr>
          <w:ilvl w:val="1"/>
          <w:numId w:val="12"/>
        </w:numPr>
        <w:tabs>
          <w:tab w:val="left" w:pos="748"/>
          <w:tab w:val="num" w:pos="792"/>
        </w:tabs>
        <w:spacing w:before="120"/>
        <w:rPr>
          <w:rStyle w:val="Heading3Char"/>
          <w:rFonts w:eastAsia="MS Mincho"/>
          <w:b w:val="0"/>
          <w:vanish/>
          <w:u w:val="single"/>
        </w:rPr>
      </w:pPr>
    </w:p>
    <w:p w14:paraId="79781A68" w14:textId="77777777" w:rsidR="003D0F38" w:rsidRPr="00016C42" w:rsidRDefault="003D0F38" w:rsidP="00E45002">
      <w:pPr>
        <w:pStyle w:val="ListParagraph"/>
        <w:numPr>
          <w:ilvl w:val="1"/>
          <w:numId w:val="12"/>
        </w:numPr>
        <w:tabs>
          <w:tab w:val="left" w:pos="748"/>
          <w:tab w:val="num" w:pos="792"/>
        </w:tabs>
        <w:spacing w:before="120"/>
        <w:rPr>
          <w:rStyle w:val="Heading3Char"/>
          <w:rFonts w:eastAsia="MS Mincho"/>
          <w:b w:val="0"/>
          <w:vanish/>
          <w:u w:val="single"/>
        </w:rPr>
      </w:pPr>
    </w:p>
    <w:p w14:paraId="0F9A05BD" w14:textId="77777777" w:rsidR="003D0F38" w:rsidRPr="00016C42" w:rsidRDefault="003D0F38" w:rsidP="00E45002">
      <w:pPr>
        <w:pStyle w:val="ListParagraph"/>
        <w:numPr>
          <w:ilvl w:val="1"/>
          <w:numId w:val="12"/>
        </w:numPr>
        <w:tabs>
          <w:tab w:val="left" w:pos="748"/>
          <w:tab w:val="num" w:pos="792"/>
        </w:tabs>
        <w:spacing w:before="120"/>
        <w:rPr>
          <w:rStyle w:val="Heading3Char"/>
          <w:rFonts w:eastAsia="MS Mincho"/>
          <w:b w:val="0"/>
          <w:vanish/>
          <w:u w:val="single"/>
        </w:rPr>
      </w:pPr>
    </w:p>
    <w:p w14:paraId="22DAE42D" w14:textId="77777777" w:rsidR="003D0F38" w:rsidRPr="00016C42" w:rsidRDefault="003D0F38" w:rsidP="00E45002">
      <w:pPr>
        <w:pStyle w:val="ListParagraph"/>
        <w:numPr>
          <w:ilvl w:val="2"/>
          <w:numId w:val="12"/>
        </w:numPr>
        <w:spacing w:after="120"/>
        <w:outlineLvl w:val="2"/>
        <w:rPr>
          <w:rStyle w:val="Heading3Char"/>
          <w:rFonts w:eastAsia="MS Mincho"/>
          <w:b w:val="0"/>
          <w:vanish/>
          <w:u w:val="single"/>
        </w:rPr>
      </w:pPr>
    </w:p>
    <w:p w14:paraId="427054E2" w14:textId="77777777" w:rsidR="003D0F38" w:rsidRPr="00016C42" w:rsidRDefault="003D0F38" w:rsidP="00E45002">
      <w:pPr>
        <w:pStyle w:val="ListParagraph"/>
        <w:numPr>
          <w:ilvl w:val="2"/>
          <w:numId w:val="12"/>
        </w:numPr>
        <w:spacing w:after="120"/>
        <w:outlineLvl w:val="2"/>
        <w:rPr>
          <w:rStyle w:val="Heading3Char"/>
          <w:rFonts w:eastAsia="MS Mincho"/>
          <w:b w:val="0"/>
          <w:vanish/>
          <w:u w:val="single"/>
        </w:rPr>
      </w:pPr>
    </w:p>
    <w:p w14:paraId="6A754754" w14:textId="77777777" w:rsidR="003D0F38" w:rsidRPr="00016C42" w:rsidRDefault="003D0F38" w:rsidP="00E45002">
      <w:pPr>
        <w:pStyle w:val="ListParagraph"/>
        <w:numPr>
          <w:ilvl w:val="2"/>
          <w:numId w:val="12"/>
        </w:numPr>
        <w:spacing w:after="120"/>
        <w:outlineLvl w:val="2"/>
        <w:rPr>
          <w:rStyle w:val="Heading3Char"/>
          <w:rFonts w:eastAsia="MS Mincho"/>
          <w:b w:val="0"/>
          <w:vanish/>
          <w:u w:val="single"/>
        </w:rPr>
      </w:pPr>
    </w:p>
    <w:p w14:paraId="2A25B11E" w14:textId="77777777" w:rsidR="00443948" w:rsidRPr="00016C42" w:rsidRDefault="00443948" w:rsidP="00443948">
      <w:pPr>
        <w:autoSpaceDE w:val="0"/>
        <w:autoSpaceDN w:val="0"/>
        <w:adjustRightInd w:val="0"/>
        <w:rPr>
          <w:bCs/>
          <w:i/>
        </w:rPr>
      </w:pPr>
    </w:p>
    <w:bookmarkEnd w:id="22"/>
    <w:p w14:paraId="5AE13853" w14:textId="018D709C" w:rsidR="00443948" w:rsidRPr="00646D50" w:rsidRDefault="00443948" w:rsidP="00443948">
      <w:pPr>
        <w:autoSpaceDE w:val="0"/>
        <w:autoSpaceDN w:val="0"/>
        <w:adjustRightInd w:val="0"/>
        <w:ind w:left="360"/>
      </w:pPr>
      <w:r w:rsidRPr="00FB2D17">
        <w:rPr>
          <w:b/>
          <w:i/>
        </w:rPr>
        <w:t>Unconditioned Space Volume</w:t>
      </w:r>
      <w:r w:rsidRPr="00FB2D17">
        <w:rPr>
          <w:rStyle w:val="FootnoteReference"/>
          <w:b/>
          <w:iCs/>
        </w:rPr>
        <w:footnoteReference w:id="5"/>
      </w:r>
      <w:r w:rsidRPr="00016C42">
        <w:rPr>
          <w:bCs/>
          <w:i/>
        </w:rPr>
        <w:t xml:space="preserve"> – </w:t>
      </w:r>
      <w:r w:rsidRPr="00016C42">
        <w:rPr>
          <w:bCs/>
        </w:rPr>
        <w:t xml:space="preserve">The volume within a building or Dwelling Unit that is not Conditioned Space </w:t>
      </w:r>
      <w:proofErr w:type="gramStart"/>
      <w:r w:rsidRPr="00016C42">
        <w:rPr>
          <w:bCs/>
        </w:rPr>
        <w:t>Volume</w:t>
      </w:r>
      <w:proofErr w:type="gramEnd"/>
      <w:r w:rsidRPr="00016C42">
        <w:rPr>
          <w:bCs/>
        </w:rPr>
        <w:t xml:space="preserve"> but which contains heat sources or sinks that influence the temperature of the area or room. The following specific spaces are addressed to ensure</w:t>
      </w:r>
      <w:r w:rsidRPr="00016C42">
        <w:t xml:space="preserve"> </w:t>
      </w:r>
      <w:r w:rsidRPr="00646D50">
        <w:t xml:space="preserve">consistent application of this </w:t>
      </w:r>
      <w:r w:rsidRPr="00723CF0">
        <w:t>definition</w:t>
      </w:r>
      <w:r w:rsidRPr="00723CF0">
        <w:rPr>
          <w:bCs/>
          <w:iCs/>
          <w:szCs w:val="22"/>
        </w:rPr>
        <w:t xml:space="preserve"> for inclusion in Unconditioned Space Volume</w:t>
      </w:r>
      <w:r w:rsidRPr="00646D50">
        <w:t>:</w:t>
      </w:r>
    </w:p>
    <w:p w14:paraId="0D3ABDF1" w14:textId="77777777" w:rsidR="00443948" w:rsidRPr="00723CF0" w:rsidRDefault="00443948" w:rsidP="00443948">
      <w:pPr>
        <w:pStyle w:val="ListParagraph"/>
        <w:numPr>
          <w:ilvl w:val="0"/>
          <w:numId w:val="23"/>
        </w:numPr>
        <w:suppressAutoHyphens/>
        <w:autoSpaceDE w:val="0"/>
        <w:autoSpaceDN w:val="0"/>
        <w:adjustRightInd w:val="0"/>
        <w:spacing w:line="100" w:lineRule="atLeast"/>
        <w:ind w:left="1080"/>
        <w:contextualSpacing/>
      </w:pPr>
      <w:r w:rsidRPr="00646D50">
        <w:lastRenderedPageBreak/>
        <w:t xml:space="preserve">If either one or </w:t>
      </w:r>
      <w:proofErr w:type="gramStart"/>
      <w:r w:rsidRPr="00646D50">
        <w:t>both of the volumes</w:t>
      </w:r>
      <w:proofErr w:type="gramEnd"/>
      <w:r w:rsidRPr="00646D50">
        <w:t xml:space="preserve"> above and below a floor assembly is Unconditioned Space Volume, then the volume of </w:t>
      </w:r>
      <w:r w:rsidRPr="00723CF0">
        <w:t xml:space="preserve">the </w:t>
      </w:r>
      <w:r w:rsidRPr="00723CF0">
        <w:rPr>
          <w:bCs/>
          <w:iCs/>
          <w:szCs w:val="22"/>
        </w:rPr>
        <w:t xml:space="preserve">full depth of the </w:t>
      </w:r>
      <w:r w:rsidRPr="00723CF0">
        <w:t>floor assembly shall be included.</w:t>
      </w:r>
    </w:p>
    <w:p w14:paraId="21958EB5" w14:textId="77777777" w:rsidR="00443948" w:rsidRPr="00723CF0" w:rsidRDefault="00443948" w:rsidP="00443948">
      <w:pPr>
        <w:numPr>
          <w:ilvl w:val="0"/>
          <w:numId w:val="23"/>
        </w:numPr>
        <w:shd w:val="clear" w:color="auto" w:fill="FFFFFF"/>
        <w:suppressAutoHyphens/>
        <w:spacing w:after="120"/>
        <w:ind w:left="1080"/>
        <w:rPr>
          <w:bCs/>
          <w:iCs/>
          <w:szCs w:val="22"/>
        </w:rPr>
      </w:pPr>
      <w:r w:rsidRPr="00723CF0">
        <w:t xml:space="preserve">If the volume of </w:t>
      </w:r>
      <w:proofErr w:type="gramStart"/>
      <w:r w:rsidRPr="00723CF0">
        <w:t>both of the spaces</w:t>
      </w:r>
      <w:proofErr w:type="gramEnd"/>
      <w:r w:rsidRPr="00723CF0">
        <w:t xml:space="preserve"> horizontally adjacent to a wall assembly are Unconditioned Space Volume, then the volume of the </w:t>
      </w:r>
      <w:r w:rsidRPr="00723CF0">
        <w:rPr>
          <w:bCs/>
          <w:iCs/>
          <w:szCs w:val="22"/>
        </w:rPr>
        <w:t xml:space="preserve">full width of the </w:t>
      </w:r>
      <w:r w:rsidRPr="00723CF0">
        <w:t>wall assembly shall be included.</w:t>
      </w:r>
    </w:p>
    <w:p w14:paraId="01908C86" w14:textId="77777777" w:rsidR="00443948" w:rsidRPr="00723CF0" w:rsidRDefault="00443948" w:rsidP="00443948">
      <w:pPr>
        <w:pStyle w:val="ListParagraph"/>
        <w:suppressAutoHyphens/>
        <w:autoSpaceDE w:val="0"/>
        <w:autoSpaceDN w:val="0"/>
        <w:adjustRightInd w:val="0"/>
        <w:spacing w:line="100" w:lineRule="atLeast"/>
        <w:ind w:left="1440"/>
        <w:contextualSpacing/>
      </w:pPr>
      <w:r w:rsidRPr="00723CF0">
        <w:rPr>
          <w:b/>
          <w:szCs w:val="22"/>
        </w:rPr>
        <w:t>Exception:</w:t>
      </w:r>
      <w:r w:rsidRPr="00723CF0">
        <w:rPr>
          <w:szCs w:val="22"/>
        </w:rPr>
        <w:t xml:space="preserve"> If the volume of one of the spaces horizontally adjacent to a wall assembly is a Dwelling Unit other than the subject Dwelling Unit, then the volume of the full width of that wall assembly shall be evenly divided between both adjacent Dwelling Units.</w:t>
      </w:r>
    </w:p>
    <w:p w14:paraId="216BB132" w14:textId="4580DA6A" w:rsidR="00443948" w:rsidRPr="00646D50" w:rsidRDefault="00443948" w:rsidP="00443948">
      <w:pPr>
        <w:pStyle w:val="ListParagraph"/>
        <w:numPr>
          <w:ilvl w:val="0"/>
          <w:numId w:val="23"/>
        </w:numPr>
        <w:suppressAutoHyphens/>
        <w:autoSpaceDE w:val="0"/>
        <w:autoSpaceDN w:val="0"/>
        <w:adjustRightInd w:val="0"/>
        <w:spacing w:line="100" w:lineRule="atLeast"/>
        <w:ind w:left="1080"/>
        <w:contextualSpacing/>
      </w:pPr>
      <w:r w:rsidRPr="00646D50">
        <w:t>The volume of an attached garage shall be included, even when it is conditioned.</w:t>
      </w:r>
      <w:r w:rsidR="00E13FE4" w:rsidRPr="00646D50">
        <w:t xml:space="preserve"> </w:t>
      </w:r>
    </w:p>
    <w:p w14:paraId="3B798DB4" w14:textId="77777777" w:rsidR="00443948" w:rsidRPr="00723CF0" w:rsidRDefault="00443948" w:rsidP="00443948">
      <w:pPr>
        <w:pStyle w:val="ListParagraph"/>
        <w:numPr>
          <w:ilvl w:val="0"/>
          <w:numId w:val="23"/>
        </w:numPr>
        <w:suppressAutoHyphens/>
        <w:autoSpaceDE w:val="0"/>
        <w:autoSpaceDN w:val="0"/>
        <w:adjustRightInd w:val="0"/>
        <w:spacing w:line="100" w:lineRule="atLeast"/>
        <w:ind w:left="1080"/>
        <w:contextualSpacing/>
      </w:pPr>
      <w:r w:rsidRPr="00723CF0">
        <w:t>The volume of a thermally isolated sunroom shall be included.</w:t>
      </w:r>
    </w:p>
    <w:p w14:paraId="413DFCC2" w14:textId="77777777" w:rsidR="00443948" w:rsidRPr="00723CF0" w:rsidRDefault="00443948" w:rsidP="00443948">
      <w:pPr>
        <w:pStyle w:val="ListParagraph"/>
        <w:numPr>
          <w:ilvl w:val="0"/>
          <w:numId w:val="23"/>
        </w:numPr>
        <w:suppressAutoHyphens/>
        <w:autoSpaceDE w:val="0"/>
        <w:autoSpaceDN w:val="0"/>
        <w:adjustRightInd w:val="0"/>
        <w:spacing w:line="100" w:lineRule="atLeast"/>
        <w:ind w:left="1080"/>
        <w:contextualSpacing/>
      </w:pPr>
      <w:r w:rsidRPr="00723CF0">
        <w:t xml:space="preserve">The volume of an Attic, </w:t>
      </w:r>
      <w:r w:rsidRPr="00723CF0">
        <w:rPr>
          <w:bCs/>
          <w:iCs/>
          <w:szCs w:val="22"/>
        </w:rPr>
        <w:t>a</w:t>
      </w:r>
      <w:r w:rsidRPr="00723CF0">
        <w:t xml:space="preserve"> crawlspace, </w:t>
      </w:r>
      <w:r w:rsidRPr="00723CF0">
        <w:rPr>
          <w:bCs/>
          <w:iCs/>
          <w:szCs w:val="22"/>
        </w:rPr>
        <w:t xml:space="preserve">or </w:t>
      </w:r>
      <w:r w:rsidRPr="00723CF0">
        <w:t xml:space="preserve">a basement shall be included unless it meets the definition of Conditioned Space Volume. </w:t>
      </w:r>
    </w:p>
    <w:p w14:paraId="10583671" w14:textId="77777777" w:rsidR="00464872" w:rsidRPr="00D44C6B" w:rsidRDefault="00464872" w:rsidP="00464872">
      <w:pPr>
        <w:spacing w:before="180"/>
        <w:rPr>
          <w:color w:val="FF0000"/>
        </w:rPr>
      </w:pPr>
    </w:p>
    <w:p w14:paraId="0B75D9DB" w14:textId="5D88F482" w:rsidR="00464872" w:rsidRPr="00016C42" w:rsidRDefault="00464872" w:rsidP="00E45002">
      <w:pPr>
        <w:pStyle w:val="ListParagraph"/>
        <w:numPr>
          <w:ilvl w:val="1"/>
          <w:numId w:val="18"/>
        </w:numPr>
        <w:tabs>
          <w:tab w:val="left" w:pos="748"/>
        </w:tabs>
        <w:rPr>
          <w:b/>
        </w:rPr>
      </w:pPr>
      <w:bookmarkStart w:id="23" w:name="_Hlk161053935"/>
      <w:r w:rsidRPr="00016C42">
        <w:rPr>
          <w:rStyle w:val="Heading2Char"/>
        </w:rPr>
        <w:t>Acronyms</w:t>
      </w:r>
      <w:r w:rsidRPr="00016C42">
        <w:rPr>
          <w:b/>
        </w:rPr>
        <w:t>.</w:t>
      </w:r>
    </w:p>
    <w:p w14:paraId="22F8EBB0" w14:textId="5B1C10DB" w:rsidR="007D33B4" w:rsidRPr="00DA2D00" w:rsidRDefault="007D33B4" w:rsidP="00243F8C">
      <w:pPr>
        <w:pStyle w:val="ListParagraph"/>
        <w:spacing w:before="180"/>
        <w:ind w:left="360"/>
        <w:rPr>
          <w:b/>
          <w:i/>
          <w:color w:val="FF0000"/>
          <w:u w:val="single"/>
        </w:rPr>
      </w:pPr>
      <w:r w:rsidRPr="00DA2D00">
        <w:rPr>
          <w:b/>
          <w:color w:val="FF0000"/>
          <w:u w:val="single"/>
        </w:rPr>
        <w:t xml:space="preserve">AHRI </w:t>
      </w:r>
      <w:r w:rsidR="004A00E8">
        <w:rPr>
          <w:b/>
          <w:color w:val="FF0000"/>
          <w:u w:val="single"/>
        </w:rPr>
        <w:t>–</w:t>
      </w:r>
      <w:r w:rsidR="005807A2">
        <w:rPr>
          <w:b/>
          <w:color w:val="FF0000"/>
          <w:u w:val="single"/>
        </w:rPr>
        <w:t xml:space="preserve"> </w:t>
      </w:r>
      <w:r w:rsidRPr="00DA2D00">
        <w:rPr>
          <w:bCs/>
          <w:color w:val="FF0000"/>
          <w:u w:val="single"/>
        </w:rPr>
        <w:t>Air</w:t>
      </w:r>
      <w:r w:rsidR="004A00E8">
        <w:rPr>
          <w:bCs/>
          <w:color w:val="FF0000"/>
          <w:u w:val="single"/>
        </w:rPr>
        <w:t>-</w:t>
      </w:r>
      <w:r w:rsidRPr="00DA2D00">
        <w:rPr>
          <w:bCs/>
          <w:color w:val="FF0000"/>
          <w:u w:val="single"/>
        </w:rPr>
        <w:t>Conditioning</w:t>
      </w:r>
      <w:r w:rsidR="004A00E8">
        <w:rPr>
          <w:bCs/>
          <w:color w:val="FF0000"/>
          <w:u w:val="single"/>
        </w:rPr>
        <w:t>,</w:t>
      </w:r>
      <w:r w:rsidRPr="00DA2D00">
        <w:rPr>
          <w:bCs/>
          <w:color w:val="FF0000"/>
          <w:u w:val="single"/>
        </w:rPr>
        <w:t xml:space="preserve"> </w:t>
      </w:r>
      <w:r w:rsidR="004A00E8">
        <w:rPr>
          <w:bCs/>
          <w:color w:val="FF0000"/>
          <w:u w:val="single"/>
        </w:rPr>
        <w:t xml:space="preserve">Heating, </w:t>
      </w:r>
      <w:r w:rsidRPr="00DA2D00">
        <w:rPr>
          <w:bCs/>
          <w:color w:val="FF0000"/>
          <w:u w:val="single"/>
        </w:rPr>
        <w:t>and Refrigeration Institute</w:t>
      </w:r>
    </w:p>
    <w:bookmarkEnd w:id="23"/>
    <w:p w14:paraId="4EF4E680" w14:textId="6FAB8ACE" w:rsidR="00E15344" w:rsidRPr="003661CD" w:rsidRDefault="00E15344" w:rsidP="00243F8C">
      <w:pPr>
        <w:pStyle w:val="ListParagraph"/>
        <w:spacing w:before="180"/>
        <w:ind w:left="360"/>
        <w:rPr>
          <w:bCs/>
          <w:i/>
          <w:u w:val="single"/>
        </w:rPr>
      </w:pPr>
      <w:r w:rsidRPr="00FB2D17">
        <w:rPr>
          <w:b/>
          <w:i/>
          <w:u w:val="single"/>
        </w:rPr>
        <w:t>CFIS</w:t>
      </w:r>
      <w:r w:rsidRPr="003661CD">
        <w:rPr>
          <w:bCs/>
          <w:i/>
          <w:u w:val="single"/>
        </w:rPr>
        <w:t xml:space="preserve"> - </w:t>
      </w:r>
      <w:r w:rsidRPr="003661CD">
        <w:rPr>
          <w:rFonts w:cstheme="minorHAnsi"/>
          <w:bCs/>
          <w:i/>
          <w:iCs/>
          <w:u w:val="single"/>
        </w:rPr>
        <w:t>Central Fan Integrated Supply</w:t>
      </w:r>
    </w:p>
    <w:p w14:paraId="73389E5A" w14:textId="2C3D608E" w:rsidR="006B6603" w:rsidRPr="003661CD" w:rsidRDefault="006B6603" w:rsidP="00243F8C">
      <w:pPr>
        <w:pStyle w:val="ListParagraph"/>
        <w:spacing w:before="180"/>
        <w:ind w:left="360"/>
        <w:rPr>
          <w:bCs/>
          <w:i/>
          <w:u w:val="single"/>
        </w:rPr>
      </w:pPr>
      <w:r w:rsidRPr="00FB2D17">
        <w:rPr>
          <w:b/>
          <w:i/>
          <w:u w:val="single"/>
        </w:rPr>
        <w:t>CO</w:t>
      </w:r>
      <w:r w:rsidRPr="00FB2D17">
        <w:rPr>
          <w:b/>
          <w:i/>
          <w:u w:val="single"/>
          <w:vertAlign w:val="subscript"/>
        </w:rPr>
        <w:t>2</w:t>
      </w:r>
      <w:r w:rsidRPr="00FB2D17">
        <w:rPr>
          <w:b/>
          <w:i/>
          <w:u w:val="single"/>
        </w:rPr>
        <w:t xml:space="preserve">e </w:t>
      </w:r>
      <w:r w:rsidR="006073FD" w:rsidRPr="00FB2D17">
        <w:rPr>
          <w:b/>
          <w:i/>
          <w:u w:val="single"/>
        </w:rPr>
        <w:t xml:space="preserve">Rating </w:t>
      </w:r>
      <w:r w:rsidRPr="00FB2D17">
        <w:rPr>
          <w:b/>
          <w:i/>
          <w:u w:val="single"/>
        </w:rPr>
        <w:t>Index</w:t>
      </w:r>
      <w:r w:rsidRPr="003661CD">
        <w:rPr>
          <w:bCs/>
          <w:i/>
          <w:u w:val="single"/>
        </w:rPr>
        <w:t xml:space="preserve"> </w:t>
      </w:r>
      <w:r w:rsidRPr="003661CD">
        <w:rPr>
          <w:bCs/>
          <w:iCs/>
          <w:u w:val="single"/>
        </w:rPr>
        <w:t xml:space="preserve">– Carbon Dioxide </w:t>
      </w:r>
      <w:r w:rsidR="008A2145" w:rsidRPr="003661CD">
        <w:rPr>
          <w:bCs/>
          <w:iCs/>
          <w:u w:val="single"/>
        </w:rPr>
        <w:t>Equivalen</w:t>
      </w:r>
      <w:r w:rsidR="00447BB6" w:rsidRPr="003661CD">
        <w:rPr>
          <w:bCs/>
          <w:iCs/>
          <w:u w:val="single"/>
        </w:rPr>
        <w:t>t</w:t>
      </w:r>
      <w:r w:rsidR="008A2145" w:rsidRPr="003661CD">
        <w:rPr>
          <w:bCs/>
          <w:iCs/>
          <w:u w:val="single"/>
        </w:rPr>
        <w:t xml:space="preserve"> </w:t>
      </w:r>
      <w:r w:rsidR="00710E14" w:rsidRPr="003661CD">
        <w:rPr>
          <w:bCs/>
          <w:iCs/>
          <w:u w:val="single"/>
        </w:rPr>
        <w:t xml:space="preserve">Rating </w:t>
      </w:r>
      <w:r w:rsidRPr="003661CD">
        <w:rPr>
          <w:bCs/>
          <w:iCs/>
          <w:u w:val="single"/>
        </w:rPr>
        <w:t>Index</w:t>
      </w:r>
    </w:p>
    <w:p w14:paraId="2A0D3CA5" w14:textId="1EB50B37" w:rsidR="00464872" w:rsidRPr="003661CD" w:rsidRDefault="00464872" w:rsidP="00464872">
      <w:pPr>
        <w:spacing w:before="180"/>
        <w:ind w:left="360"/>
        <w:rPr>
          <w:bCs/>
          <w:i/>
          <w:u w:val="single"/>
        </w:rPr>
      </w:pPr>
      <w:r w:rsidRPr="00FB2D17">
        <w:rPr>
          <w:b/>
          <w:i/>
          <w:u w:val="single"/>
        </w:rPr>
        <w:t>REC</w:t>
      </w:r>
      <w:r w:rsidRPr="003661CD">
        <w:rPr>
          <w:bCs/>
          <w:iCs/>
          <w:u w:val="single"/>
        </w:rPr>
        <w:t xml:space="preserve"> - Renewa</w:t>
      </w:r>
      <w:r w:rsidR="008A2145" w:rsidRPr="003661CD">
        <w:rPr>
          <w:bCs/>
          <w:iCs/>
          <w:u w:val="single"/>
        </w:rPr>
        <w:t>ble</w:t>
      </w:r>
      <w:r w:rsidRPr="003661CD">
        <w:rPr>
          <w:bCs/>
          <w:iCs/>
          <w:u w:val="single"/>
        </w:rPr>
        <w:t xml:space="preserve"> </w:t>
      </w:r>
      <w:r w:rsidR="006B3C99" w:rsidRPr="003661CD">
        <w:rPr>
          <w:bCs/>
          <w:iCs/>
          <w:u w:val="single"/>
        </w:rPr>
        <w:t>Energy Certificate</w:t>
      </w:r>
    </w:p>
    <w:p w14:paraId="54F57FED" w14:textId="0E90F09F" w:rsidR="00BC72F5" w:rsidRDefault="00BC72F5" w:rsidP="00BF0140">
      <w:pPr>
        <w:spacing w:after="200" w:line="276" w:lineRule="auto"/>
      </w:pPr>
    </w:p>
    <w:p w14:paraId="693991B8" w14:textId="46EB966E" w:rsidR="008F1DC1" w:rsidRPr="00FA69E8" w:rsidRDefault="008F1DC1" w:rsidP="00E45002">
      <w:pPr>
        <w:pStyle w:val="ListParagraph"/>
        <w:numPr>
          <w:ilvl w:val="0"/>
          <w:numId w:val="17"/>
        </w:numPr>
        <w:tabs>
          <w:tab w:val="left" w:pos="748"/>
        </w:tabs>
        <w:rPr>
          <w:b/>
        </w:rPr>
      </w:pPr>
      <w:r w:rsidRPr="00FA69E8">
        <w:rPr>
          <w:rStyle w:val="Heading1Char1"/>
        </w:rPr>
        <w:t>Energy Rating Calculation Procedures.</w:t>
      </w:r>
    </w:p>
    <w:p w14:paraId="60982BE4" w14:textId="77777777" w:rsidR="008F1DC1" w:rsidRPr="00FA69E8" w:rsidRDefault="008F1DC1" w:rsidP="008F1DC1">
      <w:pPr>
        <w:tabs>
          <w:tab w:val="left" w:pos="748"/>
        </w:tabs>
        <w:rPr>
          <w:b/>
        </w:rPr>
      </w:pPr>
      <w:bookmarkStart w:id="24" w:name="_Toc309821122"/>
    </w:p>
    <w:p w14:paraId="3B3C4F82" w14:textId="1FBE6B5B" w:rsidR="008F1DC1" w:rsidRPr="00FA69E8" w:rsidRDefault="008F1DC1" w:rsidP="00F3759E">
      <w:pPr>
        <w:numPr>
          <w:ilvl w:val="1"/>
          <w:numId w:val="6"/>
        </w:numPr>
        <w:tabs>
          <w:tab w:val="left" w:pos="748"/>
          <w:tab w:val="right" w:pos="9360"/>
        </w:tabs>
        <w:rPr>
          <w:b/>
        </w:rPr>
      </w:pPr>
      <w:bookmarkStart w:id="25" w:name="_Toc443655361"/>
      <w:bookmarkStart w:id="26" w:name="_Toc505772429"/>
      <w:bookmarkStart w:id="27" w:name="_Ref495407365"/>
      <w:r w:rsidRPr="00FA69E8">
        <w:rPr>
          <w:rStyle w:val="Heading2Char"/>
        </w:rPr>
        <w:t>Determining the Energy Rating Index</w:t>
      </w:r>
      <w:bookmarkEnd w:id="25"/>
      <w:bookmarkEnd w:id="26"/>
      <w:r w:rsidRPr="00FA69E8">
        <w:t>.</w:t>
      </w:r>
      <w:r w:rsidRPr="00FA69E8">
        <w:rPr>
          <w:b/>
        </w:rPr>
        <w:t xml:space="preserve"> </w:t>
      </w:r>
      <w:bookmarkEnd w:id="27"/>
    </w:p>
    <w:p w14:paraId="6729389B" w14:textId="620B8F05" w:rsidR="006644E5" w:rsidRPr="00FA69E8" w:rsidRDefault="006644E5" w:rsidP="006644E5">
      <w:pPr>
        <w:tabs>
          <w:tab w:val="left" w:pos="748"/>
          <w:tab w:val="right" w:pos="9360"/>
        </w:tabs>
        <w:rPr>
          <w:rStyle w:val="Heading2Char"/>
        </w:rPr>
      </w:pPr>
    </w:p>
    <w:p w14:paraId="4076390D" w14:textId="77777777" w:rsidR="009214B3" w:rsidRPr="00FA69E8" w:rsidRDefault="006644E5" w:rsidP="00E45002">
      <w:pPr>
        <w:pStyle w:val="three"/>
        <w:numPr>
          <w:ilvl w:val="2"/>
          <w:numId w:val="15"/>
        </w:numPr>
        <w:ind w:left="0" w:firstLine="0"/>
      </w:pPr>
      <w:bookmarkStart w:id="28" w:name="_Hlk161054060"/>
      <w:bookmarkStart w:id="29" w:name="_Toc443655363"/>
      <w:bookmarkStart w:id="30" w:name="_Toc505772431"/>
      <w:bookmarkStart w:id="31" w:name="_Ref495402200"/>
      <w:r w:rsidRPr="00FA69E8">
        <w:rPr>
          <w:b/>
        </w:rPr>
        <w:t>Calculating End Use Loads.</w:t>
      </w:r>
      <w:r w:rsidR="009214B3" w:rsidRPr="00FA69E8">
        <w:rPr>
          <w:bCs w:val="0"/>
        </w:rPr>
        <w:t xml:space="preserve">   </w:t>
      </w:r>
      <w:r w:rsidR="009214B3" w:rsidRPr="00FA69E8">
        <w:t>The normalized Modified End Use Loads (</w:t>
      </w:r>
      <w:proofErr w:type="spellStart"/>
      <w:r w:rsidR="009214B3" w:rsidRPr="00FA69E8">
        <w:t>nMEUL</w:t>
      </w:r>
      <w:proofErr w:type="spellEnd"/>
      <w:r w:rsidR="009214B3" w:rsidRPr="00FA69E8">
        <w:t xml:space="preserve">) for space heating and </w:t>
      </w:r>
      <w:r w:rsidR="009214B3" w:rsidRPr="00FA69E8">
        <w:rPr>
          <w:rFonts w:eastAsia="MS Gothic"/>
          <w:kern w:val="24"/>
          <w:szCs w:val="26"/>
        </w:rPr>
        <w:t>cooling</w:t>
      </w:r>
      <w:r w:rsidR="009214B3" w:rsidRPr="00FA69E8">
        <w:t xml:space="preserve"> and service hot water use shall each be determined in accordance with Equation 4.1-1:</w:t>
      </w:r>
    </w:p>
    <w:p w14:paraId="12778B01" w14:textId="77777777" w:rsidR="009214B3" w:rsidRPr="00FA69E8" w:rsidRDefault="009214B3" w:rsidP="009214B3">
      <w:pPr>
        <w:ind w:left="540"/>
      </w:pPr>
    </w:p>
    <w:p w14:paraId="0F1C72B1" w14:textId="77777777" w:rsidR="009214B3" w:rsidRPr="00FA69E8" w:rsidRDefault="009214B3" w:rsidP="009214B3">
      <w:pPr>
        <w:pStyle w:val="Equation3"/>
        <w:tabs>
          <w:tab w:val="clear" w:pos="8820"/>
          <w:tab w:val="right" w:pos="9360"/>
        </w:tabs>
      </w:pPr>
      <w:r w:rsidRPr="00FA69E8">
        <w:tab/>
        <w:t xml:space="preserve">nMEUL = REUL * (nEC_x / EC_r) </w:t>
      </w:r>
      <w:r w:rsidRPr="00FA69E8">
        <w:tab/>
        <w:t>(Equation 4.1-1)</w:t>
      </w:r>
    </w:p>
    <w:p w14:paraId="5168B529" w14:textId="77777777" w:rsidR="009214B3" w:rsidRPr="00FA69E8" w:rsidRDefault="009214B3" w:rsidP="009214B3">
      <w:pPr>
        <w:rPr>
          <w:b/>
          <w:lang w:val="pt-BR"/>
        </w:rPr>
      </w:pPr>
    </w:p>
    <w:p w14:paraId="38FABCF6" w14:textId="77777777" w:rsidR="009214B3" w:rsidRPr="00FA69E8" w:rsidRDefault="009214B3" w:rsidP="009214B3">
      <w:pPr>
        <w:pStyle w:val="where1"/>
      </w:pPr>
      <w:r w:rsidRPr="00FA69E8">
        <w:t>where:</w:t>
      </w:r>
    </w:p>
    <w:p w14:paraId="063005C2" w14:textId="77777777" w:rsidR="009214B3" w:rsidRPr="00FA69E8" w:rsidRDefault="009214B3" w:rsidP="009214B3">
      <w:pPr>
        <w:pStyle w:val="equals"/>
      </w:pPr>
      <w:proofErr w:type="spellStart"/>
      <w:r w:rsidRPr="00FA69E8">
        <w:t>nMEUL</w:t>
      </w:r>
      <w:proofErr w:type="spellEnd"/>
      <w:r w:rsidRPr="00FA69E8">
        <w:tab/>
        <w:t>=</w:t>
      </w:r>
      <w:r w:rsidRPr="00FA69E8">
        <w:tab/>
        <w:t>normalized Modified End Use Loads (for heating, cooling, or hot water) as computed using an Approved Software Rating Tool.</w:t>
      </w:r>
    </w:p>
    <w:p w14:paraId="7B599586" w14:textId="77777777" w:rsidR="009214B3" w:rsidRPr="00FA69E8" w:rsidRDefault="009214B3" w:rsidP="009214B3">
      <w:pPr>
        <w:pStyle w:val="equals"/>
      </w:pPr>
      <w:r w:rsidRPr="00FA69E8">
        <w:t>REUL</w:t>
      </w:r>
      <w:r w:rsidRPr="00FA69E8">
        <w:tab/>
        <w:t xml:space="preserve">= Reference Home End Use Loads (for heating, </w:t>
      </w:r>
      <w:proofErr w:type="gramStart"/>
      <w:r w:rsidRPr="00FA69E8">
        <w:t>cooling</w:t>
      </w:r>
      <w:proofErr w:type="gramEnd"/>
      <w:r w:rsidRPr="00FA69E8">
        <w:t xml:space="preserve"> or hot water) as computed using an Approved Software Rating Tool.</w:t>
      </w:r>
    </w:p>
    <w:p w14:paraId="36CA42C5" w14:textId="77777777" w:rsidR="009214B3" w:rsidRPr="00FA69E8" w:rsidRDefault="009214B3" w:rsidP="009214B3">
      <w:pPr>
        <w:pStyle w:val="equals"/>
      </w:pPr>
      <w:proofErr w:type="spellStart"/>
      <w:r w:rsidRPr="00FA69E8">
        <w:t>nEC_x</w:t>
      </w:r>
      <w:proofErr w:type="spellEnd"/>
      <w:r w:rsidRPr="00FA69E8">
        <w:tab/>
        <w:t xml:space="preserve">= normalized Energy Consumption for the Rated Home’s end uses (for heating, including Auxiliary Electric Consumption, </w:t>
      </w:r>
      <w:proofErr w:type="gramStart"/>
      <w:r w:rsidRPr="00FA69E8">
        <w:t>cooling</w:t>
      </w:r>
      <w:proofErr w:type="gramEnd"/>
      <w:r w:rsidRPr="00FA69E8">
        <w:t xml:space="preserve"> or hot water) as computed using an Approved Software Rating Tool.</w:t>
      </w:r>
    </w:p>
    <w:p w14:paraId="08705A9C" w14:textId="77777777" w:rsidR="009214B3" w:rsidRPr="000E4FF7" w:rsidRDefault="009214B3" w:rsidP="009214B3">
      <w:pPr>
        <w:pStyle w:val="equals"/>
      </w:pPr>
      <w:proofErr w:type="spellStart"/>
      <w:r w:rsidRPr="00FA69E8">
        <w:lastRenderedPageBreak/>
        <w:t>EC_r</w:t>
      </w:r>
      <w:proofErr w:type="spellEnd"/>
      <w:r w:rsidRPr="00FA69E8">
        <w:tab/>
        <w:t>=</w:t>
      </w:r>
      <w:r w:rsidRPr="00FA69E8">
        <w:tab/>
        <w:t xml:space="preserve">estimated Energy Consumption for the Reference Home’s end uses (for heating, including Auxiliary Electric Consumption, </w:t>
      </w:r>
      <w:proofErr w:type="gramStart"/>
      <w:r w:rsidRPr="00FA69E8">
        <w:t>cooling</w:t>
      </w:r>
      <w:proofErr w:type="gramEnd"/>
      <w:r w:rsidRPr="00FA69E8">
        <w:t xml:space="preserve"> or hot water) as computed using an Approved Software </w:t>
      </w:r>
      <w:r w:rsidRPr="000E4FF7">
        <w:t>Rating Tool.</w:t>
      </w:r>
    </w:p>
    <w:p w14:paraId="5950BA62" w14:textId="77777777" w:rsidR="009214B3" w:rsidRPr="000E4FF7" w:rsidRDefault="009214B3" w:rsidP="009214B3">
      <w:pPr>
        <w:pStyle w:val="where1"/>
      </w:pPr>
      <w:r w:rsidRPr="000E4FF7">
        <w:t>and where:</w:t>
      </w:r>
    </w:p>
    <w:p w14:paraId="090B25C9" w14:textId="77777777" w:rsidR="009214B3" w:rsidRPr="000E4FF7" w:rsidRDefault="009214B3" w:rsidP="009214B3">
      <w:pPr>
        <w:pStyle w:val="where1"/>
        <w:rPr>
          <w:bCs/>
        </w:rPr>
      </w:pPr>
    </w:p>
    <w:p w14:paraId="0BB53DE1" w14:textId="4CB279CA" w:rsidR="009214B3" w:rsidRPr="000E4FF7" w:rsidRDefault="009214B3" w:rsidP="009214B3">
      <w:pPr>
        <w:pStyle w:val="Equation3"/>
        <w:rPr>
          <w:b w:val="0"/>
          <w:bCs/>
        </w:rPr>
      </w:pPr>
      <w:bookmarkStart w:id="32" w:name="_Hlk115865062"/>
      <w:r w:rsidRPr="000E4FF7">
        <w:rPr>
          <w:b w:val="0"/>
          <w:bCs/>
        </w:rPr>
        <w:t xml:space="preserve">nEC_x = </w:t>
      </w:r>
      <w:r w:rsidRPr="000E4FF7">
        <w:rPr>
          <w:b w:val="0"/>
          <w:bCs/>
          <w:u w:val="single"/>
        </w:rPr>
        <w:t xml:space="preserve">EC_x * </w:t>
      </w:r>
      <w:r w:rsidRPr="000E4FF7">
        <w:rPr>
          <w:b w:val="0"/>
          <w:bCs/>
        </w:rPr>
        <w:t xml:space="preserve">(a * EEC_x – b) * </w:t>
      </w:r>
      <w:r w:rsidRPr="000E4FF7">
        <w:rPr>
          <w:b w:val="0"/>
          <w:bCs/>
          <w:strike/>
        </w:rPr>
        <w:t xml:space="preserve">(EC_x </w:t>
      </w:r>
      <w:r w:rsidRPr="000E4FF7">
        <w:rPr>
          <w:b w:val="0"/>
          <w:bCs/>
        </w:rPr>
        <w:t xml:space="preserve">* </w:t>
      </w:r>
      <w:r w:rsidRPr="000E4FF7">
        <w:rPr>
          <w:b w:val="0"/>
          <w:bCs/>
          <w:strike/>
        </w:rPr>
        <w:t>EC_r * DSE_r) /</w:t>
      </w:r>
      <w:r w:rsidRPr="000E4FF7">
        <w:rPr>
          <w:b w:val="0"/>
          <w:bCs/>
        </w:rPr>
        <w:t xml:space="preserve"> (</w:t>
      </w:r>
      <w:r w:rsidRPr="000E4FF7">
        <w:rPr>
          <w:b w:val="0"/>
          <w:bCs/>
          <w:u w:val="single"/>
        </w:rPr>
        <w:t xml:space="preserve">EEC_r / </w:t>
      </w:r>
      <w:r w:rsidRPr="000E4FF7">
        <w:rPr>
          <w:b w:val="0"/>
          <w:bCs/>
        </w:rPr>
        <w:t xml:space="preserve">EEC_x </w:t>
      </w:r>
      <w:r w:rsidRPr="000E4FF7">
        <w:rPr>
          <w:b w:val="0"/>
          <w:bCs/>
          <w:strike/>
        </w:rPr>
        <w:t>* REUL</w:t>
      </w:r>
      <w:r w:rsidRPr="000E4FF7">
        <w:rPr>
          <w:b w:val="0"/>
          <w:bCs/>
        </w:rPr>
        <w:t>)</w:t>
      </w:r>
      <w:bookmarkEnd w:id="32"/>
    </w:p>
    <w:p w14:paraId="43139A82" w14:textId="77777777" w:rsidR="009214B3" w:rsidRPr="000E4FF7" w:rsidRDefault="009214B3" w:rsidP="009214B3">
      <w:pPr>
        <w:pStyle w:val="Equation3"/>
        <w:tabs>
          <w:tab w:val="clear" w:pos="8820"/>
          <w:tab w:val="right" w:pos="9360"/>
        </w:tabs>
      </w:pPr>
      <w:r w:rsidRPr="000E4FF7">
        <w:rPr>
          <w:b w:val="0"/>
        </w:rPr>
        <w:tab/>
      </w:r>
      <w:r w:rsidRPr="000E4FF7">
        <w:rPr>
          <w:b w:val="0"/>
        </w:rPr>
        <w:tab/>
      </w:r>
      <w:r w:rsidRPr="000E4FF7">
        <w:t>(Equation 4.1-1a)</w:t>
      </w:r>
    </w:p>
    <w:p w14:paraId="621B48CA" w14:textId="77777777" w:rsidR="009214B3" w:rsidRPr="000E4FF7" w:rsidRDefault="009214B3" w:rsidP="009214B3">
      <w:pPr>
        <w:tabs>
          <w:tab w:val="left" w:pos="1260"/>
          <w:tab w:val="left" w:pos="1530"/>
        </w:tabs>
        <w:ind w:left="1440" w:hanging="1080"/>
      </w:pPr>
    </w:p>
    <w:p w14:paraId="4BC445DF" w14:textId="77777777" w:rsidR="009214B3" w:rsidRPr="000E4FF7" w:rsidRDefault="009214B3" w:rsidP="009214B3">
      <w:pPr>
        <w:pStyle w:val="where1"/>
      </w:pPr>
      <w:r w:rsidRPr="000E4FF7">
        <w:t>where:</w:t>
      </w:r>
    </w:p>
    <w:p w14:paraId="43B969B5" w14:textId="77777777" w:rsidR="009214B3" w:rsidRPr="00FA69E8" w:rsidRDefault="009214B3" w:rsidP="009214B3">
      <w:pPr>
        <w:pStyle w:val="equals"/>
      </w:pPr>
      <w:proofErr w:type="spellStart"/>
      <w:r w:rsidRPr="000E4FF7">
        <w:t>EC_x</w:t>
      </w:r>
      <w:proofErr w:type="spellEnd"/>
      <w:r w:rsidRPr="000E4FF7">
        <w:tab/>
        <w:t xml:space="preserve">= estimated Energy Consumption for the Rated Home’s end uses </w:t>
      </w:r>
      <w:r w:rsidRPr="00FA69E8">
        <w:t xml:space="preserve">(for heating, including Auxiliary Electric Consumption, </w:t>
      </w:r>
      <w:proofErr w:type="gramStart"/>
      <w:r w:rsidRPr="00FA69E8">
        <w:t>cooling</w:t>
      </w:r>
      <w:proofErr w:type="gramEnd"/>
      <w:r w:rsidRPr="00FA69E8">
        <w:t xml:space="preserve"> or hot water) as computed using an Approved Software Rating Tool.</w:t>
      </w:r>
    </w:p>
    <w:p w14:paraId="3B191B99" w14:textId="5ED5CDCB" w:rsidR="009214B3" w:rsidRPr="0042060A" w:rsidRDefault="009214B3" w:rsidP="009214B3">
      <w:pPr>
        <w:pStyle w:val="equals"/>
      </w:pPr>
      <w:proofErr w:type="spellStart"/>
      <w:r w:rsidRPr="00FA69E8">
        <w:t>EEC_x</w:t>
      </w:r>
      <w:proofErr w:type="spellEnd"/>
      <w:r w:rsidRPr="00FA69E8">
        <w:tab/>
        <w:t>=</w:t>
      </w:r>
      <w:r w:rsidRPr="00FA69E8">
        <w:tab/>
        <w:t xml:space="preserve">Equipment Efficiency Coefficient for the Rated Home’s equipment such that </w:t>
      </w:r>
      <w:proofErr w:type="spellStart"/>
      <w:r w:rsidRPr="00FA69E8">
        <w:t>EEC_x</w:t>
      </w:r>
      <w:proofErr w:type="spellEnd"/>
      <w:r w:rsidRPr="00FA69E8">
        <w:t xml:space="preserve"> equals the energy consumption per unit load in like units as the load, and as derived from the Manufacturer’s Equipment Performance Rating (MEPR) such that </w:t>
      </w:r>
      <w:proofErr w:type="spellStart"/>
      <w:r w:rsidRPr="00FA69E8">
        <w:t>EEC_x</w:t>
      </w:r>
      <w:proofErr w:type="spellEnd"/>
      <w:r w:rsidRPr="00FA69E8">
        <w:t xml:space="preserve"> equals 1.0 / MEPR for AFUE, COP or EF ratings, </w:t>
      </w:r>
      <w:r w:rsidRPr="000E4FF7">
        <w:t xml:space="preserve">or such that </w:t>
      </w:r>
      <w:proofErr w:type="spellStart"/>
      <w:r w:rsidRPr="000E4FF7">
        <w:t>EEC_x</w:t>
      </w:r>
      <w:proofErr w:type="spellEnd"/>
      <w:r w:rsidRPr="000E4FF7">
        <w:t xml:space="preserve"> equals 3.413 / MEPR for HSPF, EER or SEER ratings.</w:t>
      </w:r>
      <w:r w:rsidR="0042060A" w:rsidRPr="008C0353">
        <w:rPr>
          <w:rStyle w:val="FootnoteReference"/>
          <w:color w:val="FF0000"/>
          <w:u w:val="single"/>
        </w:rPr>
        <w:footnoteReference w:id="6"/>
      </w:r>
      <w:r w:rsidR="0042060A" w:rsidRPr="008C0353">
        <w:rPr>
          <w:color w:val="FF0000"/>
          <w:u w:val="single"/>
          <w:vertAlign w:val="superscript"/>
        </w:rPr>
        <w:t>,</w:t>
      </w:r>
      <w:r w:rsidR="0042060A" w:rsidRPr="008C0353">
        <w:rPr>
          <w:rStyle w:val="FootnoteReference"/>
          <w:color w:val="FF0000"/>
          <w:u w:val="single"/>
        </w:rPr>
        <w:footnoteReference w:id="7"/>
      </w:r>
    </w:p>
    <w:p w14:paraId="4D448410" w14:textId="77777777" w:rsidR="009214B3" w:rsidRPr="000E4FF7" w:rsidRDefault="009214B3" w:rsidP="009214B3">
      <w:pPr>
        <w:pStyle w:val="equals"/>
        <w:rPr>
          <w:strike/>
          <w:lang w:val="pt-BR"/>
        </w:rPr>
      </w:pPr>
      <w:r w:rsidRPr="000E4FF7">
        <w:rPr>
          <w:strike/>
          <w:lang w:val="pt-BR"/>
        </w:rPr>
        <w:t>DSE_r</w:t>
      </w:r>
      <w:r w:rsidRPr="000E4FF7">
        <w:rPr>
          <w:strike/>
          <w:lang w:val="pt-BR"/>
        </w:rPr>
        <w:tab/>
        <w:t>=</w:t>
      </w:r>
      <w:r w:rsidRPr="000E4FF7">
        <w:rPr>
          <w:strike/>
          <w:lang w:val="pt-BR"/>
        </w:rPr>
        <w:tab/>
        <w:t xml:space="preserve">REUL/EC_r * EEC_r </w:t>
      </w:r>
    </w:p>
    <w:p w14:paraId="588B3E97" w14:textId="77777777" w:rsidR="009214B3" w:rsidRPr="000E4FF7" w:rsidRDefault="009214B3" w:rsidP="009214B3">
      <w:pPr>
        <w:pStyle w:val="three"/>
        <w:numPr>
          <w:ilvl w:val="0"/>
          <w:numId w:val="0"/>
        </w:numPr>
        <w:ind w:left="1080"/>
      </w:pPr>
      <w:r w:rsidRPr="000E4FF7">
        <w:rPr>
          <w:strike/>
        </w:rPr>
        <w:t xml:space="preserve">For simplified system performance methods, </w:t>
      </w:r>
      <w:proofErr w:type="spellStart"/>
      <w:r w:rsidRPr="000E4FF7">
        <w:rPr>
          <w:strike/>
        </w:rPr>
        <w:t>DSE_r</w:t>
      </w:r>
      <w:proofErr w:type="spellEnd"/>
      <w:r w:rsidRPr="000E4FF7">
        <w:rPr>
          <w:strike/>
        </w:rPr>
        <w:t xml:space="preserve"> equals 0.80 for heating and cooling systems and 1.00 for hot water systems [see Table 4.2.2(1)]. However, for detailed modeling of heating and cooling systems, </w:t>
      </w:r>
      <w:proofErr w:type="spellStart"/>
      <w:r w:rsidRPr="000E4FF7">
        <w:rPr>
          <w:strike/>
        </w:rPr>
        <w:t>DSE_r</w:t>
      </w:r>
      <w:proofErr w:type="spellEnd"/>
      <w:r w:rsidRPr="000E4FF7">
        <w:rPr>
          <w:strike/>
        </w:rPr>
        <w:t xml:space="preserve"> less than 0.80 occurs </w:t>
      </w:r>
      <w:proofErr w:type="gramStart"/>
      <w:r w:rsidRPr="000E4FF7">
        <w:rPr>
          <w:strike/>
        </w:rPr>
        <w:t>as a result of</w:t>
      </w:r>
      <w:proofErr w:type="gramEnd"/>
      <w:r w:rsidRPr="000E4FF7">
        <w:rPr>
          <w:strike/>
        </w:rPr>
        <w:t xml:space="preserve"> part load performance degradation, coil air flow degradation, improper system charge and auxiliary resistance heating for Heat Pumps.  Except as otherwise provided by these Standards, where detailed systems modeling is employed, it must be applied equally to both the Reference and the Rated Homes.</w:t>
      </w:r>
    </w:p>
    <w:p w14:paraId="70ED0C75" w14:textId="77777777" w:rsidR="009214B3" w:rsidRPr="00FA69E8" w:rsidRDefault="009214B3" w:rsidP="009214B3">
      <w:pPr>
        <w:pStyle w:val="equals"/>
      </w:pPr>
      <w:proofErr w:type="spellStart"/>
      <w:r w:rsidRPr="000E4FF7">
        <w:t>EEC_r</w:t>
      </w:r>
      <w:proofErr w:type="spellEnd"/>
      <w:r w:rsidRPr="000E4FF7">
        <w:tab/>
        <w:t>=</w:t>
      </w:r>
      <w:r w:rsidRPr="000E4FF7">
        <w:tab/>
        <w:t xml:space="preserve">Equipment Efficiency Coefficient for the Reference Home’s </w:t>
      </w:r>
      <w:r w:rsidRPr="00FA69E8">
        <w:t xml:space="preserve">equipment, such that </w:t>
      </w:r>
      <w:proofErr w:type="spellStart"/>
      <w:r w:rsidRPr="00FA69E8">
        <w:t>EEC_r</w:t>
      </w:r>
      <w:proofErr w:type="spellEnd"/>
      <w:r w:rsidRPr="00FA69E8">
        <w:t xml:space="preserve"> equals the energy consumption per unit load in like units as the load, and as derived from the Manufacturer’s Equipment Performance Rating (MEPR) such that </w:t>
      </w:r>
      <w:proofErr w:type="spellStart"/>
      <w:r w:rsidRPr="00FA69E8">
        <w:t>EEC_r</w:t>
      </w:r>
      <w:proofErr w:type="spellEnd"/>
      <w:r w:rsidRPr="00FA69E8">
        <w:t xml:space="preserve"> equals 1.0 / MEPR for AFUE, COP or EF ratings or such that </w:t>
      </w:r>
      <w:proofErr w:type="spellStart"/>
      <w:r w:rsidRPr="00FA69E8">
        <w:t>EEC_r</w:t>
      </w:r>
      <w:proofErr w:type="spellEnd"/>
      <w:r w:rsidRPr="00FA69E8">
        <w:t xml:space="preserve"> equals 3.413 / MEPR for HSPF, EER or SEER ratings and where the coefficients ‘a’ and ‘b’ are as defined by Table 4.1.1(1) below.</w:t>
      </w:r>
    </w:p>
    <w:p w14:paraId="5103CA08" w14:textId="77777777" w:rsidR="009214B3" w:rsidRPr="00FA69E8" w:rsidRDefault="009214B3" w:rsidP="009214B3"/>
    <w:tbl>
      <w:tblPr>
        <w:tblW w:w="3500" w:type="pct"/>
        <w:jc w:val="center"/>
        <w:tblBorders>
          <w:top w:val="double" w:sz="6" w:space="0" w:color="auto"/>
          <w:left w:val="double" w:sz="6" w:space="0" w:color="auto"/>
          <w:bottom w:val="double" w:sz="6" w:space="0" w:color="auto"/>
          <w:right w:val="double" w:sz="6" w:space="0" w:color="auto"/>
        </w:tblBorders>
        <w:tblCellMar>
          <w:left w:w="62" w:type="dxa"/>
          <w:right w:w="62" w:type="dxa"/>
        </w:tblCellMar>
        <w:tblLook w:val="0000" w:firstRow="0" w:lastRow="0" w:firstColumn="0" w:lastColumn="0" w:noHBand="0" w:noVBand="0"/>
      </w:tblPr>
      <w:tblGrid>
        <w:gridCol w:w="3744"/>
        <w:gridCol w:w="1403"/>
        <w:gridCol w:w="1405"/>
      </w:tblGrid>
      <w:tr w:rsidR="00FA69E8" w:rsidRPr="00FA69E8" w14:paraId="23DF5EC9" w14:textId="77777777" w:rsidTr="00F3759E">
        <w:trPr>
          <w:cantSplit/>
          <w:tblHeader/>
          <w:jc w:val="center"/>
        </w:trPr>
        <w:tc>
          <w:tcPr>
            <w:tcW w:w="5000" w:type="pct"/>
            <w:gridSpan w:val="3"/>
            <w:tcBorders>
              <w:top w:val="nil"/>
              <w:left w:val="nil"/>
              <w:bottom w:val="single" w:sz="4" w:space="0" w:color="auto"/>
              <w:right w:val="nil"/>
            </w:tcBorders>
          </w:tcPr>
          <w:bookmarkEnd w:id="28"/>
          <w:p w14:paraId="196A738B" w14:textId="77777777" w:rsidR="009214B3" w:rsidRPr="00FA69E8" w:rsidRDefault="009214B3" w:rsidP="00F3759E">
            <w:pPr>
              <w:jc w:val="center"/>
              <w:rPr>
                <w:b/>
              </w:rPr>
            </w:pPr>
            <w:r w:rsidRPr="00FA69E8">
              <w:rPr>
                <w:b/>
              </w:rPr>
              <w:t>Table 4.1.1(1</w:t>
            </w:r>
            <w:proofErr w:type="gramStart"/>
            <w:r w:rsidRPr="00FA69E8">
              <w:rPr>
                <w:b/>
              </w:rPr>
              <w:t>)  Coefficients</w:t>
            </w:r>
            <w:proofErr w:type="gramEnd"/>
            <w:r w:rsidRPr="00FA69E8">
              <w:rPr>
                <w:b/>
              </w:rPr>
              <w:t xml:space="preserve"> ‘a’ and ‘b’</w:t>
            </w:r>
          </w:p>
        </w:tc>
      </w:tr>
      <w:tr w:rsidR="00FA69E8" w:rsidRPr="00FA69E8" w14:paraId="6C9B79D7" w14:textId="77777777" w:rsidTr="00F3759E">
        <w:trPr>
          <w:cantSplit/>
          <w:tblHeader/>
          <w:jc w:val="center"/>
        </w:trPr>
        <w:tc>
          <w:tcPr>
            <w:tcW w:w="2857" w:type="pct"/>
            <w:tcBorders>
              <w:top w:val="single" w:sz="4" w:space="0" w:color="auto"/>
              <w:left w:val="single" w:sz="4" w:space="0" w:color="auto"/>
              <w:bottom w:val="single" w:sz="4" w:space="0" w:color="auto"/>
              <w:right w:val="single" w:sz="4" w:space="0" w:color="auto"/>
            </w:tcBorders>
          </w:tcPr>
          <w:p w14:paraId="4B43FCD7" w14:textId="77777777" w:rsidR="009214B3" w:rsidRPr="00FA69E8" w:rsidRDefault="009214B3" w:rsidP="00F3759E">
            <w:pPr>
              <w:rPr>
                <w:b/>
              </w:rPr>
            </w:pPr>
            <w:r w:rsidRPr="00FA69E8">
              <w:rPr>
                <w:b/>
              </w:rPr>
              <w:t>Fuel Type and End Use</w:t>
            </w:r>
          </w:p>
        </w:tc>
        <w:tc>
          <w:tcPr>
            <w:tcW w:w="1071" w:type="pct"/>
            <w:tcBorders>
              <w:top w:val="single" w:sz="4" w:space="0" w:color="auto"/>
              <w:left w:val="single" w:sz="4" w:space="0" w:color="auto"/>
              <w:bottom w:val="single" w:sz="4" w:space="0" w:color="auto"/>
              <w:right w:val="single" w:sz="4" w:space="0" w:color="auto"/>
            </w:tcBorders>
          </w:tcPr>
          <w:p w14:paraId="0A47AA50" w14:textId="77777777" w:rsidR="009214B3" w:rsidRPr="00FA69E8" w:rsidRDefault="009214B3" w:rsidP="00F3759E">
            <w:pPr>
              <w:jc w:val="right"/>
              <w:rPr>
                <w:b/>
              </w:rPr>
            </w:pPr>
            <w:r w:rsidRPr="00FA69E8">
              <w:rPr>
                <w:b/>
              </w:rPr>
              <w:t xml:space="preserve">a  </w:t>
            </w:r>
          </w:p>
        </w:tc>
        <w:tc>
          <w:tcPr>
            <w:tcW w:w="1072" w:type="pct"/>
            <w:tcBorders>
              <w:top w:val="single" w:sz="4" w:space="0" w:color="auto"/>
              <w:left w:val="single" w:sz="4" w:space="0" w:color="auto"/>
              <w:bottom w:val="single" w:sz="4" w:space="0" w:color="auto"/>
              <w:right w:val="single" w:sz="4" w:space="0" w:color="auto"/>
            </w:tcBorders>
          </w:tcPr>
          <w:p w14:paraId="7A5D693E" w14:textId="77777777" w:rsidR="009214B3" w:rsidRPr="00FA69E8" w:rsidRDefault="009214B3" w:rsidP="00F3759E">
            <w:pPr>
              <w:jc w:val="right"/>
              <w:rPr>
                <w:b/>
              </w:rPr>
            </w:pPr>
            <w:r w:rsidRPr="00FA69E8">
              <w:rPr>
                <w:b/>
              </w:rPr>
              <w:t>b</w:t>
            </w:r>
          </w:p>
        </w:tc>
      </w:tr>
      <w:tr w:rsidR="00FA69E8" w:rsidRPr="00FA69E8" w14:paraId="0D1EF8AA" w14:textId="77777777" w:rsidTr="00F3759E">
        <w:trPr>
          <w:cantSplit/>
          <w:jc w:val="center"/>
        </w:trPr>
        <w:tc>
          <w:tcPr>
            <w:tcW w:w="2857" w:type="pct"/>
            <w:tcBorders>
              <w:top w:val="single" w:sz="4" w:space="0" w:color="auto"/>
              <w:left w:val="single" w:sz="4" w:space="0" w:color="auto"/>
              <w:bottom w:val="nil"/>
              <w:right w:val="single" w:sz="4" w:space="0" w:color="auto"/>
            </w:tcBorders>
          </w:tcPr>
          <w:p w14:paraId="239E12EF" w14:textId="77777777" w:rsidR="009214B3" w:rsidRPr="00FA69E8" w:rsidRDefault="009214B3" w:rsidP="00F3759E">
            <w:r w:rsidRPr="00FA69E8">
              <w:t>Electric space heating</w:t>
            </w:r>
          </w:p>
        </w:tc>
        <w:tc>
          <w:tcPr>
            <w:tcW w:w="1071" w:type="pct"/>
            <w:tcBorders>
              <w:top w:val="single" w:sz="4" w:space="0" w:color="auto"/>
              <w:left w:val="single" w:sz="4" w:space="0" w:color="auto"/>
              <w:bottom w:val="nil"/>
              <w:right w:val="single" w:sz="4" w:space="0" w:color="auto"/>
            </w:tcBorders>
          </w:tcPr>
          <w:p w14:paraId="02492EF9" w14:textId="77777777" w:rsidR="009214B3" w:rsidRPr="00FA69E8" w:rsidRDefault="009214B3" w:rsidP="00F3759E">
            <w:pPr>
              <w:jc w:val="right"/>
            </w:pPr>
            <w:r w:rsidRPr="00FA69E8">
              <w:t>2.2561</w:t>
            </w:r>
          </w:p>
        </w:tc>
        <w:tc>
          <w:tcPr>
            <w:tcW w:w="1072" w:type="pct"/>
            <w:tcBorders>
              <w:top w:val="single" w:sz="4" w:space="0" w:color="auto"/>
              <w:left w:val="single" w:sz="4" w:space="0" w:color="auto"/>
              <w:bottom w:val="nil"/>
              <w:right w:val="single" w:sz="4" w:space="0" w:color="auto"/>
            </w:tcBorders>
          </w:tcPr>
          <w:p w14:paraId="4C9BB942" w14:textId="77777777" w:rsidR="009214B3" w:rsidRPr="00FA69E8" w:rsidRDefault="009214B3" w:rsidP="00F3759E">
            <w:pPr>
              <w:jc w:val="right"/>
            </w:pPr>
            <w:r w:rsidRPr="00FA69E8">
              <w:t>0</w:t>
            </w:r>
          </w:p>
        </w:tc>
      </w:tr>
      <w:tr w:rsidR="00FA69E8" w:rsidRPr="00FA69E8" w14:paraId="1E762F1A" w14:textId="77777777" w:rsidTr="00F3759E">
        <w:trPr>
          <w:cantSplit/>
          <w:jc w:val="center"/>
        </w:trPr>
        <w:tc>
          <w:tcPr>
            <w:tcW w:w="2857" w:type="pct"/>
            <w:tcBorders>
              <w:top w:val="nil"/>
              <w:left w:val="single" w:sz="4" w:space="0" w:color="auto"/>
              <w:bottom w:val="nil"/>
              <w:right w:val="single" w:sz="4" w:space="0" w:color="auto"/>
            </w:tcBorders>
          </w:tcPr>
          <w:p w14:paraId="78365A83" w14:textId="77777777" w:rsidR="009214B3" w:rsidRPr="00FA69E8" w:rsidRDefault="009214B3" w:rsidP="00F3759E">
            <w:r w:rsidRPr="00FA69E8">
              <w:lastRenderedPageBreak/>
              <w:t xml:space="preserve">Fossil </w:t>
            </w:r>
            <w:proofErr w:type="spellStart"/>
            <w:r w:rsidRPr="00FA69E8">
              <w:t>fuel</w:t>
            </w:r>
            <w:r w:rsidRPr="00FA69E8">
              <w:rPr>
                <w:vertAlign w:val="superscript"/>
              </w:rPr>
              <w:t>a</w:t>
            </w:r>
            <w:proofErr w:type="spellEnd"/>
            <w:r w:rsidRPr="00FA69E8">
              <w:t xml:space="preserve"> space heating</w:t>
            </w:r>
          </w:p>
        </w:tc>
        <w:tc>
          <w:tcPr>
            <w:tcW w:w="1071" w:type="pct"/>
            <w:tcBorders>
              <w:top w:val="nil"/>
              <w:left w:val="single" w:sz="4" w:space="0" w:color="auto"/>
              <w:bottom w:val="nil"/>
              <w:right w:val="single" w:sz="4" w:space="0" w:color="auto"/>
            </w:tcBorders>
          </w:tcPr>
          <w:p w14:paraId="583B3BBD" w14:textId="77777777" w:rsidR="009214B3" w:rsidRPr="00FA69E8" w:rsidRDefault="009214B3" w:rsidP="00F3759E">
            <w:pPr>
              <w:jc w:val="right"/>
            </w:pPr>
            <w:r w:rsidRPr="00FA69E8">
              <w:t>1.0943</w:t>
            </w:r>
          </w:p>
        </w:tc>
        <w:tc>
          <w:tcPr>
            <w:tcW w:w="1072" w:type="pct"/>
            <w:tcBorders>
              <w:top w:val="nil"/>
              <w:left w:val="single" w:sz="4" w:space="0" w:color="auto"/>
              <w:bottom w:val="nil"/>
              <w:right w:val="single" w:sz="4" w:space="0" w:color="auto"/>
            </w:tcBorders>
          </w:tcPr>
          <w:p w14:paraId="736FAE14" w14:textId="77777777" w:rsidR="009214B3" w:rsidRPr="00FA69E8" w:rsidRDefault="009214B3" w:rsidP="00F3759E">
            <w:pPr>
              <w:jc w:val="right"/>
            </w:pPr>
            <w:r w:rsidRPr="00FA69E8">
              <w:t>0.4030</w:t>
            </w:r>
          </w:p>
        </w:tc>
      </w:tr>
      <w:tr w:rsidR="00FA69E8" w:rsidRPr="00FA69E8" w14:paraId="0C8A5BB6" w14:textId="77777777" w:rsidTr="00F3759E">
        <w:trPr>
          <w:cantSplit/>
          <w:jc w:val="center"/>
        </w:trPr>
        <w:tc>
          <w:tcPr>
            <w:tcW w:w="2857" w:type="pct"/>
            <w:tcBorders>
              <w:top w:val="nil"/>
              <w:left w:val="single" w:sz="4" w:space="0" w:color="auto"/>
              <w:bottom w:val="nil"/>
              <w:right w:val="single" w:sz="4" w:space="0" w:color="auto"/>
            </w:tcBorders>
          </w:tcPr>
          <w:p w14:paraId="36F9B969" w14:textId="77777777" w:rsidR="009214B3" w:rsidRPr="00FA69E8" w:rsidRDefault="009214B3" w:rsidP="00F3759E">
            <w:r w:rsidRPr="00FA69E8">
              <w:t>Biomass space heating</w:t>
            </w:r>
          </w:p>
        </w:tc>
        <w:tc>
          <w:tcPr>
            <w:tcW w:w="1071" w:type="pct"/>
            <w:tcBorders>
              <w:top w:val="nil"/>
              <w:left w:val="single" w:sz="4" w:space="0" w:color="auto"/>
              <w:bottom w:val="nil"/>
              <w:right w:val="single" w:sz="4" w:space="0" w:color="auto"/>
            </w:tcBorders>
          </w:tcPr>
          <w:p w14:paraId="254AB721" w14:textId="77777777" w:rsidR="009214B3" w:rsidRPr="00FA69E8" w:rsidRDefault="009214B3" w:rsidP="00F3759E">
            <w:pPr>
              <w:jc w:val="right"/>
            </w:pPr>
            <w:r w:rsidRPr="00FA69E8">
              <w:t>0.8850</w:t>
            </w:r>
          </w:p>
        </w:tc>
        <w:tc>
          <w:tcPr>
            <w:tcW w:w="1072" w:type="pct"/>
            <w:tcBorders>
              <w:top w:val="nil"/>
              <w:left w:val="single" w:sz="4" w:space="0" w:color="auto"/>
              <w:bottom w:val="nil"/>
              <w:right w:val="single" w:sz="4" w:space="0" w:color="auto"/>
            </w:tcBorders>
          </w:tcPr>
          <w:p w14:paraId="3E60397E" w14:textId="77777777" w:rsidR="009214B3" w:rsidRPr="00FA69E8" w:rsidRDefault="009214B3" w:rsidP="00F3759E">
            <w:pPr>
              <w:jc w:val="right"/>
            </w:pPr>
            <w:r w:rsidRPr="00FA69E8">
              <w:t>0.4047</w:t>
            </w:r>
          </w:p>
        </w:tc>
      </w:tr>
      <w:tr w:rsidR="00FA69E8" w:rsidRPr="00FA69E8" w14:paraId="717EB1EC" w14:textId="77777777" w:rsidTr="00F3759E">
        <w:trPr>
          <w:cantSplit/>
          <w:jc w:val="center"/>
        </w:trPr>
        <w:tc>
          <w:tcPr>
            <w:tcW w:w="2857" w:type="pct"/>
            <w:tcBorders>
              <w:top w:val="nil"/>
              <w:left w:val="single" w:sz="4" w:space="0" w:color="auto"/>
              <w:bottom w:val="nil"/>
              <w:right w:val="single" w:sz="4" w:space="0" w:color="auto"/>
            </w:tcBorders>
          </w:tcPr>
          <w:p w14:paraId="32ED0CCA" w14:textId="77777777" w:rsidR="009214B3" w:rsidRPr="00FA69E8" w:rsidRDefault="009214B3" w:rsidP="00F3759E">
            <w:r w:rsidRPr="00FA69E8">
              <w:t>Electric air conditioning</w:t>
            </w:r>
          </w:p>
        </w:tc>
        <w:tc>
          <w:tcPr>
            <w:tcW w:w="1071" w:type="pct"/>
            <w:tcBorders>
              <w:top w:val="nil"/>
              <w:left w:val="single" w:sz="4" w:space="0" w:color="auto"/>
              <w:bottom w:val="nil"/>
              <w:right w:val="single" w:sz="4" w:space="0" w:color="auto"/>
            </w:tcBorders>
          </w:tcPr>
          <w:p w14:paraId="4B1079A6" w14:textId="77777777" w:rsidR="009214B3" w:rsidRPr="00FA69E8" w:rsidRDefault="009214B3" w:rsidP="00F3759E">
            <w:pPr>
              <w:jc w:val="right"/>
            </w:pPr>
            <w:r w:rsidRPr="00FA69E8">
              <w:t>3.8090</w:t>
            </w:r>
          </w:p>
        </w:tc>
        <w:tc>
          <w:tcPr>
            <w:tcW w:w="1072" w:type="pct"/>
            <w:tcBorders>
              <w:top w:val="nil"/>
              <w:left w:val="single" w:sz="4" w:space="0" w:color="auto"/>
              <w:bottom w:val="nil"/>
              <w:right w:val="single" w:sz="4" w:space="0" w:color="auto"/>
            </w:tcBorders>
          </w:tcPr>
          <w:p w14:paraId="5217AE18" w14:textId="77777777" w:rsidR="009214B3" w:rsidRPr="00FA69E8" w:rsidRDefault="009214B3" w:rsidP="00F3759E">
            <w:pPr>
              <w:jc w:val="right"/>
            </w:pPr>
            <w:r w:rsidRPr="00FA69E8">
              <w:t>0</w:t>
            </w:r>
          </w:p>
        </w:tc>
      </w:tr>
      <w:tr w:rsidR="00FA69E8" w:rsidRPr="00FA69E8" w14:paraId="2ABD0776" w14:textId="77777777" w:rsidTr="00F3759E">
        <w:trPr>
          <w:cantSplit/>
          <w:jc w:val="center"/>
        </w:trPr>
        <w:tc>
          <w:tcPr>
            <w:tcW w:w="2857" w:type="pct"/>
            <w:tcBorders>
              <w:top w:val="nil"/>
              <w:left w:val="single" w:sz="4" w:space="0" w:color="auto"/>
              <w:bottom w:val="nil"/>
              <w:right w:val="single" w:sz="4" w:space="0" w:color="auto"/>
            </w:tcBorders>
          </w:tcPr>
          <w:p w14:paraId="247C9775" w14:textId="77777777" w:rsidR="009214B3" w:rsidRPr="00FA69E8" w:rsidRDefault="009214B3" w:rsidP="00F3759E">
            <w:r w:rsidRPr="00FA69E8">
              <w:t>Electric water heating</w:t>
            </w:r>
          </w:p>
        </w:tc>
        <w:tc>
          <w:tcPr>
            <w:tcW w:w="1071" w:type="pct"/>
            <w:tcBorders>
              <w:top w:val="nil"/>
              <w:left w:val="single" w:sz="4" w:space="0" w:color="auto"/>
              <w:bottom w:val="nil"/>
              <w:right w:val="single" w:sz="4" w:space="0" w:color="auto"/>
            </w:tcBorders>
          </w:tcPr>
          <w:p w14:paraId="5ACB2C8F" w14:textId="77777777" w:rsidR="009214B3" w:rsidRPr="00FA69E8" w:rsidRDefault="009214B3" w:rsidP="00F3759E">
            <w:pPr>
              <w:jc w:val="right"/>
            </w:pPr>
            <w:r w:rsidRPr="00FA69E8">
              <w:t>0.9200</w:t>
            </w:r>
          </w:p>
        </w:tc>
        <w:tc>
          <w:tcPr>
            <w:tcW w:w="1072" w:type="pct"/>
            <w:tcBorders>
              <w:top w:val="nil"/>
              <w:left w:val="single" w:sz="4" w:space="0" w:color="auto"/>
              <w:bottom w:val="nil"/>
              <w:right w:val="single" w:sz="4" w:space="0" w:color="auto"/>
            </w:tcBorders>
          </w:tcPr>
          <w:p w14:paraId="3F79479C" w14:textId="77777777" w:rsidR="009214B3" w:rsidRPr="00FA69E8" w:rsidRDefault="009214B3" w:rsidP="00F3759E">
            <w:pPr>
              <w:jc w:val="right"/>
            </w:pPr>
            <w:r w:rsidRPr="00FA69E8">
              <w:t>0</w:t>
            </w:r>
          </w:p>
        </w:tc>
      </w:tr>
      <w:tr w:rsidR="00FA69E8" w:rsidRPr="00FA69E8" w14:paraId="7813633D" w14:textId="77777777" w:rsidTr="00F3759E">
        <w:trPr>
          <w:cantSplit/>
          <w:jc w:val="center"/>
        </w:trPr>
        <w:tc>
          <w:tcPr>
            <w:tcW w:w="2857" w:type="pct"/>
            <w:tcBorders>
              <w:top w:val="nil"/>
              <w:left w:val="single" w:sz="4" w:space="0" w:color="auto"/>
              <w:bottom w:val="single" w:sz="4" w:space="0" w:color="auto"/>
              <w:right w:val="single" w:sz="4" w:space="0" w:color="auto"/>
            </w:tcBorders>
          </w:tcPr>
          <w:p w14:paraId="30D400E7" w14:textId="77777777" w:rsidR="009214B3" w:rsidRPr="00FA69E8" w:rsidRDefault="009214B3" w:rsidP="00F3759E">
            <w:r w:rsidRPr="00FA69E8">
              <w:t xml:space="preserve">Fossil </w:t>
            </w:r>
            <w:proofErr w:type="spellStart"/>
            <w:r w:rsidRPr="00FA69E8">
              <w:t>fuel</w:t>
            </w:r>
            <w:r w:rsidRPr="00FA69E8">
              <w:rPr>
                <w:vertAlign w:val="superscript"/>
              </w:rPr>
              <w:t>a</w:t>
            </w:r>
            <w:proofErr w:type="spellEnd"/>
            <w:r w:rsidRPr="00FA69E8">
              <w:t xml:space="preserve"> water heating</w:t>
            </w:r>
          </w:p>
        </w:tc>
        <w:tc>
          <w:tcPr>
            <w:tcW w:w="1071" w:type="pct"/>
            <w:tcBorders>
              <w:top w:val="nil"/>
              <w:left w:val="single" w:sz="4" w:space="0" w:color="auto"/>
              <w:bottom w:val="single" w:sz="4" w:space="0" w:color="auto"/>
              <w:right w:val="single" w:sz="4" w:space="0" w:color="auto"/>
            </w:tcBorders>
          </w:tcPr>
          <w:p w14:paraId="503358E3" w14:textId="77777777" w:rsidR="009214B3" w:rsidRPr="00FA69E8" w:rsidRDefault="009214B3" w:rsidP="00F3759E">
            <w:pPr>
              <w:jc w:val="right"/>
            </w:pPr>
            <w:r w:rsidRPr="00FA69E8">
              <w:t>1.1877</w:t>
            </w:r>
          </w:p>
        </w:tc>
        <w:tc>
          <w:tcPr>
            <w:tcW w:w="1072" w:type="pct"/>
            <w:tcBorders>
              <w:top w:val="nil"/>
              <w:left w:val="single" w:sz="4" w:space="0" w:color="auto"/>
              <w:bottom w:val="single" w:sz="4" w:space="0" w:color="auto"/>
              <w:right w:val="single" w:sz="4" w:space="0" w:color="auto"/>
            </w:tcBorders>
          </w:tcPr>
          <w:p w14:paraId="5CE5D46E" w14:textId="77777777" w:rsidR="009214B3" w:rsidRPr="00FA69E8" w:rsidRDefault="009214B3" w:rsidP="00F3759E">
            <w:pPr>
              <w:jc w:val="right"/>
            </w:pPr>
            <w:r w:rsidRPr="00FA69E8">
              <w:t>1.0130</w:t>
            </w:r>
          </w:p>
        </w:tc>
      </w:tr>
    </w:tbl>
    <w:p w14:paraId="1AD30EDA" w14:textId="77777777" w:rsidR="009214B3" w:rsidRPr="000E4FF7" w:rsidRDefault="009214B3" w:rsidP="009214B3">
      <w:pPr>
        <w:ind w:left="1440"/>
      </w:pPr>
      <w:r w:rsidRPr="000E4FF7">
        <w:t>a. Such as natural gas, liquid propane gas, fuel oil</w:t>
      </w:r>
    </w:p>
    <w:p w14:paraId="2DED860E" w14:textId="77777777" w:rsidR="009214B3" w:rsidRPr="000E4FF7" w:rsidRDefault="009214B3" w:rsidP="009214B3"/>
    <w:p w14:paraId="0C3C9E28" w14:textId="77777777" w:rsidR="009214B3" w:rsidRPr="000E4FF7" w:rsidRDefault="009214B3" w:rsidP="009214B3">
      <w:pPr>
        <w:pStyle w:val="four"/>
        <w:numPr>
          <w:ilvl w:val="0"/>
          <w:numId w:val="0"/>
        </w:numPr>
        <w:ind w:left="360"/>
        <w:rPr>
          <w:rStyle w:val="Heading3Char"/>
          <w:b w:val="0"/>
          <w:bCs/>
        </w:rPr>
      </w:pPr>
      <w:r w:rsidRPr="000E4FF7">
        <w:rPr>
          <w:rStyle w:val="Heading3Char"/>
        </w:rPr>
        <w:t xml:space="preserve">4.1.1.1. </w:t>
      </w:r>
      <w:r w:rsidRPr="000E4FF7">
        <w:rPr>
          <w:rStyle w:val="Heading3Char"/>
        </w:rPr>
        <w:tab/>
      </w:r>
      <w:r w:rsidRPr="000E4FF7">
        <w:rPr>
          <w:rStyle w:val="Heading3Char"/>
          <w:u w:val="single"/>
        </w:rPr>
        <w:t>Multiple Equipment Serving the Same End Use Load.</w:t>
      </w:r>
      <w:r w:rsidRPr="000E4FF7">
        <w:rPr>
          <w:rStyle w:val="Heading3Char"/>
          <w:b w:val="0"/>
          <w:bCs/>
          <w:u w:val="single"/>
        </w:rPr>
        <w:t xml:space="preserve"> When the Rated Home has multiple equipment serving the same end use load, the value of </w:t>
      </w:r>
      <w:proofErr w:type="spellStart"/>
      <w:r w:rsidRPr="000E4FF7">
        <w:rPr>
          <w:rStyle w:val="Heading3Char"/>
          <w:b w:val="0"/>
          <w:bCs/>
          <w:u w:val="single"/>
        </w:rPr>
        <w:t>nMEUL</w:t>
      </w:r>
      <w:proofErr w:type="spellEnd"/>
      <w:r w:rsidRPr="000E4FF7">
        <w:rPr>
          <w:rStyle w:val="Heading3Char"/>
          <w:b w:val="0"/>
          <w:bCs/>
          <w:u w:val="single"/>
        </w:rPr>
        <w:t xml:space="preserve"> for that end use shall be determined by summing the </w:t>
      </w:r>
      <w:proofErr w:type="spellStart"/>
      <w:r w:rsidRPr="000E4FF7">
        <w:rPr>
          <w:rStyle w:val="Heading3Char"/>
          <w:b w:val="0"/>
          <w:bCs/>
          <w:u w:val="single"/>
        </w:rPr>
        <w:t>nMEULs</w:t>
      </w:r>
      <w:proofErr w:type="spellEnd"/>
      <w:r w:rsidRPr="000E4FF7">
        <w:rPr>
          <w:rStyle w:val="Heading3Char"/>
          <w:b w:val="0"/>
          <w:bCs/>
          <w:u w:val="single"/>
        </w:rPr>
        <w:t xml:space="preserve"> for each individual system. For each equipment in the Rated Home, the Reference Home shall be assigned a corresponding equipment. </w:t>
      </w:r>
      <w:proofErr w:type="spellStart"/>
      <w:r w:rsidRPr="000E4FF7">
        <w:rPr>
          <w:rStyle w:val="Heading3Char"/>
          <w:b w:val="0"/>
          <w:bCs/>
          <w:u w:val="single"/>
        </w:rPr>
        <w:t>EC_x</w:t>
      </w:r>
      <w:proofErr w:type="spellEnd"/>
      <w:r w:rsidRPr="000E4FF7">
        <w:rPr>
          <w:rStyle w:val="Heading3Char"/>
          <w:b w:val="0"/>
          <w:bCs/>
          <w:u w:val="single"/>
        </w:rPr>
        <w:t xml:space="preserve">, </w:t>
      </w:r>
      <w:proofErr w:type="spellStart"/>
      <w:r w:rsidRPr="000E4FF7">
        <w:rPr>
          <w:rStyle w:val="Heading3Char"/>
          <w:b w:val="0"/>
          <w:bCs/>
          <w:u w:val="single"/>
        </w:rPr>
        <w:t>EEC_x</w:t>
      </w:r>
      <w:proofErr w:type="spellEnd"/>
      <w:r w:rsidRPr="000E4FF7">
        <w:rPr>
          <w:rStyle w:val="Heading3Char"/>
          <w:b w:val="0"/>
          <w:bCs/>
          <w:u w:val="single"/>
        </w:rPr>
        <w:t xml:space="preserve">, a, and b shall be determined separately for each equipment in the Rated Home. </w:t>
      </w:r>
      <w:proofErr w:type="spellStart"/>
      <w:r w:rsidRPr="000E4FF7">
        <w:rPr>
          <w:rStyle w:val="Heading3Char"/>
          <w:b w:val="0"/>
          <w:bCs/>
          <w:u w:val="single"/>
        </w:rPr>
        <w:t>EC_r</w:t>
      </w:r>
      <w:proofErr w:type="spellEnd"/>
      <w:r w:rsidRPr="000E4FF7">
        <w:rPr>
          <w:rStyle w:val="Heading3Char"/>
          <w:b w:val="0"/>
          <w:bCs/>
          <w:u w:val="single"/>
        </w:rPr>
        <w:t xml:space="preserve">, </w:t>
      </w:r>
      <w:proofErr w:type="spellStart"/>
      <w:r w:rsidRPr="000E4FF7">
        <w:rPr>
          <w:rStyle w:val="Heading3Char"/>
          <w:b w:val="0"/>
          <w:bCs/>
          <w:u w:val="single"/>
        </w:rPr>
        <w:t>EEC_r</w:t>
      </w:r>
      <w:proofErr w:type="spellEnd"/>
      <w:r w:rsidRPr="000E4FF7">
        <w:rPr>
          <w:rStyle w:val="Heading3Char"/>
          <w:b w:val="0"/>
          <w:bCs/>
          <w:u w:val="single"/>
        </w:rPr>
        <w:t xml:space="preserve"> shall be determined for each corresponding equipment in the Reference Home. REUL for each equipment shall be determined as the Reference Home End Use Load met by the corresponding equipment in the Reference Home. Fossil fuel back-up heating for heat pump equipment shall be considered separate equipment in this calculation.</w:t>
      </w:r>
    </w:p>
    <w:p w14:paraId="566C7CB5" w14:textId="75E39200" w:rsidR="006644E5" w:rsidRPr="000E4FF7" w:rsidRDefault="006644E5" w:rsidP="00CB3B92">
      <w:pPr>
        <w:pStyle w:val="three"/>
        <w:numPr>
          <w:ilvl w:val="0"/>
          <w:numId w:val="0"/>
        </w:numPr>
        <w:rPr>
          <w:rStyle w:val="Heading3Char"/>
          <w:bCs/>
        </w:rPr>
      </w:pPr>
    </w:p>
    <w:p w14:paraId="5F0F7E4D" w14:textId="0DAFFB5D" w:rsidR="006644E5" w:rsidRPr="00FA69E8" w:rsidRDefault="006644E5" w:rsidP="00E45002">
      <w:pPr>
        <w:pStyle w:val="three"/>
        <w:numPr>
          <w:ilvl w:val="2"/>
          <w:numId w:val="15"/>
        </w:numPr>
        <w:rPr>
          <w:b/>
        </w:rPr>
      </w:pPr>
      <w:r w:rsidRPr="00FA69E8">
        <w:rPr>
          <w:rStyle w:val="Heading3Char"/>
        </w:rPr>
        <w:t>Calculating the Energy Rating Index.</w:t>
      </w:r>
      <w:bookmarkEnd w:id="29"/>
      <w:bookmarkEnd w:id="30"/>
      <w:r w:rsidRPr="00FA69E8">
        <w:t xml:space="preserve">  The Energy Rating Index shall be determined in accordance with Equation 4.1-2.</w:t>
      </w:r>
      <w:bookmarkEnd w:id="31"/>
    </w:p>
    <w:p w14:paraId="706D47EE" w14:textId="77777777" w:rsidR="006644E5" w:rsidRPr="00FA69E8" w:rsidRDefault="006644E5" w:rsidP="006644E5">
      <w:r w:rsidRPr="00FA69E8">
        <w:tab/>
      </w:r>
      <w:r w:rsidRPr="00FA69E8">
        <w:tab/>
      </w:r>
    </w:p>
    <w:p w14:paraId="2B6D6E3F" w14:textId="77777777" w:rsidR="006644E5" w:rsidRPr="0094335D" w:rsidRDefault="006644E5" w:rsidP="006644E5">
      <w:pPr>
        <w:pStyle w:val="Equation3"/>
        <w:rPr>
          <w:b w:val="0"/>
          <w:bCs/>
        </w:rPr>
      </w:pPr>
      <w:r w:rsidRPr="00FA69E8">
        <w:tab/>
      </w:r>
      <w:r w:rsidRPr="0094335D">
        <w:rPr>
          <w:b w:val="0"/>
          <w:bCs/>
        </w:rPr>
        <w:t>Energy Rating Index = PEfrac * [TnML / (TRL* IAF</w:t>
      </w:r>
      <w:r w:rsidRPr="0094335D">
        <w:rPr>
          <w:b w:val="0"/>
          <w:bCs/>
          <w:vertAlign w:val="subscript"/>
        </w:rPr>
        <w:t>RH</w:t>
      </w:r>
      <w:r w:rsidRPr="0094335D">
        <w:rPr>
          <w:b w:val="0"/>
          <w:bCs/>
        </w:rPr>
        <w:t>)] * 100</w:t>
      </w:r>
    </w:p>
    <w:p w14:paraId="202B393C" w14:textId="77777777" w:rsidR="006644E5" w:rsidRPr="00FA69E8" w:rsidRDefault="006644E5" w:rsidP="006644E5">
      <w:pPr>
        <w:pStyle w:val="Equation3"/>
        <w:tabs>
          <w:tab w:val="clear" w:pos="8820"/>
          <w:tab w:val="right" w:pos="9360"/>
        </w:tabs>
      </w:pPr>
      <w:r w:rsidRPr="00FA69E8">
        <w:tab/>
      </w:r>
      <w:r w:rsidRPr="00FA69E8">
        <w:tab/>
        <w:t>(Equation 4.1-2)</w:t>
      </w:r>
    </w:p>
    <w:p w14:paraId="353F7E2D" w14:textId="77777777" w:rsidR="006644E5" w:rsidRPr="00FA69E8" w:rsidRDefault="006644E5" w:rsidP="006644E5">
      <w:pPr>
        <w:pStyle w:val="where1"/>
      </w:pPr>
      <w:r w:rsidRPr="00FA69E8">
        <w:t>where:</w:t>
      </w:r>
    </w:p>
    <w:p w14:paraId="5FD853D8" w14:textId="77777777" w:rsidR="006644E5" w:rsidRPr="00FA69E8" w:rsidRDefault="006644E5" w:rsidP="006644E5">
      <w:pPr>
        <w:pStyle w:val="equals"/>
      </w:pPr>
      <w:proofErr w:type="spellStart"/>
      <w:r w:rsidRPr="00FA69E8">
        <w:t>TnML</w:t>
      </w:r>
      <w:proofErr w:type="spellEnd"/>
      <w:r w:rsidRPr="00FA69E8">
        <w:tab/>
        <w:t xml:space="preserve">= </w:t>
      </w:r>
      <w:proofErr w:type="spellStart"/>
      <w:r w:rsidRPr="00FA69E8">
        <w:t>nMEUL</w:t>
      </w:r>
      <w:r w:rsidRPr="00FA69E8">
        <w:rPr>
          <w:vertAlign w:val="subscript"/>
        </w:rPr>
        <w:t>HEAT</w:t>
      </w:r>
      <w:proofErr w:type="spellEnd"/>
      <w:r w:rsidRPr="00FA69E8">
        <w:t xml:space="preserve"> + </w:t>
      </w:r>
      <w:proofErr w:type="spellStart"/>
      <w:r w:rsidRPr="00FA69E8">
        <w:t>nMEUL</w:t>
      </w:r>
      <w:r w:rsidRPr="00FA69E8">
        <w:rPr>
          <w:vertAlign w:val="subscript"/>
        </w:rPr>
        <w:t>COOL</w:t>
      </w:r>
      <w:proofErr w:type="spellEnd"/>
      <w:r w:rsidRPr="00FA69E8">
        <w:t xml:space="preserve"> + </w:t>
      </w:r>
      <w:proofErr w:type="spellStart"/>
      <w:r w:rsidRPr="00FA69E8">
        <w:t>nMEUL</w:t>
      </w:r>
      <w:r w:rsidRPr="00FA69E8">
        <w:rPr>
          <w:vertAlign w:val="subscript"/>
        </w:rPr>
        <w:t>HW</w:t>
      </w:r>
      <w:proofErr w:type="spellEnd"/>
      <w:r w:rsidRPr="00FA69E8">
        <w:t xml:space="preserve"> + EC</w:t>
      </w:r>
      <w:r w:rsidRPr="00FA69E8">
        <w:rPr>
          <w:vertAlign w:val="subscript"/>
        </w:rPr>
        <w:t>LA</w:t>
      </w:r>
      <w:r w:rsidRPr="00FA69E8">
        <w:t xml:space="preserve"> + EC</w:t>
      </w:r>
      <w:r w:rsidRPr="00FA69E8">
        <w:rPr>
          <w:vertAlign w:val="subscript"/>
        </w:rPr>
        <w:t>VENT</w:t>
      </w:r>
      <w:r w:rsidRPr="00FA69E8">
        <w:t xml:space="preserve"> + </w:t>
      </w:r>
      <w:proofErr w:type="gramStart"/>
      <w:r w:rsidRPr="00FA69E8">
        <w:t>EC</w:t>
      </w:r>
      <w:r w:rsidRPr="00FA69E8">
        <w:rPr>
          <w:vertAlign w:val="subscript"/>
        </w:rPr>
        <w:t xml:space="preserve">DH </w:t>
      </w:r>
      <w:r w:rsidRPr="00FA69E8">
        <w:t xml:space="preserve"> (</w:t>
      </w:r>
      <w:proofErr w:type="spellStart"/>
      <w:proofErr w:type="gramEnd"/>
      <w:r w:rsidRPr="00FA69E8">
        <w:t>MBtu</w:t>
      </w:r>
      <w:proofErr w:type="spellEnd"/>
      <w:r w:rsidRPr="00FA69E8">
        <w:t>/y).</w:t>
      </w:r>
    </w:p>
    <w:p w14:paraId="09157AF6" w14:textId="77777777" w:rsidR="006644E5" w:rsidRPr="00FA69E8" w:rsidRDefault="006644E5" w:rsidP="006644E5">
      <w:pPr>
        <w:pStyle w:val="equals"/>
      </w:pPr>
      <w:r w:rsidRPr="00FA69E8">
        <w:t>TRL</w:t>
      </w:r>
      <w:r w:rsidRPr="00FA69E8">
        <w:tab/>
        <w:t>= REUL</w:t>
      </w:r>
      <w:r w:rsidRPr="00FA69E8">
        <w:rPr>
          <w:vertAlign w:val="subscript"/>
        </w:rPr>
        <w:t>HEAT</w:t>
      </w:r>
      <w:r w:rsidRPr="00FA69E8">
        <w:t xml:space="preserve"> + REUL</w:t>
      </w:r>
      <w:r w:rsidRPr="00FA69E8">
        <w:rPr>
          <w:vertAlign w:val="subscript"/>
        </w:rPr>
        <w:t>COOL</w:t>
      </w:r>
      <w:r w:rsidRPr="00FA69E8">
        <w:t xml:space="preserve"> + REUL</w:t>
      </w:r>
      <w:r w:rsidRPr="00FA69E8">
        <w:rPr>
          <w:vertAlign w:val="subscript"/>
        </w:rPr>
        <w:t>HW</w:t>
      </w:r>
      <w:r w:rsidRPr="00FA69E8">
        <w:t xml:space="preserve"> + REC</w:t>
      </w:r>
      <w:r w:rsidRPr="00FA69E8">
        <w:rPr>
          <w:vertAlign w:val="subscript"/>
        </w:rPr>
        <w:t>LA</w:t>
      </w:r>
      <w:r w:rsidRPr="00FA69E8">
        <w:t xml:space="preserve"> + REC</w:t>
      </w:r>
      <w:r w:rsidRPr="00FA69E8">
        <w:rPr>
          <w:vertAlign w:val="subscript"/>
        </w:rPr>
        <w:t>VENT</w:t>
      </w:r>
      <w:r w:rsidRPr="00FA69E8">
        <w:t xml:space="preserve"> + </w:t>
      </w:r>
      <w:proofErr w:type="gramStart"/>
      <w:r w:rsidRPr="00FA69E8">
        <w:t>REC</w:t>
      </w:r>
      <w:r w:rsidRPr="00FA69E8">
        <w:rPr>
          <w:vertAlign w:val="subscript"/>
        </w:rPr>
        <w:t xml:space="preserve">DH </w:t>
      </w:r>
      <w:r w:rsidRPr="00FA69E8">
        <w:t xml:space="preserve"> (</w:t>
      </w:r>
      <w:proofErr w:type="spellStart"/>
      <w:proofErr w:type="gramEnd"/>
      <w:r w:rsidRPr="00FA69E8">
        <w:t>MBtu</w:t>
      </w:r>
      <w:proofErr w:type="spellEnd"/>
      <w:r w:rsidRPr="00FA69E8">
        <w:t xml:space="preserve">/y). </w:t>
      </w:r>
    </w:p>
    <w:p w14:paraId="181ADBA7" w14:textId="77777777" w:rsidR="006644E5" w:rsidRPr="00FA69E8" w:rsidRDefault="006644E5" w:rsidP="006644E5">
      <w:pPr>
        <w:pStyle w:val="equals"/>
      </w:pPr>
      <w:r w:rsidRPr="00FA69E8">
        <w:t>IAF</w:t>
      </w:r>
      <w:r w:rsidRPr="00FA69E8">
        <w:rPr>
          <w:vertAlign w:val="subscript"/>
        </w:rPr>
        <w:t>RH</w:t>
      </w:r>
      <w:r w:rsidRPr="00FA69E8">
        <w:tab/>
        <w:t>= Index Adjustment Factor of Rated Home in accordance with Equation 4.3-2.</w:t>
      </w:r>
    </w:p>
    <w:p w14:paraId="5969568E" w14:textId="77777777" w:rsidR="006644E5" w:rsidRPr="00FA69E8" w:rsidRDefault="006644E5" w:rsidP="006644E5">
      <w:pPr>
        <w:tabs>
          <w:tab w:val="left" w:pos="1350"/>
          <w:tab w:val="left" w:pos="1620"/>
        </w:tabs>
        <w:ind w:left="1530" w:hanging="1170"/>
      </w:pPr>
    </w:p>
    <w:p w14:paraId="392A6AF7" w14:textId="77777777" w:rsidR="006644E5" w:rsidRPr="00FA69E8" w:rsidRDefault="006644E5" w:rsidP="006644E5">
      <w:pPr>
        <w:pStyle w:val="where1"/>
      </w:pPr>
      <w:r w:rsidRPr="00FA69E8">
        <w:t>and where:</w:t>
      </w:r>
    </w:p>
    <w:p w14:paraId="2B56565B" w14:textId="40A01569" w:rsidR="006644E5" w:rsidRPr="00FA69E8" w:rsidRDefault="006644E5" w:rsidP="006644E5">
      <w:pPr>
        <w:pStyle w:val="equals"/>
      </w:pPr>
      <w:r w:rsidRPr="00FA69E8">
        <w:t>EC</w:t>
      </w:r>
      <w:r w:rsidRPr="00FA69E8">
        <w:rPr>
          <w:vertAlign w:val="subscript"/>
        </w:rPr>
        <w:t>LA</w:t>
      </w:r>
      <w:r w:rsidRPr="00FA69E8">
        <w:tab/>
        <w:t xml:space="preserve">= The Rated Home energy consumption for lighting, appliances and MELs as defined by Section 4.2.2.5.2, converted to </w:t>
      </w:r>
      <w:proofErr w:type="spellStart"/>
      <w:r w:rsidRPr="00FA69E8">
        <w:t>MBtu</w:t>
      </w:r>
      <w:proofErr w:type="spellEnd"/>
      <w:r w:rsidRPr="00FA69E8">
        <w:t xml:space="preserve">/y, where </w:t>
      </w:r>
      <w:proofErr w:type="spellStart"/>
      <w:r w:rsidRPr="00FA69E8">
        <w:t>MBtu</w:t>
      </w:r>
      <w:proofErr w:type="spellEnd"/>
      <w:r w:rsidRPr="00FA69E8">
        <w:t>/y = (kWh/y)/293 or (</w:t>
      </w:r>
      <w:proofErr w:type="spellStart"/>
      <w:r w:rsidRPr="00FA69E8">
        <w:t>Therms</w:t>
      </w:r>
      <w:proofErr w:type="spellEnd"/>
      <w:r w:rsidRPr="00FA69E8">
        <w:t>/y)/10, as appropriate.</w:t>
      </w:r>
    </w:p>
    <w:p w14:paraId="2A3BA59F" w14:textId="77777777" w:rsidR="006644E5" w:rsidRPr="00FA69E8" w:rsidRDefault="006644E5" w:rsidP="006644E5">
      <w:pPr>
        <w:pStyle w:val="equals"/>
      </w:pPr>
      <w:r w:rsidRPr="00FA69E8">
        <w:t>REC</w:t>
      </w:r>
      <w:r w:rsidRPr="00FA69E8">
        <w:rPr>
          <w:vertAlign w:val="subscript"/>
        </w:rPr>
        <w:t>LA</w:t>
      </w:r>
      <w:r w:rsidRPr="00FA69E8">
        <w:tab/>
        <w:t xml:space="preserve">= The Reference Home energy consumption for lighting, appliances and MELs as defined by Section 4.2.2.5.1, converted to </w:t>
      </w:r>
      <w:proofErr w:type="spellStart"/>
      <w:r w:rsidRPr="00FA69E8">
        <w:t>MBtu</w:t>
      </w:r>
      <w:proofErr w:type="spellEnd"/>
      <w:r w:rsidRPr="00FA69E8">
        <w:t xml:space="preserve">/y, where </w:t>
      </w:r>
      <w:proofErr w:type="spellStart"/>
      <w:r w:rsidRPr="00FA69E8">
        <w:t>MBtu</w:t>
      </w:r>
      <w:proofErr w:type="spellEnd"/>
      <w:r w:rsidRPr="00FA69E8">
        <w:t>/y = (kWh/y)/293 or (</w:t>
      </w:r>
      <w:proofErr w:type="spellStart"/>
      <w:r w:rsidRPr="00FA69E8">
        <w:t>Therms</w:t>
      </w:r>
      <w:proofErr w:type="spellEnd"/>
      <w:r w:rsidRPr="00FA69E8">
        <w:t>/y)/10, as appropriate.</w:t>
      </w:r>
    </w:p>
    <w:p w14:paraId="4D4D7FF4" w14:textId="77777777" w:rsidR="006644E5" w:rsidRPr="00FA69E8" w:rsidRDefault="006644E5" w:rsidP="006644E5">
      <w:pPr>
        <w:pStyle w:val="equals"/>
      </w:pPr>
      <w:r w:rsidRPr="00FA69E8">
        <w:t>EC</w:t>
      </w:r>
      <w:r w:rsidRPr="00FA69E8">
        <w:rPr>
          <w:vertAlign w:val="subscript"/>
        </w:rPr>
        <w:t>VENT</w:t>
      </w:r>
      <w:r w:rsidRPr="00FA69E8">
        <w:tab/>
        <w:t xml:space="preserve">= The Rated Home energy consumption for Dwelling Unit Mechanical Ventilation System fans,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3132A083" w14:textId="77777777" w:rsidR="006644E5" w:rsidRPr="00FA69E8" w:rsidRDefault="006644E5" w:rsidP="006644E5">
      <w:pPr>
        <w:pStyle w:val="equals"/>
      </w:pPr>
      <w:r w:rsidRPr="00FA69E8">
        <w:lastRenderedPageBreak/>
        <w:t>REC</w:t>
      </w:r>
      <w:r w:rsidRPr="00FA69E8">
        <w:rPr>
          <w:vertAlign w:val="subscript"/>
        </w:rPr>
        <w:t>VENT</w:t>
      </w:r>
      <w:r w:rsidRPr="00FA69E8">
        <w:tab/>
        <w:t xml:space="preserve">= The Reference Home energy consumption for Dwelling Unit Mechanical Ventilation System fans,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7E449881" w14:textId="77777777" w:rsidR="006644E5" w:rsidRPr="00FA69E8" w:rsidRDefault="006644E5" w:rsidP="006644E5">
      <w:pPr>
        <w:pStyle w:val="equals"/>
      </w:pPr>
      <w:r w:rsidRPr="00FA69E8">
        <w:t>EC</w:t>
      </w:r>
      <w:r w:rsidRPr="00FA69E8">
        <w:rPr>
          <w:vertAlign w:val="subscript"/>
        </w:rPr>
        <w:t>DH</w:t>
      </w:r>
      <w:r w:rsidRPr="00FA69E8">
        <w:tab/>
        <w:t xml:space="preserve">= The Rated Home energy consumption for dehumidification,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289B81AE" w14:textId="77777777" w:rsidR="006644E5" w:rsidRPr="00FA69E8" w:rsidRDefault="006644E5" w:rsidP="006644E5">
      <w:pPr>
        <w:pStyle w:val="equals"/>
      </w:pPr>
      <w:r w:rsidRPr="00FA69E8">
        <w:t>REC</w:t>
      </w:r>
      <w:r w:rsidRPr="00FA69E8">
        <w:rPr>
          <w:vertAlign w:val="subscript"/>
        </w:rPr>
        <w:t>DH</w:t>
      </w:r>
      <w:r w:rsidRPr="00FA69E8">
        <w:tab/>
        <w:t xml:space="preserve">= The Reference Home energy consumption for dehumidification, converted to </w:t>
      </w:r>
      <w:proofErr w:type="spellStart"/>
      <w:r w:rsidRPr="00FA69E8">
        <w:t>MBtu</w:t>
      </w:r>
      <w:proofErr w:type="spellEnd"/>
      <w:r w:rsidRPr="00FA69E8">
        <w:t xml:space="preserve">/y, where </w:t>
      </w:r>
      <w:proofErr w:type="spellStart"/>
      <w:r w:rsidRPr="00FA69E8">
        <w:t>MBtu</w:t>
      </w:r>
      <w:proofErr w:type="spellEnd"/>
      <w:r w:rsidRPr="00FA69E8">
        <w:t>/y = (kWh/y)/293.</w:t>
      </w:r>
    </w:p>
    <w:p w14:paraId="70CAAA94" w14:textId="77777777" w:rsidR="006644E5" w:rsidRPr="000E4FF7" w:rsidRDefault="006644E5" w:rsidP="006644E5">
      <w:pPr>
        <w:pStyle w:val="equals"/>
      </w:pPr>
    </w:p>
    <w:p w14:paraId="29FEDCB7" w14:textId="77777777" w:rsidR="006644E5" w:rsidRPr="000E4FF7" w:rsidRDefault="006644E5" w:rsidP="006644E5">
      <w:pPr>
        <w:pStyle w:val="where1"/>
      </w:pPr>
      <w:r w:rsidRPr="000E4FF7">
        <w:t>and where:</w:t>
      </w:r>
    </w:p>
    <w:p w14:paraId="31661027" w14:textId="66430E80" w:rsidR="006644E5" w:rsidRPr="000E4FF7" w:rsidRDefault="006644E5" w:rsidP="006644E5">
      <w:pPr>
        <w:pStyle w:val="equals"/>
      </w:pPr>
      <w:proofErr w:type="spellStart"/>
      <w:r w:rsidRPr="000E4FF7">
        <w:t>PEfrac</w:t>
      </w:r>
      <w:proofErr w:type="spellEnd"/>
      <w:r w:rsidRPr="000E4FF7">
        <w:tab/>
        <w:t>=</w:t>
      </w:r>
      <w:r w:rsidRPr="000E4FF7">
        <w:tab/>
        <w:t>(TEU – OPP</w:t>
      </w:r>
      <w:r w:rsidRPr="000E4FF7">
        <w:rPr>
          <w:u w:val="single"/>
        </w:rPr>
        <w:t xml:space="preserve"> + BSL</w:t>
      </w:r>
      <w:r w:rsidRPr="000E4FF7">
        <w:t>) / TEU</w:t>
      </w:r>
    </w:p>
    <w:p w14:paraId="3386806F" w14:textId="77777777" w:rsidR="006644E5" w:rsidRPr="000E4FF7" w:rsidRDefault="006644E5" w:rsidP="006644E5">
      <w:pPr>
        <w:pStyle w:val="equals"/>
      </w:pPr>
      <w:r w:rsidRPr="000E4FF7">
        <w:t>TEU</w:t>
      </w:r>
      <w:r w:rsidRPr="000E4FF7">
        <w:tab/>
        <w:t>= Total energy use of the Rated Home including all rated and nonrated energy features where all fossil fuel site energy uses (</w:t>
      </w:r>
      <w:proofErr w:type="spellStart"/>
      <w:r w:rsidRPr="000E4FF7">
        <w:t>Btu</w:t>
      </w:r>
      <w:r w:rsidRPr="000E4FF7">
        <w:rPr>
          <w:sz w:val="28"/>
          <w:szCs w:val="28"/>
          <w:vertAlign w:val="subscript"/>
        </w:rPr>
        <w:t>fossil</w:t>
      </w:r>
      <w:proofErr w:type="spellEnd"/>
      <w:r w:rsidRPr="000E4FF7">
        <w:t>) are converted to equivalent electric energy use (</w:t>
      </w:r>
      <w:proofErr w:type="spellStart"/>
      <w:r w:rsidRPr="000E4FF7">
        <w:t>kWh</w:t>
      </w:r>
      <w:r w:rsidRPr="000E4FF7">
        <w:rPr>
          <w:sz w:val="28"/>
          <w:szCs w:val="28"/>
          <w:vertAlign w:val="subscript"/>
        </w:rPr>
        <w:t>eq</w:t>
      </w:r>
      <w:proofErr w:type="spellEnd"/>
      <w:r w:rsidRPr="000E4FF7">
        <w:t>) in accordance with Equation 4.1-3.</w:t>
      </w:r>
    </w:p>
    <w:p w14:paraId="49F9FB1D" w14:textId="3C41F272" w:rsidR="006644E5" w:rsidRPr="000E4FF7" w:rsidRDefault="006644E5" w:rsidP="006644E5">
      <w:pPr>
        <w:pStyle w:val="equals"/>
        <w:rPr>
          <w:u w:val="single"/>
        </w:rPr>
      </w:pPr>
      <w:r w:rsidRPr="000E4FF7">
        <w:t>OPP</w:t>
      </w:r>
      <w:r w:rsidRPr="000E4FF7">
        <w:tab/>
        <w:t>=</w:t>
      </w:r>
      <w:r w:rsidRPr="000E4FF7">
        <w:tab/>
        <w:t>On-Site Power Production as defined by Section 4.2.2.7 of this Standard.</w:t>
      </w:r>
    </w:p>
    <w:p w14:paraId="77026B6C" w14:textId="77777777" w:rsidR="00BF66DD" w:rsidRPr="000E4FF7" w:rsidRDefault="00BF66DD" w:rsidP="00BF66DD">
      <w:pPr>
        <w:pStyle w:val="NormalWeb"/>
        <w:ind w:left="3240" w:hanging="1170"/>
      </w:pPr>
      <w:r w:rsidRPr="000E4FF7">
        <w:rPr>
          <w:u w:val="single"/>
        </w:rPr>
        <w:t>BSL          = Battery Storage Losses, calculated as total annual energy based on the round-trip efficiency for the On-Site Battery Storage</w:t>
      </w:r>
    </w:p>
    <w:p w14:paraId="67C2C161" w14:textId="77777777" w:rsidR="006644E5" w:rsidRPr="000E4FF7" w:rsidRDefault="006644E5" w:rsidP="006644E5">
      <w:pPr>
        <w:tabs>
          <w:tab w:val="left" w:pos="1440"/>
        </w:tabs>
        <w:ind w:left="1440" w:hanging="1080"/>
      </w:pPr>
    </w:p>
    <w:p w14:paraId="35819595" w14:textId="77777777" w:rsidR="006644E5" w:rsidRPr="00FA69E8" w:rsidRDefault="006644E5" w:rsidP="006644E5">
      <w:pPr>
        <w:pStyle w:val="Equation3"/>
        <w:tabs>
          <w:tab w:val="clear" w:pos="8820"/>
          <w:tab w:val="right" w:pos="9360"/>
        </w:tabs>
        <w:rPr>
          <w:rStyle w:val="Heading2Char"/>
          <w:b/>
        </w:rPr>
      </w:pPr>
      <w:r w:rsidRPr="00FA69E8">
        <w:tab/>
      </w:r>
      <w:r w:rsidRPr="0094335D">
        <w:rPr>
          <w:b w:val="0"/>
          <w:bCs/>
        </w:rPr>
        <w:t>kWh</w:t>
      </w:r>
      <w:r w:rsidRPr="0094335D">
        <w:rPr>
          <w:b w:val="0"/>
          <w:bCs/>
          <w:sz w:val="28"/>
          <w:szCs w:val="28"/>
          <w:vertAlign w:val="subscript"/>
        </w:rPr>
        <w:t>eq</w:t>
      </w:r>
      <w:r w:rsidRPr="0094335D">
        <w:rPr>
          <w:b w:val="0"/>
          <w:bCs/>
        </w:rPr>
        <w:t xml:space="preserve"> = (Btu</w:t>
      </w:r>
      <w:r w:rsidRPr="0094335D">
        <w:rPr>
          <w:b w:val="0"/>
          <w:bCs/>
          <w:sz w:val="28"/>
          <w:szCs w:val="28"/>
          <w:vertAlign w:val="subscript"/>
        </w:rPr>
        <w:t>fossil</w:t>
      </w:r>
      <w:r w:rsidRPr="0094335D">
        <w:rPr>
          <w:b w:val="0"/>
          <w:bCs/>
        </w:rPr>
        <w:t xml:space="preserve"> * 0.40) / 3412</w:t>
      </w:r>
      <w:r w:rsidRPr="00FA69E8">
        <w:tab/>
        <w:t xml:space="preserve">(Equation 4.1-3) </w:t>
      </w:r>
    </w:p>
    <w:p w14:paraId="707A986B" w14:textId="77777777" w:rsidR="006644E5" w:rsidRPr="00FA69E8" w:rsidRDefault="006644E5" w:rsidP="006644E5">
      <w:pPr>
        <w:tabs>
          <w:tab w:val="left" w:pos="748"/>
          <w:tab w:val="right" w:pos="9360"/>
        </w:tabs>
        <w:rPr>
          <w:rStyle w:val="Heading2Char"/>
        </w:rPr>
      </w:pPr>
    </w:p>
    <w:p w14:paraId="13C2F76F" w14:textId="77777777" w:rsidR="008F1DC1" w:rsidRPr="00FA69E8" w:rsidRDefault="008F1DC1" w:rsidP="008F1DC1">
      <w:pPr>
        <w:rPr>
          <w:rStyle w:val="Heading2Char"/>
        </w:rPr>
      </w:pPr>
    </w:p>
    <w:p w14:paraId="399B228F" w14:textId="52AAA6F0" w:rsidR="008F1DC1" w:rsidRPr="00FA69E8" w:rsidRDefault="008F1DC1" w:rsidP="00E45002">
      <w:pPr>
        <w:pStyle w:val="ListParagraph"/>
        <w:numPr>
          <w:ilvl w:val="1"/>
          <w:numId w:val="15"/>
        </w:numPr>
        <w:tabs>
          <w:tab w:val="left" w:pos="748"/>
        </w:tabs>
        <w:contextualSpacing/>
        <w:rPr>
          <w:b/>
        </w:rPr>
      </w:pPr>
      <w:bookmarkStart w:id="33" w:name="_Toc443655364"/>
      <w:bookmarkStart w:id="34" w:name="_Ref495406366"/>
      <w:bookmarkStart w:id="35" w:name="_Ref495407355"/>
      <w:bookmarkStart w:id="36" w:name="_Toc505772432"/>
      <w:r w:rsidRPr="00FA69E8">
        <w:rPr>
          <w:rStyle w:val="Heading2Char"/>
        </w:rPr>
        <w:t>Energy Rating Reference Home and Rated Home Configuration</w:t>
      </w:r>
      <w:bookmarkEnd w:id="24"/>
      <w:bookmarkEnd w:id="33"/>
      <w:bookmarkEnd w:id="34"/>
      <w:bookmarkEnd w:id="35"/>
      <w:bookmarkEnd w:id="36"/>
      <w:r w:rsidR="00957DE4" w:rsidRPr="00FA69E8">
        <w:rPr>
          <w:rStyle w:val="Heading2Char"/>
        </w:rPr>
        <w:t>.</w:t>
      </w:r>
    </w:p>
    <w:p w14:paraId="0F899B7F" w14:textId="77777777" w:rsidR="008F1DC1" w:rsidRPr="00FA69E8" w:rsidRDefault="008F1DC1" w:rsidP="008F1DC1">
      <w:pPr>
        <w:tabs>
          <w:tab w:val="left" w:pos="748"/>
        </w:tabs>
        <w:rPr>
          <w:b/>
        </w:rPr>
      </w:pPr>
    </w:p>
    <w:p w14:paraId="1DF1F7A9" w14:textId="61808C0B" w:rsidR="008F1DC1" w:rsidRPr="000E4FF7" w:rsidRDefault="008F1DC1" w:rsidP="00E45002">
      <w:pPr>
        <w:pStyle w:val="three"/>
        <w:numPr>
          <w:ilvl w:val="2"/>
          <w:numId w:val="15"/>
        </w:numPr>
        <w:rPr>
          <w:b/>
          <w:u w:val="single"/>
        </w:rPr>
      </w:pPr>
      <w:bookmarkStart w:id="37" w:name="_Toc443655365"/>
      <w:bookmarkStart w:id="38" w:name="_Toc505772433"/>
      <w:r w:rsidRPr="000E4FF7">
        <w:rPr>
          <w:rStyle w:val="Heading3Char"/>
        </w:rPr>
        <w:t>General Requirements.</w:t>
      </w:r>
      <w:bookmarkEnd w:id="37"/>
      <w:bookmarkEnd w:id="38"/>
      <w:r w:rsidRPr="000E4FF7">
        <w:t xml:space="preserve">  Except as specified </w:t>
      </w:r>
      <w:r w:rsidRPr="000E4FF7">
        <w:rPr>
          <w:strike/>
        </w:rPr>
        <w:t xml:space="preserve">by </w:t>
      </w:r>
      <w:proofErr w:type="spellStart"/>
      <w:r w:rsidRPr="000E4FF7">
        <w:rPr>
          <w:strike/>
        </w:rPr>
        <w:t>this</w:t>
      </w:r>
      <w:r w:rsidR="00812638" w:rsidRPr="000E4FF7">
        <w:rPr>
          <w:u w:val="single"/>
        </w:rPr>
        <w:t>elsewhere</w:t>
      </w:r>
      <w:proofErr w:type="spellEnd"/>
      <w:r w:rsidR="00812638" w:rsidRPr="000E4FF7">
        <w:rPr>
          <w:u w:val="single"/>
        </w:rPr>
        <w:t xml:space="preserve"> in</w:t>
      </w:r>
      <w:r w:rsidRPr="000E4FF7">
        <w:t xml:space="preserve"> </w:t>
      </w:r>
      <w:r w:rsidR="00D67171" w:rsidRPr="000E4FF7">
        <w:t>section</w:t>
      </w:r>
      <w:r w:rsidR="00812638" w:rsidRPr="000E4FF7">
        <w:rPr>
          <w:u w:val="single"/>
        </w:rPr>
        <w:t xml:space="preserve"> 4.2</w:t>
      </w:r>
      <w:r w:rsidRPr="000E4FF7">
        <w:t xml:space="preserve">, the Energy Rating Reference Home and the Rated Home shall be configured and analyzed </w:t>
      </w:r>
      <w:r w:rsidR="00663C49" w:rsidRPr="000E4FF7">
        <w:rPr>
          <w:sz w:val="23"/>
          <w:szCs w:val="23"/>
        </w:rPr>
        <w:t>in the Approved Software Rating Tool</w:t>
      </w:r>
      <w:r w:rsidR="00663C49" w:rsidRPr="000E4FF7">
        <w:t xml:space="preserve"> </w:t>
      </w:r>
      <w:r w:rsidRPr="000E4FF7">
        <w:t>using identical methods and techniques.</w:t>
      </w:r>
    </w:p>
    <w:p w14:paraId="23322767" w14:textId="5975CA69" w:rsidR="00526FBE" w:rsidRPr="000E4FF7" w:rsidRDefault="00526FBE" w:rsidP="00E45002">
      <w:pPr>
        <w:pStyle w:val="four"/>
        <w:numPr>
          <w:ilvl w:val="3"/>
          <w:numId w:val="15"/>
        </w:numPr>
        <w:rPr>
          <w:rStyle w:val="Heading3Char"/>
          <w:bCs/>
        </w:rPr>
      </w:pPr>
      <w:r w:rsidRPr="000E4FF7">
        <w:rPr>
          <w:rStyle w:val="Heading3Char"/>
          <w:bCs/>
          <w:u w:val="single"/>
        </w:rPr>
        <w:t>Modeling Assumptions.</w:t>
      </w:r>
      <w:r w:rsidRPr="000E4FF7">
        <w:rPr>
          <w:rStyle w:val="Heading3Char"/>
          <w:b w:val="0"/>
          <w:u w:val="single"/>
        </w:rPr>
        <w:t xml:space="preserve"> </w:t>
      </w:r>
      <w:r w:rsidR="00092EEA" w:rsidRPr="000E4FF7">
        <w:rPr>
          <w:rStyle w:val="Heading3Char"/>
          <w:b w:val="0"/>
          <w:u w:val="single"/>
        </w:rPr>
        <w:t xml:space="preserve">The assumptions </w:t>
      </w:r>
      <w:r w:rsidR="00650C83" w:rsidRPr="000E4FF7">
        <w:rPr>
          <w:rStyle w:val="Heading3Char"/>
          <w:b w:val="0"/>
          <w:u w:val="single"/>
        </w:rPr>
        <w:t>s</w:t>
      </w:r>
      <w:r w:rsidR="004D2431" w:rsidRPr="000E4FF7">
        <w:rPr>
          <w:rStyle w:val="Heading3Char"/>
          <w:b w:val="0"/>
          <w:u w:val="single"/>
        </w:rPr>
        <w:t>pecified in Normative</w:t>
      </w:r>
      <w:r w:rsidR="00E91837" w:rsidRPr="000E4FF7">
        <w:rPr>
          <w:rStyle w:val="Heading3Char"/>
          <w:b w:val="0"/>
          <w:u w:val="single"/>
        </w:rPr>
        <w:t xml:space="preserve"> Appendix C</w:t>
      </w:r>
      <w:r w:rsidR="0084003D" w:rsidRPr="000E4FF7">
        <w:rPr>
          <w:rStyle w:val="Heading3Char"/>
          <w:b w:val="0"/>
          <w:u w:val="single"/>
        </w:rPr>
        <w:t xml:space="preserve"> shall apply to all </w:t>
      </w:r>
      <w:r w:rsidR="0070285D" w:rsidRPr="000E4FF7">
        <w:rPr>
          <w:rStyle w:val="Heading3Char"/>
          <w:b w:val="0"/>
          <w:u w:val="single"/>
        </w:rPr>
        <w:t xml:space="preserve">simulation </w:t>
      </w:r>
      <w:r w:rsidR="0084003D" w:rsidRPr="000E4FF7">
        <w:rPr>
          <w:rStyle w:val="Heading3Char"/>
          <w:b w:val="0"/>
          <w:u w:val="single"/>
        </w:rPr>
        <w:t>models.</w:t>
      </w:r>
    </w:p>
    <w:p w14:paraId="66B6E383" w14:textId="1207D8BE" w:rsidR="008F1DC1" w:rsidRPr="00FA69E8" w:rsidRDefault="008F1DC1" w:rsidP="00E45002">
      <w:pPr>
        <w:pStyle w:val="three"/>
        <w:numPr>
          <w:ilvl w:val="2"/>
          <w:numId w:val="15"/>
        </w:numPr>
        <w:rPr>
          <w:b/>
        </w:rPr>
      </w:pPr>
      <w:bookmarkStart w:id="39" w:name="_Toc443655366"/>
      <w:bookmarkStart w:id="40" w:name="_Toc505772434"/>
      <w:r w:rsidRPr="00FA69E8">
        <w:rPr>
          <w:rStyle w:val="Heading3Char"/>
        </w:rPr>
        <w:t>Residence Specifications.</w:t>
      </w:r>
      <w:bookmarkEnd w:id="39"/>
      <w:bookmarkEnd w:id="40"/>
      <w:r w:rsidRPr="00FA69E8">
        <w:t xml:space="preserve">  </w:t>
      </w:r>
    </w:p>
    <w:p w14:paraId="1142FF9F" w14:textId="4DDE2431" w:rsidR="008F1DC1" w:rsidRPr="00FA69E8" w:rsidRDefault="008F1DC1" w:rsidP="008F1DC1">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FA69E8" w:rsidRPr="00FA69E8" w14:paraId="711EA23C" w14:textId="77777777" w:rsidTr="002E30C8">
        <w:trPr>
          <w:cantSplit/>
          <w:trHeight w:val="360"/>
          <w:tblHeader/>
        </w:trPr>
        <w:tc>
          <w:tcPr>
            <w:tcW w:w="9360" w:type="dxa"/>
            <w:gridSpan w:val="3"/>
            <w:tcBorders>
              <w:top w:val="nil"/>
              <w:left w:val="nil"/>
              <w:bottom w:val="single" w:sz="4" w:space="0" w:color="auto"/>
              <w:right w:val="nil"/>
            </w:tcBorders>
          </w:tcPr>
          <w:p w14:paraId="2BF1AA4A" w14:textId="77777777" w:rsidR="002E30C8" w:rsidRPr="00FA69E8" w:rsidRDefault="002E30C8" w:rsidP="00F3759E">
            <w:pPr>
              <w:jc w:val="center"/>
              <w:rPr>
                <w:b/>
              </w:rPr>
            </w:pPr>
            <w:bookmarkStart w:id="41" w:name="_Hlk161054346"/>
            <w:r w:rsidRPr="00FA69E8">
              <w:rPr>
                <w:b/>
              </w:rPr>
              <w:t>Table 4.2.2(1) Specifications for the Energy Rating Reference and Rated Home</w:t>
            </w:r>
            <w:bookmarkEnd w:id="41"/>
            <w:r w:rsidRPr="00FA69E8">
              <w:rPr>
                <w:b/>
              </w:rPr>
              <w:t>s</w:t>
            </w:r>
          </w:p>
        </w:tc>
      </w:tr>
      <w:tr w:rsidR="00FA69E8" w:rsidRPr="00FA69E8" w14:paraId="0A406557" w14:textId="77777777" w:rsidTr="00F3759E">
        <w:trPr>
          <w:tblHeader/>
        </w:trPr>
        <w:tc>
          <w:tcPr>
            <w:tcW w:w="2587" w:type="dxa"/>
          </w:tcPr>
          <w:p w14:paraId="3F42D155" w14:textId="77777777" w:rsidR="002E30C8" w:rsidRPr="00FA69E8" w:rsidRDefault="002E30C8" w:rsidP="00F3759E">
            <w:pPr>
              <w:rPr>
                <w:b/>
              </w:rPr>
            </w:pPr>
            <w:r w:rsidRPr="00FA69E8">
              <w:rPr>
                <w:b/>
              </w:rPr>
              <w:t>Building Component</w:t>
            </w:r>
          </w:p>
        </w:tc>
        <w:tc>
          <w:tcPr>
            <w:tcW w:w="3596" w:type="dxa"/>
          </w:tcPr>
          <w:p w14:paraId="01657556" w14:textId="77777777" w:rsidR="002E30C8" w:rsidRPr="00FA69E8" w:rsidRDefault="002E30C8" w:rsidP="00F3759E">
            <w:pPr>
              <w:rPr>
                <w:b/>
              </w:rPr>
            </w:pPr>
            <w:r w:rsidRPr="00FA69E8">
              <w:rPr>
                <w:b/>
              </w:rPr>
              <w:t>Energy Rating Reference Home</w:t>
            </w:r>
          </w:p>
        </w:tc>
        <w:tc>
          <w:tcPr>
            <w:tcW w:w="3177" w:type="dxa"/>
          </w:tcPr>
          <w:p w14:paraId="2C531459" w14:textId="77777777" w:rsidR="002E30C8" w:rsidRPr="00FA69E8" w:rsidRDefault="002E30C8" w:rsidP="00F3759E">
            <w:pPr>
              <w:rPr>
                <w:b/>
              </w:rPr>
            </w:pPr>
            <w:r w:rsidRPr="00FA69E8">
              <w:rPr>
                <w:b/>
              </w:rPr>
              <w:t>Rated Home</w:t>
            </w:r>
          </w:p>
        </w:tc>
      </w:tr>
      <w:tr w:rsidR="00FA69E8" w:rsidRPr="00FA69E8" w14:paraId="42BD4F98" w14:textId="77777777" w:rsidTr="00F3759E">
        <w:tc>
          <w:tcPr>
            <w:tcW w:w="2587" w:type="dxa"/>
          </w:tcPr>
          <w:p w14:paraId="637C72C3" w14:textId="77777777" w:rsidR="002E30C8" w:rsidRPr="00FA69E8" w:rsidRDefault="002E30C8" w:rsidP="00F3759E">
            <w:r w:rsidRPr="00FA69E8">
              <w:t>Above-grade walls separating Conditioned Space Volume from outdoor environment or Unconditioned Space Volume</w:t>
            </w:r>
          </w:p>
        </w:tc>
        <w:tc>
          <w:tcPr>
            <w:tcW w:w="3596" w:type="dxa"/>
          </w:tcPr>
          <w:p w14:paraId="384B9538" w14:textId="77777777" w:rsidR="002E30C8" w:rsidRPr="00FA69E8" w:rsidRDefault="002E30C8" w:rsidP="00F3759E">
            <w:pPr>
              <w:contextualSpacing/>
            </w:pPr>
            <w:r w:rsidRPr="00FA69E8">
              <w:t>Type:  wood frame</w:t>
            </w:r>
          </w:p>
          <w:p w14:paraId="46A85691" w14:textId="77777777" w:rsidR="002E30C8" w:rsidRPr="00FA69E8" w:rsidRDefault="002E30C8" w:rsidP="00F3759E">
            <w:pPr>
              <w:contextualSpacing/>
            </w:pPr>
            <w:r w:rsidRPr="00FA69E8">
              <w:t xml:space="preserve">Gross Area:  same as Rated Home </w:t>
            </w:r>
          </w:p>
          <w:p w14:paraId="430DCE9E" w14:textId="77777777" w:rsidR="002E30C8" w:rsidRPr="00FA69E8" w:rsidRDefault="002E30C8" w:rsidP="00F3759E">
            <w:pPr>
              <w:contextualSpacing/>
            </w:pPr>
            <w:r w:rsidRPr="00FA69E8">
              <w:t>U-Factor:  from Table 4.2.2(2)</w:t>
            </w:r>
          </w:p>
          <w:p w14:paraId="03BC6A5B" w14:textId="77777777" w:rsidR="002E30C8" w:rsidRPr="00FA69E8" w:rsidRDefault="002E30C8" w:rsidP="00F3759E">
            <w:pPr>
              <w:contextualSpacing/>
            </w:pPr>
            <w:r w:rsidRPr="00FA69E8">
              <w:t>Solar Absorptance = 0.75</w:t>
            </w:r>
          </w:p>
          <w:p w14:paraId="6E48C833" w14:textId="77777777" w:rsidR="002E30C8" w:rsidRPr="00FA69E8" w:rsidRDefault="002E30C8" w:rsidP="00F3759E">
            <w:pPr>
              <w:contextualSpacing/>
            </w:pPr>
          </w:p>
          <w:p w14:paraId="79352DA2" w14:textId="77777777" w:rsidR="002E30C8" w:rsidRPr="00FA69E8" w:rsidRDefault="002E30C8" w:rsidP="00F3759E">
            <w:pPr>
              <w:contextualSpacing/>
            </w:pPr>
          </w:p>
          <w:p w14:paraId="08248948" w14:textId="77777777" w:rsidR="002E30C8" w:rsidRPr="00FA69E8" w:rsidRDefault="002E30C8" w:rsidP="00F3759E">
            <w:pPr>
              <w:contextualSpacing/>
            </w:pPr>
          </w:p>
          <w:p w14:paraId="7CB33225" w14:textId="77777777" w:rsidR="002E30C8" w:rsidRPr="00FA69E8" w:rsidRDefault="002E30C8" w:rsidP="00F3759E">
            <w:pPr>
              <w:contextualSpacing/>
            </w:pPr>
          </w:p>
          <w:p w14:paraId="0197AEFB" w14:textId="77777777" w:rsidR="002E30C8" w:rsidRPr="00FA69E8" w:rsidRDefault="002E30C8" w:rsidP="00F3759E">
            <w:pPr>
              <w:contextualSpacing/>
            </w:pPr>
          </w:p>
          <w:p w14:paraId="33207846" w14:textId="77777777" w:rsidR="002E30C8" w:rsidRPr="00FA69E8" w:rsidRDefault="002E30C8" w:rsidP="00F3759E">
            <w:pPr>
              <w:contextualSpacing/>
            </w:pPr>
          </w:p>
          <w:p w14:paraId="7FB2EBE5" w14:textId="77777777" w:rsidR="002E30C8" w:rsidRPr="00FA69E8" w:rsidRDefault="002E30C8" w:rsidP="00F3759E">
            <w:pPr>
              <w:contextualSpacing/>
            </w:pPr>
          </w:p>
          <w:p w14:paraId="0E10AD10" w14:textId="77777777" w:rsidR="002E30C8" w:rsidRPr="00FA69E8" w:rsidRDefault="002E30C8" w:rsidP="00F3759E">
            <w:pPr>
              <w:contextualSpacing/>
            </w:pPr>
            <w:r w:rsidRPr="00FA69E8">
              <w:t>Emittance = 0.90</w:t>
            </w:r>
          </w:p>
        </w:tc>
        <w:tc>
          <w:tcPr>
            <w:tcW w:w="3177" w:type="dxa"/>
          </w:tcPr>
          <w:p w14:paraId="30CBFA3B" w14:textId="77777777" w:rsidR="002E30C8" w:rsidRPr="00FA69E8" w:rsidRDefault="002E30C8" w:rsidP="00F3759E">
            <w:r w:rsidRPr="00FA69E8">
              <w:lastRenderedPageBreak/>
              <w:t>Same as Rated Home</w:t>
            </w:r>
          </w:p>
          <w:p w14:paraId="1C4B84D9" w14:textId="77777777" w:rsidR="002E30C8" w:rsidRPr="00FA69E8" w:rsidRDefault="002E30C8" w:rsidP="00F3759E">
            <w:r w:rsidRPr="00FA69E8">
              <w:t>Same as Rated Home</w:t>
            </w:r>
            <w:r w:rsidRPr="00FA69E8">
              <w:br/>
              <w:t>Same as Rated Home</w:t>
            </w:r>
          </w:p>
          <w:p w14:paraId="18344363" w14:textId="77777777" w:rsidR="002E30C8" w:rsidRPr="00FA69E8" w:rsidRDefault="002E30C8" w:rsidP="00F3759E">
            <w:pPr>
              <w:rPr>
                <w:strike/>
              </w:rPr>
            </w:pPr>
            <w:r w:rsidRPr="00FA69E8">
              <w:t xml:space="preserve">Values from Table 4.2.2(4) shall be used to determine Solar Absorptance, except where test data are provided </w:t>
            </w:r>
            <w:r w:rsidRPr="00FA69E8">
              <w:lastRenderedPageBreak/>
              <w:t>for wall surface in accordance with ASTM C1549 or ASTM E903 using the ASTM G197 air-mass 1.5 sun-facing global vertical solar spectral irradiance for the measurement of Solar Reflectance.</w:t>
            </w:r>
            <w:r w:rsidRPr="00FA69E8">
              <w:rPr>
                <w:rStyle w:val="FootnoteReference"/>
              </w:rPr>
              <w:footnoteReference w:id="8"/>
            </w:r>
            <w:r w:rsidRPr="00FA69E8">
              <w:t xml:space="preserve"> The Solar Absorptance value is obtained by subtracting the measured Solar Reflectance value from the number one (Solar Absorptance = 1 – Solar Reflectance)</w:t>
            </w:r>
          </w:p>
          <w:p w14:paraId="2809FC8A" w14:textId="77777777" w:rsidR="002E30C8" w:rsidRPr="00FA69E8" w:rsidRDefault="002E30C8" w:rsidP="00F3759E"/>
          <w:p w14:paraId="222A103A" w14:textId="77777777" w:rsidR="002E30C8" w:rsidRPr="00FA69E8" w:rsidRDefault="002E30C8" w:rsidP="00F3759E">
            <w:r w:rsidRPr="00FA69E8">
              <w:t>Same as Rated Home</w:t>
            </w:r>
          </w:p>
        </w:tc>
      </w:tr>
      <w:tr w:rsidR="00FA69E8" w:rsidRPr="00FA69E8" w14:paraId="76BDAECA" w14:textId="77777777" w:rsidTr="00F3759E">
        <w:tc>
          <w:tcPr>
            <w:tcW w:w="2587" w:type="dxa"/>
          </w:tcPr>
          <w:p w14:paraId="73A361D7" w14:textId="77777777" w:rsidR="002E30C8" w:rsidRPr="00FA69E8" w:rsidRDefault="002E30C8" w:rsidP="00F3759E">
            <w:r w:rsidRPr="00FA69E8">
              <w:lastRenderedPageBreak/>
              <w:t>Above-grade walls separating Conditioned Space Volume from Unrated Heated Space, Multifamily Buffer Boundary, or Non-Freezing Space</w:t>
            </w:r>
          </w:p>
        </w:tc>
        <w:tc>
          <w:tcPr>
            <w:tcW w:w="3596" w:type="dxa"/>
          </w:tcPr>
          <w:p w14:paraId="5DED7D53" w14:textId="77777777" w:rsidR="002E30C8" w:rsidRPr="00FA69E8" w:rsidRDefault="002E30C8" w:rsidP="00F3759E">
            <w:pPr>
              <w:contextualSpacing/>
            </w:pPr>
            <w:r w:rsidRPr="00FA69E8">
              <w:t>Type:  wood frame</w:t>
            </w:r>
          </w:p>
          <w:p w14:paraId="7AEDBBAE" w14:textId="77777777" w:rsidR="002E30C8" w:rsidRPr="00FA69E8" w:rsidRDefault="002E30C8" w:rsidP="00F3759E">
            <w:pPr>
              <w:contextualSpacing/>
            </w:pPr>
            <w:r w:rsidRPr="00FA69E8">
              <w:t xml:space="preserve">Gross Area:  same as Rated Home </w:t>
            </w:r>
          </w:p>
          <w:p w14:paraId="0D45FCF2" w14:textId="77777777" w:rsidR="002E30C8" w:rsidRPr="00FA69E8" w:rsidRDefault="002E30C8" w:rsidP="00F3759E">
            <w:pPr>
              <w:contextualSpacing/>
            </w:pPr>
            <w:r w:rsidRPr="00FA69E8">
              <w:t>U-Factor:  0.292 for IECC Climate Zones 1&amp;2, 0.089 for IECC Climate Zones 3-8.</w:t>
            </w:r>
          </w:p>
          <w:p w14:paraId="510597C5" w14:textId="77777777" w:rsidR="002E30C8" w:rsidRPr="00FA69E8" w:rsidRDefault="002E30C8" w:rsidP="00F3759E">
            <w:pPr>
              <w:contextualSpacing/>
            </w:pPr>
            <w:r w:rsidRPr="00FA69E8">
              <w:t>Solar Absorptance = 0.75</w:t>
            </w:r>
          </w:p>
          <w:p w14:paraId="5E9C41D2" w14:textId="77777777" w:rsidR="002E30C8" w:rsidRPr="00FA69E8" w:rsidRDefault="002E30C8" w:rsidP="00F3759E">
            <w:pPr>
              <w:contextualSpacing/>
            </w:pPr>
          </w:p>
          <w:p w14:paraId="2B960CA7" w14:textId="77777777" w:rsidR="002E30C8" w:rsidRPr="00FA69E8" w:rsidRDefault="002E30C8" w:rsidP="00F3759E">
            <w:pPr>
              <w:contextualSpacing/>
            </w:pPr>
          </w:p>
          <w:p w14:paraId="367023B5" w14:textId="77777777" w:rsidR="002E30C8" w:rsidRPr="00FA69E8" w:rsidRDefault="002E30C8" w:rsidP="00F3759E">
            <w:pPr>
              <w:contextualSpacing/>
            </w:pPr>
          </w:p>
          <w:p w14:paraId="0716A3B6" w14:textId="77777777" w:rsidR="002E30C8" w:rsidRPr="00FA69E8" w:rsidRDefault="002E30C8" w:rsidP="00F3759E">
            <w:pPr>
              <w:contextualSpacing/>
            </w:pPr>
          </w:p>
          <w:p w14:paraId="0A931F23" w14:textId="77777777" w:rsidR="002E30C8" w:rsidRPr="00FA69E8" w:rsidRDefault="002E30C8" w:rsidP="00F3759E">
            <w:pPr>
              <w:contextualSpacing/>
            </w:pPr>
          </w:p>
          <w:p w14:paraId="491E4706" w14:textId="77777777" w:rsidR="002E30C8" w:rsidRPr="00FA69E8" w:rsidRDefault="002E30C8" w:rsidP="00F3759E">
            <w:pPr>
              <w:contextualSpacing/>
            </w:pPr>
          </w:p>
          <w:p w14:paraId="29978BB2" w14:textId="77777777" w:rsidR="002E30C8" w:rsidRPr="00FA69E8" w:rsidRDefault="002E30C8" w:rsidP="00F3759E">
            <w:pPr>
              <w:contextualSpacing/>
            </w:pPr>
            <w:r w:rsidRPr="00FA69E8">
              <w:t>Emittance = 0.90</w:t>
            </w:r>
          </w:p>
        </w:tc>
        <w:tc>
          <w:tcPr>
            <w:tcW w:w="3177" w:type="dxa"/>
          </w:tcPr>
          <w:p w14:paraId="35D6EF53" w14:textId="77777777" w:rsidR="002E30C8" w:rsidRPr="00FA69E8" w:rsidRDefault="002E30C8" w:rsidP="00F3759E">
            <w:r w:rsidRPr="00FA69E8">
              <w:t>Same as Rated Home</w:t>
            </w:r>
          </w:p>
          <w:p w14:paraId="11A81DD2" w14:textId="77777777" w:rsidR="002E30C8" w:rsidRPr="00FA69E8" w:rsidRDefault="002E30C8" w:rsidP="00F3759E">
            <w:r w:rsidRPr="00FA69E8">
              <w:t>Same as Rated Home</w:t>
            </w:r>
            <w:r w:rsidRPr="00FA69E8">
              <w:br/>
              <w:t>Same as Rated Home</w:t>
            </w:r>
          </w:p>
          <w:p w14:paraId="780654C3" w14:textId="77777777" w:rsidR="00BF6603" w:rsidRDefault="00BF6603" w:rsidP="00F3759E"/>
          <w:p w14:paraId="50D777C3" w14:textId="77777777" w:rsidR="00BF6603" w:rsidRDefault="00BF6603" w:rsidP="00F3759E"/>
          <w:p w14:paraId="798CAC85" w14:textId="25EEAFB5" w:rsidR="002E30C8" w:rsidRPr="00FA69E8" w:rsidRDefault="002E30C8" w:rsidP="00F3759E">
            <w:r w:rsidRPr="00FA69E8">
              <w:t>Values from Table 4.2.2(4) shall be used to determine Solar Absorptance, except where test data are provided for wall surface in accordance with ANSI/CRRC S100.</w:t>
            </w:r>
          </w:p>
          <w:p w14:paraId="24C3631A" w14:textId="77777777" w:rsidR="002E30C8" w:rsidRPr="00FA69E8" w:rsidRDefault="002E30C8" w:rsidP="00F3759E">
            <w:r w:rsidRPr="00FA69E8">
              <w:br/>
              <w:t>Same as Rated Home</w:t>
            </w:r>
          </w:p>
        </w:tc>
      </w:tr>
      <w:tr w:rsidR="00FA69E8" w:rsidRPr="00FA69E8" w14:paraId="3F373F61" w14:textId="77777777" w:rsidTr="00F3759E">
        <w:tc>
          <w:tcPr>
            <w:tcW w:w="2587" w:type="dxa"/>
          </w:tcPr>
          <w:p w14:paraId="65E76D1F" w14:textId="77777777" w:rsidR="002E30C8" w:rsidRPr="00FA69E8" w:rsidRDefault="002E30C8" w:rsidP="00F3759E">
            <w:r w:rsidRPr="00FA69E8">
              <w:t>Conditioned basement walls</w:t>
            </w:r>
          </w:p>
          <w:p w14:paraId="7A523445" w14:textId="77777777" w:rsidR="002E30C8" w:rsidRPr="00FA69E8" w:rsidRDefault="002E30C8" w:rsidP="00F3759E"/>
        </w:tc>
        <w:tc>
          <w:tcPr>
            <w:tcW w:w="3596" w:type="dxa"/>
          </w:tcPr>
          <w:p w14:paraId="3EAC3E7E" w14:textId="77777777" w:rsidR="002E30C8" w:rsidRPr="00FA69E8" w:rsidRDefault="002E30C8" w:rsidP="00F3759E">
            <w:r w:rsidRPr="00FA69E8">
              <w:t>Type:  same as Rated Home</w:t>
            </w:r>
          </w:p>
          <w:p w14:paraId="70E63253" w14:textId="77777777" w:rsidR="002E30C8" w:rsidRPr="00FA69E8" w:rsidRDefault="002E30C8" w:rsidP="00F3759E">
            <w:r w:rsidRPr="00FA69E8">
              <w:t>Gross Area:  same as Rated Home</w:t>
            </w:r>
          </w:p>
          <w:p w14:paraId="4A259017" w14:textId="77777777" w:rsidR="002E30C8" w:rsidRPr="00FA69E8" w:rsidRDefault="002E30C8" w:rsidP="00F3759E">
            <w:pPr>
              <w:ind w:left="261" w:hanging="261"/>
            </w:pPr>
            <w:r w:rsidRPr="00FA69E8">
              <w:t xml:space="preserve">R-Value:  from Table 4.2.2(2) with the insulation layer on the </w:t>
            </w:r>
            <w:r w:rsidRPr="00FA69E8" w:rsidDel="00D42C15">
              <w:t xml:space="preserve">interior </w:t>
            </w:r>
            <w:r w:rsidRPr="00FA69E8">
              <w:t>side of walls</w:t>
            </w:r>
          </w:p>
        </w:tc>
        <w:tc>
          <w:tcPr>
            <w:tcW w:w="3177" w:type="dxa"/>
          </w:tcPr>
          <w:p w14:paraId="1E15989A" w14:textId="77777777" w:rsidR="002E30C8" w:rsidRPr="00FA69E8" w:rsidRDefault="002E30C8" w:rsidP="00F3759E">
            <w:r w:rsidRPr="00FA69E8">
              <w:t>Same as Rated Home</w:t>
            </w:r>
          </w:p>
          <w:p w14:paraId="3D8C020B" w14:textId="77777777" w:rsidR="002E30C8" w:rsidRPr="00FA69E8" w:rsidRDefault="002E30C8" w:rsidP="00F3759E">
            <w:r w:rsidRPr="00FA69E8">
              <w:t>Same as Rated Home</w:t>
            </w:r>
            <w:r w:rsidRPr="00FA69E8">
              <w:br/>
              <w:t>Same as Rated Home</w:t>
            </w:r>
          </w:p>
        </w:tc>
      </w:tr>
      <w:tr w:rsidR="00FA69E8" w:rsidRPr="00FA69E8" w14:paraId="6614CFC9" w14:textId="77777777" w:rsidTr="00F3759E">
        <w:tc>
          <w:tcPr>
            <w:tcW w:w="2587" w:type="dxa"/>
          </w:tcPr>
          <w:p w14:paraId="45874ED8" w14:textId="77777777" w:rsidR="002E30C8" w:rsidRPr="00FA69E8" w:rsidRDefault="002E30C8" w:rsidP="00F3759E">
            <w:r w:rsidRPr="00FA69E8">
              <w:t xml:space="preserve">Floors over Unconditioned Space Volume, Non-Freezing Space, Unrated Heated </w:t>
            </w:r>
            <w:r w:rsidRPr="00FA69E8">
              <w:lastRenderedPageBreak/>
              <w:t>Space, or Multifamily Buffer Boundary</w:t>
            </w:r>
          </w:p>
        </w:tc>
        <w:tc>
          <w:tcPr>
            <w:tcW w:w="3596" w:type="dxa"/>
          </w:tcPr>
          <w:p w14:paraId="72E88FCE" w14:textId="77777777" w:rsidR="002E30C8" w:rsidRPr="00FA69E8" w:rsidRDefault="002E30C8" w:rsidP="00F3759E">
            <w:r w:rsidRPr="00FA69E8">
              <w:lastRenderedPageBreak/>
              <w:t>Type:  wood frame</w:t>
            </w:r>
          </w:p>
          <w:p w14:paraId="5EE1BBC8" w14:textId="77777777" w:rsidR="002E30C8" w:rsidRPr="00FA69E8" w:rsidRDefault="002E30C8" w:rsidP="00F3759E">
            <w:r w:rsidRPr="00FA69E8">
              <w:t>Gross Area:  same as Rated Home</w:t>
            </w:r>
          </w:p>
          <w:p w14:paraId="14EDE1DE" w14:textId="77777777" w:rsidR="002E30C8" w:rsidRPr="00FA69E8" w:rsidRDefault="002E30C8" w:rsidP="00F3759E">
            <w:r w:rsidRPr="00FA69E8">
              <w:t xml:space="preserve">U-Factor:  from Table 4.2.2(2) </w:t>
            </w:r>
          </w:p>
        </w:tc>
        <w:tc>
          <w:tcPr>
            <w:tcW w:w="3177" w:type="dxa"/>
          </w:tcPr>
          <w:p w14:paraId="04FEBEF2" w14:textId="77777777" w:rsidR="002E30C8" w:rsidRPr="00FA69E8" w:rsidRDefault="002E30C8" w:rsidP="00F3759E">
            <w:r w:rsidRPr="00FA69E8">
              <w:t>Same as Rated Home</w:t>
            </w:r>
          </w:p>
          <w:p w14:paraId="3BEFED5B" w14:textId="77777777" w:rsidR="002E30C8" w:rsidRPr="00FA69E8" w:rsidRDefault="002E30C8" w:rsidP="00F3759E">
            <w:r w:rsidRPr="00FA69E8">
              <w:t>Same as Rated Home</w:t>
            </w:r>
          </w:p>
          <w:p w14:paraId="7E7192AC" w14:textId="77777777" w:rsidR="002E30C8" w:rsidRPr="00FA69E8" w:rsidRDefault="002E30C8" w:rsidP="00F3759E">
            <w:r w:rsidRPr="00FA69E8">
              <w:t>Same as Rated Home</w:t>
            </w:r>
          </w:p>
        </w:tc>
      </w:tr>
      <w:tr w:rsidR="00FA69E8" w:rsidRPr="00FA69E8" w14:paraId="2361D45B" w14:textId="77777777" w:rsidTr="00F3759E">
        <w:tc>
          <w:tcPr>
            <w:tcW w:w="2587" w:type="dxa"/>
          </w:tcPr>
          <w:p w14:paraId="4774433C" w14:textId="77777777" w:rsidR="002E30C8" w:rsidRPr="00FA69E8" w:rsidRDefault="002E30C8" w:rsidP="00F3759E">
            <w:r w:rsidRPr="00FA69E8">
              <w:t>Floors over outdoor environment</w:t>
            </w:r>
          </w:p>
        </w:tc>
        <w:tc>
          <w:tcPr>
            <w:tcW w:w="3596" w:type="dxa"/>
          </w:tcPr>
          <w:p w14:paraId="5244403E" w14:textId="77777777" w:rsidR="002E30C8" w:rsidRPr="00FA69E8" w:rsidRDefault="002E30C8" w:rsidP="00F3759E">
            <w:r w:rsidRPr="00FA69E8">
              <w:t>Type:  wood frame</w:t>
            </w:r>
          </w:p>
          <w:p w14:paraId="1F61767F" w14:textId="77777777" w:rsidR="002E30C8" w:rsidRPr="00FA69E8" w:rsidRDefault="002E30C8" w:rsidP="00F3759E">
            <w:r w:rsidRPr="00FA69E8">
              <w:t>Gross Area:  same as Rated Home</w:t>
            </w:r>
          </w:p>
          <w:p w14:paraId="790BB628" w14:textId="77777777" w:rsidR="002E30C8" w:rsidRPr="00FA69E8" w:rsidRDefault="002E30C8" w:rsidP="00F3759E">
            <w:r w:rsidRPr="00FA69E8">
              <w:t xml:space="preserve">U-Factor:  from Table 4.2.2(2) </w:t>
            </w:r>
          </w:p>
        </w:tc>
        <w:tc>
          <w:tcPr>
            <w:tcW w:w="3177" w:type="dxa"/>
          </w:tcPr>
          <w:p w14:paraId="51581C6F" w14:textId="77777777" w:rsidR="002E30C8" w:rsidRPr="00FA69E8" w:rsidRDefault="002E30C8" w:rsidP="00F3759E">
            <w:r w:rsidRPr="00FA69E8">
              <w:t>Same as Rated Home</w:t>
            </w:r>
          </w:p>
          <w:p w14:paraId="3C47AA90" w14:textId="77777777" w:rsidR="002E30C8" w:rsidRPr="00FA69E8" w:rsidRDefault="002E30C8" w:rsidP="00F3759E">
            <w:r w:rsidRPr="00FA69E8">
              <w:t>Same as Rated Home</w:t>
            </w:r>
          </w:p>
          <w:p w14:paraId="246720CB" w14:textId="77777777" w:rsidR="002E30C8" w:rsidRPr="00FA69E8" w:rsidRDefault="002E30C8" w:rsidP="00F3759E">
            <w:r w:rsidRPr="00FA69E8">
              <w:t>Same as Rated Home</w:t>
            </w:r>
          </w:p>
        </w:tc>
      </w:tr>
      <w:tr w:rsidR="00FA69E8" w:rsidRPr="00FA69E8" w14:paraId="16AEEF0F" w14:textId="77777777" w:rsidTr="00F3759E">
        <w:tc>
          <w:tcPr>
            <w:tcW w:w="2587" w:type="dxa"/>
          </w:tcPr>
          <w:p w14:paraId="7B1C5AE8" w14:textId="77777777" w:rsidR="002E30C8" w:rsidRPr="00FA69E8" w:rsidRDefault="002E30C8" w:rsidP="00F3759E">
            <w:r w:rsidRPr="00FA69E8">
              <w:t>Ceilings above Conditioned Space Volume and below an Attic, Unconditioned Space Volume, Non-Freezing Space, Unrated Heated Space, or Multifamily Buffer Boundary</w:t>
            </w:r>
          </w:p>
        </w:tc>
        <w:tc>
          <w:tcPr>
            <w:tcW w:w="3596" w:type="dxa"/>
          </w:tcPr>
          <w:p w14:paraId="09D86ACC" w14:textId="77777777" w:rsidR="002E30C8" w:rsidRPr="00FA69E8" w:rsidRDefault="002E30C8" w:rsidP="00F3759E">
            <w:r w:rsidRPr="00FA69E8">
              <w:t>Type:  wood frame</w:t>
            </w:r>
          </w:p>
          <w:p w14:paraId="4E85D8F8" w14:textId="1BF6BC83" w:rsidR="002E30C8" w:rsidRPr="00FA69E8" w:rsidRDefault="002E30C8" w:rsidP="00F3759E">
            <w:r w:rsidRPr="00FA69E8">
              <w:t>Gross Area:  same as Rated Home ceiling area</w:t>
            </w:r>
          </w:p>
          <w:p w14:paraId="7FE17928" w14:textId="77777777" w:rsidR="002E30C8" w:rsidRPr="00FA69E8" w:rsidRDefault="002E30C8" w:rsidP="00F3759E">
            <w:r w:rsidRPr="00FA69E8">
              <w:t>U-Factor:  from Table 4.2.2(2)</w:t>
            </w:r>
          </w:p>
        </w:tc>
        <w:tc>
          <w:tcPr>
            <w:tcW w:w="3177" w:type="dxa"/>
          </w:tcPr>
          <w:p w14:paraId="07F1F649" w14:textId="77777777" w:rsidR="002E30C8" w:rsidRPr="00FA69E8" w:rsidRDefault="002E30C8" w:rsidP="00F3759E">
            <w:r w:rsidRPr="00FA69E8">
              <w:t>Same as Rated Home</w:t>
            </w:r>
          </w:p>
          <w:p w14:paraId="688200A5" w14:textId="77777777" w:rsidR="002E30C8" w:rsidRPr="00FA69E8" w:rsidRDefault="002E30C8" w:rsidP="00F3759E">
            <w:r w:rsidRPr="00FA69E8">
              <w:t>Same as Rated Home</w:t>
            </w:r>
            <w:r w:rsidRPr="00FA69E8">
              <w:br/>
            </w:r>
          </w:p>
          <w:p w14:paraId="5E5FA7A3" w14:textId="77777777" w:rsidR="002E30C8" w:rsidRPr="00FA69E8" w:rsidRDefault="002E30C8" w:rsidP="00F3759E">
            <w:r w:rsidRPr="00FA69E8">
              <w:t>Same as Rated Home</w:t>
            </w:r>
          </w:p>
        </w:tc>
      </w:tr>
      <w:tr w:rsidR="000E4FF7" w:rsidRPr="000E4FF7" w14:paraId="73BAF68F" w14:textId="77777777" w:rsidTr="00F3759E">
        <w:tc>
          <w:tcPr>
            <w:tcW w:w="2587" w:type="dxa"/>
          </w:tcPr>
          <w:p w14:paraId="248CA6D8" w14:textId="77777777" w:rsidR="009C053F" w:rsidRPr="000E4FF7" w:rsidRDefault="009C053F" w:rsidP="009C053F">
            <w:pPr>
              <w:pStyle w:val="paragraph"/>
              <w:textAlignment w:val="baseline"/>
              <w:divId w:val="1812283951"/>
            </w:pPr>
            <w:bookmarkStart w:id="42" w:name="_Hlk161054212"/>
            <w:r w:rsidRPr="000E4FF7">
              <w:rPr>
                <w:rStyle w:val="normaltextrun"/>
              </w:rPr>
              <w:t>Roofs</w:t>
            </w:r>
            <w:r w:rsidRPr="000E4FF7">
              <w:rPr>
                <w:rStyle w:val="eop"/>
              </w:rPr>
              <w:t> </w:t>
            </w:r>
          </w:p>
          <w:p w14:paraId="42E97201" w14:textId="77777777" w:rsidR="009C053F" w:rsidRPr="000E4FF7" w:rsidRDefault="009C053F" w:rsidP="009C053F">
            <w:pPr>
              <w:pStyle w:val="paragraph"/>
              <w:textAlignment w:val="baseline"/>
              <w:divId w:val="833228137"/>
            </w:pPr>
            <w:r w:rsidRPr="000E4FF7">
              <w:rPr>
                <w:rStyle w:val="eop"/>
              </w:rPr>
              <w:t> </w:t>
            </w:r>
          </w:p>
          <w:p w14:paraId="10C7596C" w14:textId="77777777" w:rsidR="009C053F" w:rsidRPr="000E4FF7" w:rsidRDefault="009C053F" w:rsidP="009C053F">
            <w:pPr>
              <w:pStyle w:val="paragraph"/>
              <w:textAlignment w:val="baseline"/>
              <w:divId w:val="228080070"/>
            </w:pPr>
            <w:r w:rsidRPr="000E4FF7">
              <w:rPr>
                <w:rStyle w:val="eop"/>
              </w:rPr>
              <w:t> </w:t>
            </w:r>
          </w:p>
          <w:p w14:paraId="4ABE3B88" w14:textId="77777777" w:rsidR="009C053F" w:rsidRPr="000E4FF7" w:rsidRDefault="009C053F" w:rsidP="009C053F">
            <w:pPr>
              <w:pStyle w:val="paragraph"/>
              <w:textAlignment w:val="baseline"/>
              <w:divId w:val="1760371332"/>
            </w:pPr>
            <w:r w:rsidRPr="000E4FF7">
              <w:rPr>
                <w:rStyle w:val="eop"/>
              </w:rPr>
              <w:t> </w:t>
            </w:r>
          </w:p>
          <w:p w14:paraId="7EFEAC31" w14:textId="77777777" w:rsidR="009C053F" w:rsidRPr="000E4FF7" w:rsidRDefault="009C053F" w:rsidP="009C053F">
            <w:pPr>
              <w:pStyle w:val="paragraph"/>
              <w:textAlignment w:val="baseline"/>
              <w:divId w:val="924999995"/>
            </w:pPr>
            <w:r w:rsidRPr="000E4FF7">
              <w:rPr>
                <w:rStyle w:val="eop"/>
              </w:rPr>
              <w:t> </w:t>
            </w:r>
          </w:p>
          <w:p w14:paraId="0B20C133" w14:textId="77777777" w:rsidR="009C053F" w:rsidRPr="000E4FF7" w:rsidRDefault="009C053F" w:rsidP="009C053F">
            <w:pPr>
              <w:pStyle w:val="paragraph"/>
              <w:textAlignment w:val="baseline"/>
              <w:divId w:val="1277299399"/>
            </w:pPr>
            <w:r w:rsidRPr="000E4FF7">
              <w:rPr>
                <w:rStyle w:val="eop"/>
              </w:rPr>
              <w:t> </w:t>
            </w:r>
          </w:p>
          <w:p w14:paraId="02A07C80" w14:textId="77777777" w:rsidR="009C053F" w:rsidRPr="000E4FF7" w:rsidRDefault="009C053F" w:rsidP="009C053F">
            <w:pPr>
              <w:pStyle w:val="paragraph"/>
              <w:textAlignment w:val="baseline"/>
              <w:divId w:val="2077891346"/>
            </w:pPr>
            <w:r w:rsidRPr="000E4FF7">
              <w:rPr>
                <w:rStyle w:val="eop"/>
              </w:rPr>
              <w:t> </w:t>
            </w:r>
          </w:p>
          <w:p w14:paraId="61D4EC1A" w14:textId="77777777" w:rsidR="009C053F" w:rsidRPr="000E4FF7" w:rsidRDefault="009C053F" w:rsidP="009C053F">
            <w:pPr>
              <w:pStyle w:val="paragraph"/>
              <w:textAlignment w:val="baseline"/>
              <w:divId w:val="79253967"/>
            </w:pPr>
            <w:r w:rsidRPr="000E4FF7">
              <w:rPr>
                <w:rStyle w:val="eop"/>
              </w:rPr>
              <w:t> </w:t>
            </w:r>
          </w:p>
          <w:p w14:paraId="407284BA" w14:textId="77777777" w:rsidR="009C053F" w:rsidRPr="000E4FF7" w:rsidRDefault="009C053F" w:rsidP="009C053F">
            <w:pPr>
              <w:pStyle w:val="paragraph"/>
              <w:textAlignment w:val="baseline"/>
              <w:divId w:val="553393397"/>
            </w:pPr>
            <w:r w:rsidRPr="000E4FF7">
              <w:rPr>
                <w:rStyle w:val="eop"/>
              </w:rPr>
              <w:t> </w:t>
            </w:r>
          </w:p>
          <w:p w14:paraId="045AB7E7" w14:textId="77777777" w:rsidR="009C053F" w:rsidRPr="000E4FF7" w:rsidRDefault="009C053F" w:rsidP="009C053F">
            <w:pPr>
              <w:pStyle w:val="paragraph"/>
              <w:textAlignment w:val="baseline"/>
              <w:divId w:val="1965888022"/>
            </w:pPr>
            <w:r w:rsidRPr="000E4FF7">
              <w:rPr>
                <w:rStyle w:val="eop"/>
              </w:rPr>
              <w:t> </w:t>
            </w:r>
          </w:p>
          <w:p w14:paraId="274DD4B6" w14:textId="77777777" w:rsidR="009C053F" w:rsidRPr="000E4FF7" w:rsidRDefault="009C053F" w:rsidP="009C053F">
            <w:pPr>
              <w:pStyle w:val="paragraph"/>
              <w:textAlignment w:val="baseline"/>
              <w:divId w:val="1442653666"/>
            </w:pPr>
            <w:r w:rsidRPr="000E4FF7">
              <w:rPr>
                <w:rStyle w:val="eop"/>
              </w:rPr>
              <w:t> </w:t>
            </w:r>
          </w:p>
          <w:p w14:paraId="6FE62201" w14:textId="77777777" w:rsidR="009C053F" w:rsidRPr="000E4FF7" w:rsidRDefault="009C053F" w:rsidP="009C053F">
            <w:pPr>
              <w:pStyle w:val="paragraph"/>
              <w:textAlignment w:val="baseline"/>
              <w:divId w:val="1446583109"/>
            </w:pPr>
            <w:r w:rsidRPr="000E4FF7">
              <w:rPr>
                <w:rStyle w:val="eop"/>
              </w:rPr>
              <w:t> </w:t>
            </w:r>
          </w:p>
          <w:p w14:paraId="6D4F264F" w14:textId="6AB38309" w:rsidR="009C053F" w:rsidRPr="000E4FF7" w:rsidRDefault="009C053F" w:rsidP="009C053F">
            <w:r w:rsidRPr="000E4FF7">
              <w:rPr>
                <w:rStyle w:val="eop"/>
              </w:rPr>
              <w:t> </w:t>
            </w:r>
          </w:p>
        </w:tc>
        <w:tc>
          <w:tcPr>
            <w:tcW w:w="3596" w:type="dxa"/>
          </w:tcPr>
          <w:p w14:paraId="03B6E815" w14:textId="77777777" w:rsidR="009C053F" w:rsidRPr="000E4FF7" w:rsidRDefault="009C053F" w:rsidP="009C053F">
            <w:pPr>
              <w:pStyle w:val="paragraph"/>
              <w:ind w:left="255" w:hanging="255"/>
              <w:textAlignment w:val="baseline"/>
              <w:divId w:val="1708723046"/>
            </w:pPr>
            <w:proofErr w:type="spellStart"/>
            <w:r w:rsidRPr="000E4FF7">
              <w:rPr>
                <w:rStyle w:val="normaltextrun"/>
                <w:strike/>
              </w:rPr>
              <w:t>Type</w:t>
            </w:r>
            <w:r w:rsidRPr="000E4FF7">
              <w:rPr>
                <w:rStyle w:val="normaltextrun"/>
                <w:u w:val="single"/>
              </w:rPr>
              <w:t>Material</w:t>
            </w:r>
            <w:proofErr w:type="spellEnd"/>
            <w:r w:rsidRPr="000E4FF7">
              <w:rPr>
                <w:rStyle w:val="normaltextrun"/>
              </w:rPr>
              <w:t>:  composition shingle on wood sheathing </w:t>
            </w:r>
            <w:r w:rsidRPr="000E4FF7">
              <w:rPr>
                <w:rStyle w:val="eop"/>
              </w:rPr>
              <w:t> </w:t>
            </w:r>
          </w:p>
          <w:p w14:paraId="1AF2321E" w14:textId="77777777" w:rsidR="009C053F" w:rsidRPr="000E4FF7" w:rsidRDefault="009C053F" w:rsidP="009C053F">
            <w:pPr>
              <w:pStyle w:val="paragraph"/>
              <w:ind w:left="255" w:hanging="255"/>
              <w:textAlignment w:val="baseline"/>
              <w:divId w:val="1239250554"/>
            </w:pPr>
            <w:r w:rsidRPr="000E4FF7">
              <w:rPr>
                <w:rStyle w:val="eop"/>
              </w:rPr>
              <w:t> </w:t>
            </w:r>
          </w:p>
          <w:p w14:paraId="58795D1F" w14:textId="77777777" w:rsidR="009C053F" w:rsidRPr="000E4FF7" w:rsidRDefault="009C053F" w:rsidP="009C053F">
            <w:pPr>
              <w:pStyle w:val="paragraph"/>
              <w:ind w:left="255" w:hanging="255"/>
              <w:textAlignment w:val="baseline"/>
              <w:divId w:val="1559244266"/>
            </w:pPr>
            <w:r w:rsidRPr="000E4FF7">
              <w:rPr>
                <w:rStyle w:val="normaltextrun"/>
              </w:rPr>
              <w:t>Gross Area:  same as Rated Home</w:t>
            </w:r>
            <w:r w:rsidRPr="000E4FF7">
              <w:rPr>
                <w:rStyle w:val="eop"/>
              </w:rPr>
              <w:t> </w:t>
            </w:r>
          </w:p>
          <w:p w14:paraId="00B11729" w14:textId="77777777" w:rsidR="009C053F" w:rsidRPr="000E4FF7" w:rsidRDefault="009C053F" w:rsidP="009C053F">
            <w:pPr>
              <w:pStyle w:val="paragraph"/>
              <w:ind w:left="255" w:hanging="255"/>
              <w:textAlignment w:val="baseline"/>
              <w:divId w:val="399326391"/>
            </w:pPr>
            <w:r w:rsidRPr="000E4FF7">
              <w:rPr>
                <w:rStyle w:val="normaltextrun"/>
              </w:rPr>
              <w:t>Solar Absorptance = 0.75</w:t>
            </w:r>
            <w:r w:rsidRPr="000E4FF7">
              <w:rPr>
                <w:rStyle w:val="eop"/>
              </w:rPr>
              <w:t> </w:t>
            </w:r>
          </w:p>
          <w:p w14:paraId="24D22B81" w14:textId="77777777" w:rsidR="009C053F" w:rsidRPr="000E4FF7" w:rsidRDefault="009C053F" w:rsidP="009C053F">
            <w:pPr>
              <w:pStyle w:val="paragraph"/>
              <w:ind w:left="255" w:hanging="255"/>
              <w:textAlignment w:val="baseline"/>
              <w:divId w:val="1272786607"/>
            </w:pPr>
            <w:r w:rsidRPr="000E4FF7">
              <w:rPr>
                <w:rStyle w:val="eop"/>
              </w:rPr>
              <w:t> </w:t>
            </w:r>
          </w:p>
          <w:p w14:paraId="2DDBC2C4" w14:textId="77777777" w:rsidR="009C053F" w:rsidRPr="000E4FF7" w:rsidRDefault="009C053F" w:rsidP="009C053F">
            <w:pPr>
              <w:pStyle w:val="paragraph"/>
              <w:ind w:left="255" w:hanging="255"/>
              <w:textAlignment w:val="baseline"/>
              <w:divId w:val="127748330"/>
            </w:pPr>
            <w:r w:rsidRPr="000E4FF7">
              <w:rPr>
                <w:rStyle w:val="eop"/>
              </w:rPr>
              <w:t> </w:t>
            </w:r>
          </w:p>
          <w:p w14:paraId="62CBA272" w14:textId="77777777" w:rsidR="009C053F" w:rsidRPr="000E4FF7" w:rsidRDefault="009C053F" w:rsidP="009C053F">
            <w:pPr>
              <w:pStyle w:val="paragraph"/>
              <w:ind w:left="255" w:hanging="255"/>
              <w:textAlignment w:val="baseline"/>
              <w:divId w:val="1717969884"/>
            </w:pPr>
            <w:r w:rsidRPr="000E4FF7">
              <w:rPr>
                <w:rStyle w:val="eop"/>
              </w:rPr>
              <w:t> </w:t>
            </w:r>
          </w:p>
          <w:p w14:paraId="3923CB50" w14:textId="77777777" w:rsidR="009C053F" w:rsidRPr="000E4FF7" w:rsidRDefault="009C053F" w:rsidP="009C053F">
            <w:pPr>
              <w:pStyle w:val="paragraph"/>
              <w:ind w:left="255" w:hanging="255"/>
              <w:textAlignment w:val="baseline"/>
              <w:divId w:val="1209758486"/>
            </w:pPr>
            <w:r w:rsidRPr="000E4FF7">
              <w:rPr>
                <w:rStyle w:val="eop"/>
              </w:rPr>
              <w:t> </w:t>
            </w:r>
          </w:p>
          <w:p w14:paraId="2D3BA0C5" w14:textId="77777777" w:rsidR="009C053F" w:rsidRPr="000E4FF7" w:rsidRDefault="009C053F" w:rsidP="009C053F">
            <w:pPr>
              <w:pStyle w:val="paragraph"/>
              <w:ind w:left="255" w:hanging="255"/>
              <w:textAlignment w:val="baseline"/>
              <w:divId w:val="1341158284"/>
            </w:pPr>
            <w:r w:rsidRPr="000E4FF7">
              <w:rPr>
                <w:rStyle w:val="eop"/>
              </w:rPr>
              <w:t> </w:t>
            </w:r>
          </w:p>
          <w:p w14:paraId="63935DD6" w14:textId="77777777" w:rsidR="009C053F" w:rsidRPr="000E4FF7" w:rsidRDefault="009C053F" w:rsidP="009C053F">
            <w:pPr>
              <w:pStyle w:val="paragraph"/>
              <w:ind w:left="255" w:hanging="255"/>
              <w:textAlignment w:val="baseline"/>
              <w:divId w:val="2005083972"/>
            </w:pPr>
            <w:r w:rsidRPr="000E4FF7">
              <w:rPr>
                <w:rStyle w:val="eop"/>
              </w:rPr>
              <w:t> </w:t>
            </w:r>
          </w:p>
          <w:p w14:paraId="6E824603" w14:textId="77777777" w:rsidR="009C053F" w:rsidRPr="000E4FF7" w:rsidRDefault="009C053F" w:rsidP="009C053F">
            <w:pPr>
              <w:pStyle w:val="paragraph"/>
              <w:ind w:left="255" w:hanging="255"/>
              <w:textAlignment w:val="baseline"/>
              <w:divId w:val="1714110968"/>
              <w:rPr>
                <w:rStyle w:val="normaltextrun"/>
              </w:rPr>
            </w:pPr>
          </w:p>
          <w:p w14:paraId="2783C465" w14:textId="31A0524E" w:rsidR="009C053F" w:rsidRPr="000E4FF7" w:rsidRDefault="009C053F" w:rsidP="009C053F">
            <w:pPr>
              <w:pStyle w:val="paragraph"/>
              <w:ind w:left="255" w:hanging="255"/>
              <w:textAlignment w:val="baseline"/>
              <w:divId w:val="1714110968"/>
            </w:pPr>
            <w:r w:rsidRPr="000E4FF7">
              <w:rPr>
                <w:rStyle w:val="normaltextrun"/>
              </w:rPr>
              <w:t>Emittance = 0.90</w:t>
            </w:r>
            <w:r w:rsidRPr="000E4FF7">
              <w:rPr>
                <w:rStyle w:val="eop"/>
              </w:rPr>
              <w:t> </w:t>
            </w:r>
          </w:p>
          <w:p w14:paraId="05120E84" w14:textId="77777777" w:rsidR="009C053F" w:rsidRPr="000E4FF7" w:rsidRDefault="009C053F" w:rsidP="009C053F">
            <w:pPr>
              <w:pStyle w:val="paragraph"/>
              <w:ind w:left="255" w:hanging="255"/>
              <w:textAlignment w:val="baseline"/>
              <w:divId w:val="1595671667"/>
            </w:pPr>
            <w:r w:rsidRPr="000E4FF7">
              <w:rPr>
                <w:rStyle w:val="eop"/>
              </w:rPr>
              <w:t> </w:t>
            </w:r>
          </w:p>
          <w:p w14:paraId="20C39DCB" w14:textId="77777777" w:rsidR="009C053F" w:rsidRPr="000E4FF7" w:rsidRDefault="009C053F" w:rsidP="009C053F">
            <w:pPr>
              <w:pStyle w:val="paragraph"/>
              <w:ind w:left="255" w:hanging="255"/>
              <w:textAlignment w:val="baseline"/>
              <w:divId w:val="1005397299"/>
            </w:pPr>
            <w:r w:rsidRPr="000E4FF7">
              <w:rPr>
                <w:rStyle w:val="eop"/>
              </w:rPr>
              <w:t> </w:t>
            </w:r>
          </w:p>
          <w:p w14:paraId="0B89454C" w14:textId="77777777" w:rsidR="009C053F" w:rsidRPr="000E4FF7" w:rsidRDefault="009C053F" w:rsidP="009C053F">
            <w:pPr>
              <w:pStyle w:val="paragraph"/>
              <w:ind w:left="255" w:hanging="255"/>
              <w:textAlignment w:val="baseline"/>
              <w:divId w:val="974525528"/>
            </w:pPr>
            <w:r w:rsidRPr="000E4FF7">
              <w:rPr>
                <w:rStyle w:val="eop"/>
              </w:rPr>
              <w:lastRenderedPageBreak/>
              <w:t> </w:t>
            </w:r>
          </w:p>
          <w:p w14:paraId="09EC1B64" w14:textId="41116E24" w:rsidR="009C053F" w:rsidRPr="000E4FF7" w:rsidRDefault="009C053F" w:rsidP="009C053F">
            <w:pPr>
              <w:pStyle w:val="paragraph"/>
              <w:ind w:left="255" w:hanging="255"/>
              <w:textAlignment w:val="baseline"/>
              <w:divId w:val="656495457"/>
            </w:pPr>
            <w:r w:rsidRPr="000E4FF7">
              <w:rPr>
                <w:rStyle w:val="eop"/>
              </w:rPr>
              <w:t>  </w:t>
            </w:r>
          </w:p>
          <w:p w14:paraId="543B8A2F" w14:textId="1D84FA20" w:rsidR="009C053F" w:rsidRPr="000E4FF7" w:rsidRDefault="009C053F" w:rsidP="009C053F">
            <w:pPr>
              <w:pStyle w:val="paragraph"/>
              <w:ind w:left="255" w:hanging="255"/>
              <w:textAlignment w:val="baseline"/>
              <w:divId w:val="1453673467"/>
              <w:rPr>
                <w:rStyle w:val="eop"/>
                <w:u w:val="single"/>
              </w:rPr>
            </w:pPr>
            <w:r w:rsidRPr="000E4FF7">
              <w:rPr>
                <w:rStyle w:val="eop"/>
              </w:rPr>
              <w:t> </w:t>
            </w:r>
            <w:r w:rsidRPr="000E4FF7">
              <w:rPr>
                <w:rStyle w:val="normaltextrun"/>
                <w:u w:val="single"/>
              </w:rPr>
              <w:t>Predominant Shape</w:t>
            </w:r>
            <w:r w:rsidR="007D48AF" w:rsidRPr="000E4FF7">
              <w:rPr>
                <w:rStyle w:val="normaltextrun"/>
                <w:u w:val="single"/>
              </w:rPr>
              <w:t>:</w:t>
            </w:r>
            <w:r w:rsidR="007D48AF" w:rsidRPr="000E4FF7">
              <w:rPr>
                <w:rStyle w:val="FootnoteReference"/>
                <w:u w:val="single"/>
              </w:rPr>
              <w:footnoteReference w:id="9"/>
            </w:r>
            <w:r w:rsidRPr="000E4FF7">
              <w:rPr>
                <w:rStyle w:val="normaltextrun"/>
                <w:u w:val="single"/>
              </w:rPr>
              <w:t xml:space="preserve"> Same as Rated Home </w:t>
            </w:r>
            <w:r w:rsidRPr="000E4FF7">
              <w:rPr>
                <w:rStyle w:val="eop"/>
                <w:u w:val="single"/>
              </w:rPr>
              <w:t> </w:t>
            </w:r>
          </w:p>
          <w:p w14:paraId="107D8CB4" w14:textId="54382E88" w:rsidR="009C053F" w:rsidRPr="000E4FF7" w:rsidRDefault="009C053F" w:rsidP="009C053F">
            <w:pPr>
              <w:pStyle w:val="paragraph"/>
              <w:ind w:left="255" w:hanging="255"/>
              <w:textAlignment w:val="baseline"/>
              <w:divId w:val="1453673467"/>
            </w:pPr>
          </w:p>
        </w:tc>
        <w:tc>
          <w:tcPr>
            <w:tcW w:w="3177" w:type="dxa"/>
          </w:tcPr>
          <w:p w14:paraId="0391F0CA" w14:textId="77777777" w:rsidR="009C053F" w:rsidRPr="000E4FF7" w:rsidRDefault="009C053F" w:rsidP="009C053F">
            <w:pPr>
              <w:pStyle w:val="paragraph"/>
              <w:textAlignment w:val="baseline"/>
              <w:divId w:val="1182166280"/>
            </w:pPr>
            <w:r w:rsidRPr="000E4FF7">
              <w:rPr>
                <w:rStyle w:val="normaltextrun"/>
              </w:rPr>
              <w:lastRenderedPageBreak/>
              <w:t>Same as Rated Home</w:t>
            </w:r>
            <w:r w:rsidRPr="000E4FF7">
              <w:rPr>
                <w:rStyle w:val="scxw48409520"/>
              </w:rPr>
              <w:t> </w:t>
            </w:r>
            <w:r w:rsidRPr="000E4FF7">
              <w:br/>
            </w:r>
            <w:r w:rsidRPr="000E4FF7">
              <w:rPr>
                <w:rStyle w:val="eop"/>
              </w:rPr>
              <w:t> </w:t>
            </w:r>
          </w:p>
          <w:p w14:paraId="10CF21AB" w14:textId="77777777" w:rsidR="009C053F" w:rsidRPr="000E4FF7" w:rsidRDefault="009C053F" w:rsidP="009C053F">
            <w:pPr>
              <w:pStyle w:val="paragraph"/>
              <w:textAlignment w:val="baseline"/>
              <w:divId w:val="1861894688"/>
            </w:pPr>
            <w:r w:rsidRPr="000E4FF7">
              <w:rPr>
                <w:rStyle w:val="eop"/>
              </w:rPr>
              <w:t> </w:t>
            </w:r>
          </w:p>
          <w:p w14:paraId="632B7F55" w14:textId="77777777" w:rsidR="00454D38" w:rsidRDefault="009C053F" w:rsidP="00454D38">
            <w:pPr>
              <w:pStyle w:val="paragraph"/>
              <w:textAlignment w:val="baseline"/>
              <w:divId w:val="1771854933"/>
              <w:rPr>
                <w:rStyle w:val="normaltextrun"/>
              </w:rPr>
            </w:pPr>
            <w:r w:rsidRPr="000E4FF7">
              <w:rPr>
                <w:rStyle w:val="normaltextrun"/>
              </w:rPr>
              <w:t>Same as Rated Home</w:t>
            </w:r>
            <w:r w:rsidRPr="000E4FF7">
              <w:rPr>
                <w:rStyle w:val="scxw48409520"/>
              </w:rPr>
              <w:t> </w:t>
            </w:r>
            <w:r w:rsidRPr="000E4FF7">
              <w:br/>
            </w:r>
          </w:p>
          <w:p w14:paraId="6762581A" w14:textId="7BBB8007" w:rsidR="009C053F" w:rsidRPr="000E4FF7" w:rsidRDefault="009C053F" w:rsidP="00454D38">
            <w:pPr>
              <w:pStyle w:val="paragraph"/>
              <w:textAlignment w:val="baseline"/>
              <w:divId w:val="1771854933"/>
            </w:pPr>
            <w:r w:rsidRPr="000E4FF7">
              <w:rPr>
                <w:rStyle w:val="normaltextrun"/>
              </w:rPr>
              <w:t>Values from Table 4.2.2(</w:t>
            </w:r>
            <w:r w:rsidRPr="000E4FF7">
              <w:rPr>
                <w:rStyle w:val="normaltextrun"/>
                <w:strike/>
              </w:rPr>
              <w:t>4</w:t>
            </w:r>
            <w:r w:rsidRPr="000E4FF7">
              <w:rPr>
                <w:rStyle w:val="normaltextrun"/>
                <w:u w:val="single"/>
              </w:rPr>
              <w:t>5</w:t>
            </w:r>
            <w:r w:rsidRPr="000E4FF7">
              <w:rPr>
                <w:rStyle w:val="normaltextrun"/>
              </w:rPr>
              <w:t>) shall be used to determine Solar Absorptance, except where test data are provided for roof surface in accordance with ANSI/CRRC S100 for the measurement of Solar Reflectance. The Solar Absorptance value is obtained by subtracting the measured Solar Reflectance value from the number one (Solar Absorptance = 1 – Solar Reflectance). </w:t>
            </w:r>
            <w:r w:rsidRPr="000E4FF7">
              <w:rPr>
                <w:rStyle w:val="eop"/>
              </w:rPr>
              <w:t> </w:t>
            </w:r>
          </w:p>
          <w:p w14:paraId="42DAD482" w14:textId="77777777" w:rsidR="009C053F" w:rsidRPr="000E4FF7" w:rsidRDefault="009C053F" w:rsidP="009C053F">
            <w:pPr>
              <w:pStyle w:val="paragraph"/>
              <w:ind w:left="285" w:hanging="285"/>
              <w:textAlignment w:val="baseline"/>
              <w:divId w:val="1126313788"/>
            </w:pPr>
            <w:r w:rsidRPr="000E4FF7">
              <w:rPr>
                <w:rStyle w:val="normaltextrun"/>
              </w:rPr>
              <w:t xml:space="preserve">Emittance values provided by the roofing manufacturer in accordance with ANSI/CRRC S100 shall be used when available.  In cases where the appropriate </w:t>
            </w:r>
            <w:r w:rsidRPr="000E4FF7">
              <w:rPr>
                <w:rStyle w:val="normaltextrun"/>
              </w:rPr>
              <w:lastRenderedPageBreak/>
              <w:t>data are not known, same as the Reference Home.</w:t>
            </w:r>
            <w:r w:rsidRPr="000E4FF7">
              <w:rPr>
                <w:rStyle w:val="eop"/>
              </w:rPr>
              <w:t> </w:t>
            </w:r>
          </w:p>
          <w:p w14:paraId="60174AC1" w14:textId="751A58D7" w:rsidR="009C053F" w:rsidRPr="000E4FF7" w:rsidRDefault="009C053F" w:rsidP="009C053F">
            <w:pPr>
              <w:pStyle w:val="paragraph"/>
              <w:ind w:left="285" w:hanging="285"/>
              <w:textAlignment w:val="baseline"/>
              <w:divId w:val="532153351"/>
            </w:pPr>
          </w:p>
          <w:p w14:paraId="3B8B8D5D" w14:textId="789BAB8C" w:rsidR="009C053F" w:rsidRPr="000E4FF7" w:rsidRDefault="009C053F" w:rsidP="009C053F">
            <w:pPr>
              <w:rPr>
                <w:u w:val="single"/>
              </w:rPr>
            </w:pPr>
            <w:r w:rsidRPr="000E4FF7">
              <w:rPr>
                <w:rStyle w:val="normaltextrun"/>
                <w:u w:val="single"/>
              </w:rPr>
              <w:t>Same as Rated Home</w:t>
            </w:r>
            <w:r w:rsidRPr="000E4FF7">
              <w:rPr>
                <w:rStyle w:val="eop"/>
                <w:u w:val="single"/>
              </w:rPr>
              <w:t> </w:t>
            </w:r>
          </w:p>
        </w:tc>
      </w:tr>
      <w:tr w:rsidR="009C053F" w:rsidRPr="00FA69E8" w14:paraId="377310B2" w14:textId="77777777" w:rsidTr="00F3759E">
        <w:tc>
          <w:tcPr>
            <w:tcW w:w="2587" w:type="dxa"/>
          </w:tcPr>
          <w:p w14:paraId="26C2184B" w14:textId="77777777" w:rsidR="009C053F" w:rsidRDefault="009C053F" w:rsidP="009C053F">
            <w:pPr>
              <w:pStyle w:val="paragraph"/>
              <w:textAlignment w:val="baseline"/>
              <w:rPr>
                <w:rStyle w:val="normaltextrun"/>
              </w:rPr>
            </w:pPr>
          </w:p>
        </w:tc>
        <w:tc>
          <w:tcPr>
            <w:tcW w:w="3596" w:type="dxa"/>
          </w:tcPr>
          <w:p w14:paraId="7F2AB408" w14:textId="77777777" w:rsidR="009C053F" w:rsidRPr="009C053F" w:rsidRDefault="009C053F" w:rsidP="009C053F">
            <w:pPr>
              <w:pStyle w:val="paragraph"/>
              <w:ind w:left="255" w:hanging="255"/>
              <w:textAlignment w:val="baseline"/>
              <w:rPr>
                <w:rStyle w:val="normaltextrun"/>
                <w:strike/>
                <w:color w:val="FF0000"/>
              </w:rPr>
            </w:pPr>
          </w:p>
        </w:tc>
        <w:tc>
          <w:tcPr>
            <w:tcW w:w="3177" w:type="dxa"/>
          </w:tcPr>
          <w:p w14:paraId="24499F5A" w14:textId="77777777" w:rsidR="009C053F" w:rsidRDefault="009C053F" w:rsidP="009C053F">
            <w:pPr>
              <w:pStyle w:val="paragraph"/>
              <w:textAlignment w:val="baseline"/>
              <w:rPr>
                <w:rStyle w:val="normaltextrun"/>
              </w:rPr>
            </w:pPr>
          </w:p>
        </w:tc>
      </w:tr>
      <w:tr w:rsidR="00FA69E8" w:rsidRPr="00FA69E8" w14:paraId="03B214A9" w14:textId="77777777" w:rsidTr="00F3759E">
        <w:trPr>
          <w:trHeight w:val="422"/>
        </w:trPr>
        <w:tc>
          <w:tcPr>
            <w:tcW w:w="2587" w:type="dxa"/>
          </w:tcPr>
          <w:p w14:paraId="5C808D27" w14:textId="77777777" w:rsidR="00333B59" w:rsidRPr="00FA69E8" w:rsidRDefault="00333B59" w:rsidP="00F3759E">
            <w:bookmarkStart w:id="43" w:name="_Hlk161054289"/>
            <w:proofErr w:type="spellStart"/>
            <w:r w:rsidRPr="00FA69E8">
              <w:t>Glazing</w:t>
            </w:r>
            <w:r w:rsidRPr="00FA69E8">
              <w:rPr>
                <w:vertAlign w:val="superscript"/>
              </w:rPr>
              <w:t>b</w:t>
            </w:r>
            <w:proofErr w:type="spellEnd"/>
          </w:p>
        </w:tc>
        <w:tc>
          <w:tcPr>
            <w:tcW w:w="3596" w:type="dxa"/>
          </w:tcPr>
          <w:p w14:paraId="0D57BD60" w14:textId="77777777" w:rsidR="00373545" w:rsidRPr="000E4FF7" w:rsidRDefault="00333B59" w:rsidP="00373545">
            <w:pPr>
              <w:spacing w:after="240"/>
              <w:ind w:left="261" w:hanging="261"/>
            </w:pPr>
            <w:r w:rsidRPr="000E4FF7">
              <w:t xml:space="preserve">Total </w:t>
            </w:r>
            <w:proofErr w:type="spellStart"/>
            <w:r w:rsidRPr="000E4FF7">
              <w:t>area</w:t>
            </w:r>
            <w:r w:rsidRPr="000E4FF7">
              <w:rPr>
                <w:vertAlign w:val="superscript"/>
              </w:rPr>
              <w:t>c</w:t>
            </w:r>
            <w:proofErr w:type="spellEnd"/>
            <w:r w:rsidRPr="000E4FF7">
              <w:t xml:space="preserve"> =18% of CFA</w:t>
            </w:r>
            <w:r w:rsidR="00373545" w:rsidRPr="000E4FF7">
              <w:t xml:space="preserve"> </w:t>
            </w:r>
          </w:p>
          <w:p w14:paraId="77A3EB59" w14:textId="4B86CC48" w:rsidR="00333B59" w:rsidRPr="000E4FF7" w:rsidRDefault="00333B59" w:rsidP="00373545">
            <w:pPr>
              <w:spacing w:after="240"/>
              <w:ind w:left="261" w:hanging="261"/>
            </w:pPr>
            <w:r w:rsidRPr="000E4FF7">
              <w:t xml:space="preserve">Orientation:  equally distributed to four (4) cardinal compass orientations (N, E, S, &amp; W) </w:t>
            </w:r>
          </w:p>
          <w:p w14:paraId="66889F21" w14:textId="77777777" w:rsidR="00333B59" w:rsidRPr="000E4FF7" w:rsidRDefault="00333B59" w:rsidP="00F3759E">
            <w:pPr>
              <w:ind w:left="261" w:hanging="261"/>
            </w:pPr>
            <w:r w:rsidRPr="000E4FF7">
              <w:t>U-Factor:  from Table 4.2.2(2)</w:t>
            </w:r>
          </w:p>
          <w:p w14:paraId="224DA11D" w14:textId="77777777" w:rsidR="00333B59" w:rsidRPr="000E4FF7" w:rsidRDefault="00333B59" w:rsidP="00F3759E">
            <w:pPr>
              <w:ind w:left="261" w:hanging="261"/>
            </w:pPr>
          </w:p>
          <w:p w14:paraId="172A8D23" w14:textId="77777777" w:rsidR="00333B59" w:rsidRPr="000E4FF7" w:rsidRDefault="00333B59" w:rsidP="00F3759E">
            <w:pPr>
              <w:ind w:left="261" w:hanging="261"/>
            </w:pPr>
            <w:r w:rsidRPr="000E4FF7">
              <w:t>SHGC:  from Table 4.2.2(2)</w:t>
            </w:r>
          </w:p>
          <w:p w14:paraId="567522A6" w14:textId="77777777" w:rsidR="00333B59" w:rsidRPr="000E4FF7" w:rsidRDefault="00333B59" w:rsidP="00F3759E">
            <w:pPr>
              <w:ind w:left="261" w:hanging="261"/>
            </w:pPr>
          </w:p>
          <w:p w14:paraId="66BF1737" w14:textId="77777777" w:rsidR="00333B59" w:rsidRPr="000E4FF7" w:rsidRDefault="00333B59" w:rsidP="00F3759E">
            <w:pPr>
              <w:ind w:left="261" w:hanging="261"/>
            </w:pPr>
            <w:r w:rsidRPr="000E4FF7">
              <w:t xml:space="preserve">Interior shade coefficient: </w:t>
            </w:r>
          </w:p>
          <w:p w14:paraId="4BEA7BCF" w14:textId="12872B96" w:rsidR="00333B59" w:rsidRPr="000E4FF7" w:rsidRDefault="00333B59" w:rsidP="00F3759E">
            <w:pPr>
              <w:ind w:left="261"/>
              <w:rPr>
                <w:strike/>
              </w:rPr>
            </w:pPr>
            <w:bookmarkStart w:id="44" w:name="_Hlk160007248"/>
            <w:r w:rsidRPr="000E4FF7">
              <w:rPr>
                <w:u w:val="single"/>
              </w:rPr>
              <w:t>0.92</w:t>
            </w:r>
            <w:proofErr w:type="gramStart"/>
            <w:r w:rsidRPr="000E4FF7">
              <w:rPr>
                <w:u w:val="single"/>
              </w:rPr>
              <w:t>-(</w:t>
            </w:r>
            <w:proofErr w:type="gramEnd"/>
            <w:r w:rsidRPr="000E4FF7">
              <w:rPr>
                <w:u w:val="single"/>
              </w:rPr>
              <w:t xml:space="preserve">0.21*SHGC </w:t>
            </w:r>
            <w:r w:rsidRPr="008C0353">
              <w:rPr>
                <w:strike/>
                <w:color w:val="FF0000"/>
                <w:u w:val="single"/>
              </w:rPr>
              <w:t xml:space="preserve">for </w:t>
            </w:r>
            <w:r w:rsidR="009F386A" w:rsidRPr="008C0353">
              <w:rPr>
                <w:color w:val="FF0000"/>
                <w:u w:val="single"/>
              </w:rPr>
              <w:t xml:space="preserve">of </w:t>
            </w:r>
            <w:r w:rsidRPr="000E4FF7">
              <w:rPr>
                <w:u w:val="single"/>
              </w:rPr>
              <w:t xml:space="preserve">the </w:t>
            </w:r>
            <w:r w:rsidRPr="00CD32DB">
              <w:rPr>
                <w:strike/>
                <w:color w:val="FF0000"/>
                <w:u w:val="single"/>
              </w:rPr>
              <w:t>standard reference design</w:t>
            </w:r>
            <w:r w:rsidR="00BC220E">
              <w:rPr>
                <w:color w:val="FF0000"/>
                <w:u w:val="single"/>
              </w:rPr>
              <w:t xml:space="preserve"> Energy Rating Reference Home</w:t>
            </w:r>
            <w:r w:rsidRPr="000E4FF7">
              <w:rPr>
                <w:u w:val="single"/>
              </w:rPr>
              <w:t>)</w:t>
            </w:r>
            <w:r w:rsidRPr="000E4FF7">
              <w:rPr>
                <w:strike/>
              </w:rPr>
              <w:t>Summer = 0.70</w:t>
            </w:r>
          </w:p>
          <w:p w14:paraId="7D9CA470" w14:textId="33822D4F" w:rsidR="00333B59" w:rsidRPr="000E4FF7" w:rsidRDefault="00333B59" w:rsidP="00F3759E">
            <w:pPr>
              <w:spacing w:line="360" w:lineRule="auto"/>
              <w:ind w:left="259"/>
            </w:pPr>
            <w:r w:rsidRPr="000E4FF7">
              <w:rPr>
                <w:strike/>
              </w:rPr>
              <w:t>Winter = 0.85</w:t>
            </w:r>
            <w:bookmarkEnd w:id="44"/>
            <w:r w:rsidRPr="000E4FF7">
              <w:br/>
              <w:t>External shading:  none</w:t>
            </w:r>
          </w:p>
        </w:tc>
        <w:tc>
          <w:tcPr>
            <w:tcW w:w="3177" w:type="dxa"/>
          </w:tcPr>
          <w:p w14:paraId="7D5D60A2" w14:textId="77777777" w:rsidR="00333B59" w:rsidRPr="000E4FF7" w:rsidRDefault="00333B59" w:rsidP="00F3759E">
            <w:pPr>
              <w:ind w:left="218" w:hanging="218"/>
            </w:pPr>
            <w:r w:rsidRPr="000E4FF7">
              <w:t>Same as Rated Home</w:t>
            </w:r>
          </w:p>
          <w:p w14:paraId="0251221D" w14:textId="77777777" w:rsidR="00333B59" w:rsidRPr="000E4FF7" w:rsidRDefault="00333B59" w:rsidP="00F3759E">
            <w:pPr>
              <w:ind w:left="218" w:hanging="218"/>
            </w:pPr>
          </w:p>
          <w:p w14:paraId="7D965E5D" w14:textId="77777777" w:rsidR="00333B59" w:rsidRPr="000E4FF7" w:rsidRDefault="00333B59" w:rsidP="00F3759E">
            <w:pPr>
              <w:ind w:left="218" w:hanging="218"/>
            </w:pPr>
            <w:r w:rsidRPr="000E4FF7">
              <w:t>Same as Rated Home</w:t>
            </w:r>
            <w:r w:rsidRPr="000E4FF7">
              <w:br/>
            </w:r>
          </w:p>
          <w:p w14:paraId="0CAF1FF5" w14:textId="77777777" w:rsidR="00333B59" w:rsidRPr="000E4FF7" w:rsidRDefault="00333B59" w:rsidP="00F3759E">
            <w:pPr>
              <w:spacing w:before="240"/>
              <w:ind w:left="218" w:hanging="218"/>
            </w:pPr>
          </w:p>
          <w:p w14:paraId="3569C276" w14:textId="77777777" w:rsidR="00333B59" w:rsidRPr="000E4FF7" w:rsidRDefault="00333B59" w:rsidP="00F3759E">
            <w:pPr>
              <w:ind w:left="218" w:hanging="218"/>
            </w:pPr>
            <w:r w:rsidRPr="000E4FF7">
              <w:t>Same as Rated Home</w:t>
            </w:r>
          </w:p>
          <w:p w14:paraId="3555F525" w14:textId="77777777" w:rsidR="00333B59" w:rsidRPr="000E4FF7" w:rsidRDefault="00333B59" w:rsidP="00F3759E">
            <w:pPr>
              <w:ind w:left="218" w:hanging="218"/>
            </w:pPr>
          </w:p>
          <w:p w14:paraId="3DAA62D6" w14:textId="77777777" w:rsidR="00333B59" w:rsidRPr="000E4FF7" w:rsidRDefault="00333B59" w:rsidP="00F3759E">
            <w:pPr>
              <w:ind w:left="218" w:hanging="218"/>
            </w:pPr>
            <w:r w:rsidRPr="000E4FF7">
              <w:t>Same as Rated Home</w:t>
            </w:r>
          </w:p>
          <w:p w14:paraId="4C9E6FC7" w14:textId="77777777" w:rsidR="00333B59" w:rsidRDefault="00333B59" w:rsidP="00F3759E"/>
          <w:p w14:paraId="5F969C89" w14:textId="77777777" w:rsidR="00D62834" w:rsidRPr="000E4FF7" w:rsidRDefault="00D62834" w:rsidP="00F3759E"/>
          <w:p w14:paraId="7532FC6F" w14:textId="4AE3D175" w:rsidR="00333B59" w:rsidRPr="000E4FF7" w:rsidRDefault="00333B59" w:rsidP="00F3759E">
            <w:bookmarkStart w:id="45" w:name="_Hlk160007273"/>
            <w:r w:rsidRPr="000E4FF7">
              <w:rPr>
                <w:u w:val="single"/>
              </w:rPr>
              <w:t>0.92</w:t>
            </w:r>
            <w:proofErr w:type="gramStart"/>
            <w:r w:rsidRPr="000E4FF7">
              <w:rPr>
                <w:u w:val="single"/>
              </w:rPr>
              <w:t>-(</w:t>
            </w:r>
            <w:proofErr w:type="gramEnd"/>
            <w:r w:rsidRPr="000E4FF7">
              <w:rPr>
                <w:u w:val="single"/>
              </w:rPr>
              <w:t xml:space="preserve">0.21*SHGC </w:t>
            </w:r>
            <w:r w:rsidRPr="000642D5">
              <w:rPr>
                <w:strike/>
                <w:color w:val="FF0000"/>
                <w:u w:val="single"/>
              </w:rPr>
              <w:t xml:space="preserve">as </w:t>
            </w:r>
            <w:proofErr w:type="spellStart"/>
            <w:r w:rsidRPr="000642D5">
              <w:rPr>
                <w:strike/>
                <w:color w:val="FF0000"/>
                <w:u w:val="single"/>
              </w:rPr>
              <w:t>proposed</w:t>
            </w:r>
            <w:r w:rsidR="000642D5">
              <w:rPr>
                <w:color w:val="FF0000"/>
                <w:u w:val="single"/>
              </w:rPr>
              <w:t>of</w:t>
            </w:r>
            <w:proofErr w:type="spellEnd"/>
            <w:r w:rsidR="000642D5">
              <w:rPr>
                <w:color w:val="FF0000"/>
                <w:u w:val="single"/>
              </w:rPr>
              <w:t xml:space="preserve"> </w:t>
            </w:r>
            <w:r w:rsidR="009F386A">
              <w:rPr>
                <w:color w:val="FF0000"/>
                <w:u w:val="single"/>
              </w:rPr>
              <w:t xml:space="preserve">the </w:t>
            </w:r>
            <w:r w:rsidR="000642D5">
              <w:rPr>
                <w:color w:val="FF0000"/>
                <w:u w:val="single"/>
              </w:rPr>
              <w:t>Rated Home</w:t>
            </w:r>
            <w:r w:rsidRPr="000E4FF7">
              <w:rPr>
                <w:u w:val="single"/>
              </w:rPr>
              <w:t>)</w:t>
            </w:r>
            <w:r w:rsidRPr="000E4FF7">
              <w:rPr>
                <w:strike/>
              </w:rPr>
              <w:t>Same as Energy Rating Reference Home</w:t>
            </w:r>
            <w:r w:rsidRPr="000E4FF7">
              <w:rPr>
                <w:strike/>
                <w:vertAlign w:val="superscript"/>
              </w:rPr>
              <w:t>d</w:t>
            </w:r>
            <w:r w:rsidRPr="000E4FF7">
              <w:rPr>
                <w:strike/>
              </w:rPr>
              <w:t xml:space="preserve"> </w:t>
            </w:r>
            <w:bookmarkEnd w:id="45"/>
            <w:r w:rsidRPr="000E4FF7">
              <w:br/>
            </w:r>
          </w:p>
          <w:p w14:paraId="400B11AE" w14:textId="77777777" w:rsidR="00333B59" w:rsidRPr="000E4FF7" w:rsidRDefault="00333B59" w:rsidP="00F3759E">
            <w:pPr>
              <w:spacing w:before="120" w:after="240"/>
            </w:pPr>
            <w:r w:rsidRPr="000E4FF7">
              <w:t xml:space="preserve">Same as Rated </w:t>
            </w:r>
            <w:proofErr w:type="spellStart"/>
            <w:r w:rsidRPr="000E4FF7">
              <w:t>Home</w:t>
            </w:r>
            <w:r w:rsidRPr="000E4FF7">
              <w:rPr>
                <w:vertAlign w:val="superscript"/>
              </w:rPr>
              <w:t>e</w:t>
            </w:r>
            <w:proofErr w:type="spellEnd"/>
          </w:p>
        </w:tc>
      </w:tr>
      <w:bookmarkEnd w:id="43"/>
      <w:tr w:rsidR="00FA69E8" w:rsidRPr="00FA69E8" w14:paraId="701A3BBE" w14:textId="77777777" w:rsidTr="00F3759E">
        <w:tc>
          <w:tcPr>
            <w:tcW w:w="2587" w:type="dxa"/>
          </w:tcPr>
          <w:p w14:paraId="61CF3FB4" w14:textId="77777777" w:rsidR="00333B59" w:rsidRPr="00FA69E8" w:rsidRDefault="00333B59" w:rsidP="00F3759E">
            <w:r w:rsidRPr="00FA69E8">
              <w:t>Skylights</w:t>
            </w:r>
          </w:p>
        </w:tc>
        <w:tc>
          <w:tcPr>
            <w:tcW w:w="3596" w:type="dxa"/>
          </w:tcPr>
          <w:p w14:paraId="66CBD1F3" w14:textId="77777777" w:rsidR="00333B59" w:rsidRPr="00FA69E8" w:rsidRDefault="00333B59" w:rsidP="00F3759E">
            <w:r w:rsidRPr="00FA69E8">
              <w:t>None</w:t>
            </w:r>
          </w:p>
        </w:tc>
        <w:tc>
          <w:tcPr>
            <w:tcW w:w="3177" w:type="dxa"/>
          </w:tcPr>
          <w:p w14:paraId="34425742" w14:textId="77777777" w:rsidR="00333B59" w:rsidRPr="00FA69E8" w:rsidRDefault="00333B59" w:rsidP="00F3759E">
            <w:r w:rsidRPr="00FA69E8">
              <w:t>Same as Rated Home</w:t>
            </w:r>
          </w:p>
        </w:tc>
      </w:tr>
      <w:tr w:rsidR="00FA69E8" w:rsidRPr="00FA69E8" w14:paraId="37030B70" w14:textId="77777777" w:rsidTr="5607A291">
        <w:trPr>
          <w:cantSplit/>
          <w:trHeight w:val="360"/>
          <w:tblHeader/>
        </w:trPr>
        <w:tc>
          <w:tcPr>
            <w:tcW w:w="9360" w:type="dxa"/>
            <w:gridSpan w:val="3"/>
            <w:tcBorders>
              <w:top w:val="nil"/>
              <w:left w:val="nil"/>
              <w:right w:val="nil"/>
            </w:tcBorders>
          </w:tcPr>
          <w:p w14:paraId="08EBF260" w14:textId="2D9E20D0" w:rsidR="002E30C8" w:rsidRPr="00FA69E8" w:rsidRDefault="002E30C8" w:rsidP="00B82EFA">
            <w:pPr>
              <w:jc w:val="center"/>
              <w:rPr>
                <w:b/>
              </w:rPr>
            </w:pPr>
            <w:bookmarkStart w:id="46" w:name="_Toc132541319"/>
            <w:bookmarkStart w:id="47" w:name="_Toc132549152"/>
          </w:p>
          <w:p w14:paraId="265D8915" w14:textId="77777777" w:rsidR="00333B59" w:rsidRPr="00FA69E8" w:rsidRDefault="00333B59" w:rsidP="00333B59">
            <w:pPr>
              <w:rPr>
                <w:b/>
              </w:rPr>
            </w:pPr>
          </w:p>
          <w:p w14:paraId="467DC0A4" w14:textId="77777777" w:rsidR="00333B59" w:rsidRPr="00FA69E8" w:rsidRDefault="00333B59" w:rsidP="00B82EFA">
            <w:pPr>
              <w:jc w:val="center"/>
              <w:rPr>
                <w:b/>
              </w:rPr>
            </w:pPr>
          </w:p>
          <w:p w14:paraId="26DAE800" w14:textId="6D8C9D5C" w:rsidR="008F1DC1" w:rsidRPr="00FA69E8" w:rsidRDefault="008F1DC1" w:rsidP="00B82EFA">
            <w:pPr>
              <w:jc w:val="center"/>
              <w:rPr>
                <w:b/>
              </w:rPr>
            </w:pPr>
            <w:r w:rsidRPr="00FA69E8">
              <w:rPr>
                <w:b/>
              </w:rPr>
              <w:t>Table 4.2.2(1) Specifications for the Energy Rating Reference and Rated Homes</w:t>
            </w:r>
            <w:bookmarkEnd w:id="46"/>
            <w:bookmarkEnd w:id="47"/>
          </w:p>
        </w:tc>
      </w:tr>
      <w:tr w:rsidR="00FA69E8" w:rsidRPr="00FA69E8" w14:paraId="5D04E4F8" w14:textId="77777777" w:rsidTr="5607A291">
        <w:trPr>
          <w:tblHeader/>
        </w:trPr>
        <w:tc>
          <w:tcPr>
            <w:tcW w:w="2587" w:type="dxa"/>
          </w:tcPr>
          <w:p w14:paraId="0ADA8D73" w14:textId="77777777" w:rsidR="008F1DC1" w:rsidRPr="00FA69E8" w:rsidRDefault="008F1DC1" w:rsidP="00B82EFA">
            <w:pPr>
              <w:rPr>
                <w:b/>
              </w:rPr>
            </w:pPr>
            <w:bookmarkStart w:id="48" w:name="_Hlk86834105"/>
            <w:bookmarkEnd w:id="42"/>
            <w:r w:rsidRPr="00FA69E8">
              <w:rPr>
                <w:b/>
              </w:rPr>
              <w:t>Building Component</w:t>
            </w:r>
          </w:p>
        </w:tc>
        <w:tc>
          <w:tcPr>
            <w:tcW w:w="3596" w:type="dxa"/>
          </w:tcPr>
          <w:p w14:paraId="7D712C5F" w14:textId="77777777" w:rsidR="008F1DC1" w:rsidRPr="00FA69E8" w:rsidRDefault="008F1DC1" w:rsidP="00B82EFA">
            <w:pPr>
              <w:rPr>
                <w:b/>
              </w:rPr>
            </w:pPr>
            <w:r w:rsidRPr="00FA69E8">
              <w:rPr>
                <w:b/>
              </w:rPr>
              <w:t>Energy Rating Reference Home</w:t>
            </w:r>
          </w:p>
        </w:tc>
        <w:tc>
          <w:tcPr>
            <w:tcW w:w="3177" w:type="dxa"/>
          </w:tcPr>
          <w:p w14:paraId="79C0302B" w14:textId="77777777" w:rsidR="008F1DC1" w:rsidRPr="00FA69E8" w:rsidRDefault="008F1DC1" w:rsidP="00B82EFA">
            <w:pPr>
              <w:rPr>
                <w:b/>
              </w:rPr>
            </w:pPr>
            <w:r w:rsidRPr="00FA69E8">
              <w:rPr>
                <w:b/>
              </w:rPr>
              <w:t>Rated Home</w:t>
            </w:r>
          </w:p>
        </w:tc>
      </w:tr>
      <w:bookmarkEnd w:id="48"/>
      <w:tr w:rsidR="004C156D" w:rsidRPr="004C156D" w14:paraId="7F0B52BB" w14:textId="77777777" w:rsidTr="5607A291">
        <w:tc>
          <w:tcPr>
            <w:tcW w:w="2587" w:type="dxa"/>
          </w:tcPr>
          <w:p w14:paraId="0AE8CC78" w14:textId="77777777" w:rsidR="003E4C93" w:rsidRPr="004C156D" w:rsidRDefault="003E4C93" w:rsidP="003E4C93">
            <w:r w:rsidRPr="004C156D">
              <w:t>Air exchange rate</w:t>
            </w:r>
          </w:p>
        </w:tc>
        <w:tc>
          <w:tcPr>
            <w:tcW w:w="3596" w:type="dxa"/>
          </w:tcPr>
          <w:p w14:paraId="1FF8C48E" w14:textId="442F949F" w:rsidR="003E4C93" w:rsidRPr="004C156D" w:rsidRDefault="003E4C93" w:rsidP="003E4C93">
            <w:pPr>
              <w:ind w:left="261" w:hanging="261"/>
            </w:pPr>
            <w:r w:rsidRPr="004C156D">
              <w:t>Specific Leakage Area (SLA)</w:t>
            </w:r>
            <w:r w:rsidRPr="004C156D">
              <w:rPr>
                <w:vertAlign w:val="superscript"/>
              </w:rPr>
              <w:t>f</w:t>
            </w:r>
            <w:r w:rsidRPr="004C156D">
              <w:t xml:space="preserve"> = 0.00036 assuming no energy recovery, supplemented as necessary with balanced mechanical ventilation to achieve the required Dwelling </w:t>
            </w:r>
            <w:r w:rsidRPr="004C156D">
              <w:lastRenderedPageBreak/>
              <w:t>Unit total air exchange rate (</w:t>
            </w:r>
            <w:proofErr w:type="spellStart"/>
            <w:r w:rsidRPr="004C156D">
              <w:t>Qtot</w:t>
            </w:r>
            <w:proofErr w:type="spellEnd"/>
            <w:proofErr w:type="gramStart"/>
            <w:r w:rsidRPr="004C156D">
              <w:t>).</w:t>
            </w:r>
            <w:r w:rsidRPr="004C156D">
              <w:rPr>
                <w:vertAlign w:val="superscript"/>
              </w:rPr>
              <w:t>g</w:t>
            </w:r>
            <w:proofErr w:type="gramEnd"/>
            <w:r w:rsidRPr="004C156D">
              <w:rPr>
                <w:vertAlign w:val="superscript"/>
              </w:rPr>
              <w:t>, h</w:t>
            </w:r>
          </w:p>
        </w:tc>
        <w:tc>
          <w:tcPr>
            <w:tcW w:w="3177" w:type="dxa"/>
          </w:tcPr>
          <w:p w14:paraId="25992E77" w14:textId="3166D123" w:rsidR="003E4C93" w:rsidRPr="004C156D" w:rsidRDefault="003E4C93" w:rsidP="003E4C93">
            <w:pPr>
              <w:ind w:left="218" w:hanging="218"/>
            </w:pPr>
            <w:r w:rsidRPr="004C156D">
              <w:lastRenderedPageBreak/>
              <w:t>In accordance with Standard ANSI/RESNET/ICC 380, obtain airtightness test results for:</w:t>
            </w:r>
          </w:p>
          <w:p w14:paraId="00984B86" w14:textId="347C958B" w:rsidR="003E4C93" w:rsidRPr="004C156D" w:rsidRDefault="003E4C93" w:rsidP="00E45002">
            <w:pPr>
              <w:pStyle w:val="ListParagraph"/>
              <w:numPr>
                <w:ilvl w:val="0"/>
                <w:numId w:val="8"/>
              </w:numPr>
            </w:pPr>
            <w:r w:rsidRPr="004C156D">
              <w:lastRenderedPageBreak/>
              <w:t>Building enclosure (for Detached Dwelling Units)</w:t>
            </w:r>
          </w:p>
          <w:p w14:paraId="6D96014F" w14:textId="77777777" w:rsidR="003E4C93" w:rsidRPr="004C156D" w:rsidRDefault="003E4C93" w:rsidP="00E45002">
            <w:pPr>
              <w:pStyle w:val="ListParagraph"/>
              <w:numPr>
                <w:ilvl w:val="0"/>
                <w:numId w:val="8"/>
              </w:numPr>
            </w:pPr>
            <w:r w:rsidRPr="004C156D">
              <w:t>Compartmentalization Boundary (for Attached Dwelling Units).</w:t>
            </w:r>
          </w:p>
          <w:p w14:paraId="2EBD254B" w14:textId="7E36A15E" w:rsidR="003E4C93" w:rsidRPr="004C156D" w:rsidRDefault="003E4C93" w:rsidP="003E4C93">
            <w:pPr>
              <w:ind w:left="218" w:hanging="218"/>
            </w:pPr>
            <w:r w:rsidRPr="004C156D">
              <w:t>For Attached Dwelling Units with airtightness test results ≤ 0.30 cfm50 per ft</w:t>
            </w:r>
            <w:r w:rsidRPr="004C156D">
              <w:rPr>
                <w:vertAlign w:val="superscript"/>
              </w:rPr>
              <w:t>2</w:t>
            </w:r>
            <w:r w:rsidRPr="004C156D">
              <w:t xml:space="preserve"> of Compartmentalization Boundary, the test results shall be multiplied by reduction factor </w:t>
            </w:r>
            <w:proofErr w:type="spellStart"/>
            <w:r w:rsidRPr="004C156D">
              <w:t>A</w:t>
            </w:r>
            <w:r w:rsidRPr="004C156D">
              <w:rPr>
                <w:vertAlign w:val="subscript"/>
              </w:rPr>
              <w:t>ext</w:t>
            </w:r>
            <w:r w:rsidRPr="004C156D">
              <w:rPr>
                <w:vertAlign w:val="superscript"/>
              </w:rPr>
              <w:t>i</w:t>
            </w:r>
            <w:proofErr w:type="spellEnd"/>
            <w:r w:rsidRPr="004C156D">
              <w:t xml:space="preserve"> to determine the Infiltration rate. For Attached Dwelling Units with airtightness test results &gt; 0.30 cfm50 per ft</w:t>
            </w:r>
            <w:r w:rsidRPr="004C156D">
              <w:rPr>
                <w:vertAlign w:val="superscript"/>
              </w:rPr>
              <w:t>2</w:t>
            </w:r>
            <w:r w:rsidRPr="004C156D">
              <w:t xml:space="preserve"> of Compartmentalization Boundary, the test results shall be modeled as the Infiltration rate.</w:t>
            </w:r>
          </w:p>
          <w:p w14:paraId="294C7B59" w14:textId="5FCC7731" w:rsidR="003E4C93" w:rsidRPr="004C156D" w:rsidRDefault="24F37E70" w:rsidP="003E4C93">
            <w:pPr>
              <w:ind w:left="218" w:hanging="218"/>
              <w:rPr>
                <w:vertAlign w:val="superscript"/>
              </w:rPr>
            </w:pPr>
            <w:r w:rsidRPr="004C156D">
              <w:t xml:space="preserve">For residences without Dwelling Unit Mechanical Ventilation </w:t>
            </w:r>
            <w:proofErr w:type="spellStart"/>
            <w:r w:rsidRPr="004C156D">
              <w:t>Systems</w:t>
            </w:r>
            <w:r w:rsidRPr="004C156D">
              <w:rPr>
                <w:u w:val="single"/>
                <w:vertAlign w:val="superscript"/>
              </w:rPr>
              <w:t>m</w:t>
            </w:r>
            <w:proofErr w:type="spellEnd"/>
            <w:r w:rsidRPr="004C156D">
              <w:t xml:space="preserve">, or without measured airflow, or where </w:t>
            </w:r>
            <w:proofErr w:type="spellStart"/>
            <w:r w:rsidRPr="004C156D">
              <w:t>A</w:t>
            </w:r>
            <w:r w:rsidRPr="004C156D">
              <w:rPr>
                <w:vertAlign w:val="subscript"/>
              </w:rPr>
              <w:t>ext</w:t>
            </w:r>
            <w:r w:rsidRPr="004C156D">
              <w:rPr>
                <w:vertAlign w:val="superscript"/>
              </w:rPr>
              <w:t>i</w:t>
            </w:r>
            <w:proofErr w:type="spellEnd"/>
            <w:r w:rsidRPr="004C156D">
              <w:rPr>
                <w:vertAlign w:val="superscript"/>
              </w:rPr>
              <w:t xml:space="preserve"> </w:t>
            </w:r>
            <w:r w:rsidRPr="004C156D">
              <w:t xml:space="preserve">&lt; 0.5 and the Mechanical Ventilation System is solely an Exhaust System, the Infiltration </w:t>
            </w:r>
            <w:proofErr w:type="spellStart"/>
            <w:r w:rsidRPr="004C156D">
              <w:t>rate</w:t>
            </w:r>
            <w:r w:rsidRPr="004C156D">
              <w:rPr>
                <w:vertAlign w:val="superscript"/>
              </w:rPr>
              <w:t>j</w:t>
            </w:r>
            <w:proofErr w:type="spellEnd"/>
            <w:r w:rsidRPr="004C156D">
              <w:rPr>
                <w:vertAlign w:val="superscript"/>
              </w:rPr>
              <w:t xml:space="preserve"> </w:t>
            </w:r>
            <w:r w:rsidRPr="004C156D">
              <w:t xml:space="preserve">shall be </w:t>
            </w:r>
            <w:r w:rsidR="003E4C93" w:rsidRPr="004C156D">
              <w:rPr>
                <w:strike/>
              </w:rPr>
              <w:t xml:space="preserve">as </w:t>
            </w:r>
            <w:r w:rsidRPr="004C156D">
              <w:t xml:space="preserve">determined </w:t>
            </w:r>
            <w:r w:rsidRPr="004C156D">
              <w:rPr>
                <w:u w:val="single"/>
              </w:rPr>
              <w:t xml:space="preserve">by the airtightness test results described </w:t>
            </w:r>
            <w:r w:rsidRPr="004C156D">
              <w:t>above, but not less than 0.30 ACH</w:t>
            </w:r>
            <w:r w:rsidR="00602157" w:rsidRPr="004C156D">
              <w:rPr>
                <w:u w:val="single"/>
              </w:rPr>
              <w:t xml:space="preserve"> (</w:t>
            </w:r>
            <w:r w:rsidR="005560B0" w:rsidRPr="004C156D">
              <w:rPr>
                <w:u w:val="single"/>
              </w:rPr>
              <w:t>at 4 Pa</w:t>
            </w:r>
            <w:r w:rsidR="00602157" w:rsidRPr="004C156D">
              <w:rPr>
                <w:u w:val="single"/>
              </w:rPr>
              <w:t>)</w:t>
            </w:r>
            <w:r w:rsidRPr="004C156D">
              <w:t>.</w:t>
            </w:r>
            <w:r w:rsidR="00441366" w:rsidRPr="00F0324C">
              <w:rPr>
                <w:u w:val="single"/>
              </w:rPr>
              <w:t xml:space="preserve"> Where the resulting dwelling unit total air exchange rate is less than </w:t>
            </w:r>
            <w:proofErr w:type="spellStart"/>
            <w:r w:rsidR="00441366" w:rsidRPr="00F0324C">
              <w:rPr>
                <w:u w:val="single"/>
              </w:rPr>
              <w:t>Qtot</w:t>
            </w:r>
            <w:proofErr w:type="spellEnd"/>
            <w:r w:rsidR="00441366" w:rsidRPr="00F0324C">
              <w:rPr>
                <w:u w:val="single"/>
              </w:rPr>
              <w:t xml:space="preserve"> = 0.03 x CFA + 7.5 x (Nbr+1) cfm, a supplemental balanced ventilation system shall be added to the Rated Home to meet </w:t>
            </w:r>
            <w:proofErr w:type="spellStart"/>
            <w:r w:rsidR="00441366" w:rsidRPr="00F0324C">
              <w:rPr>
                <w:u w:val="single"/>
              </w:rPr>
              <w:t>Qtot.</w:t>
            </w:r>
            <w:r w:rsidR="00610E03" w:rsidRPr="00F0324C">
              <w:rPr>
                <w:u w:val="single"/>
                <w:vertAlign w:val="superscript"/>
              </w:rPr>
              <w:t>zz</w:t>
            </w:r>
            <w:proofErr w:type="spellEnd"/>
          </w:p>
          <w:p w14:paraId="7624DBA5" w14:textId="3EF74756" w:rsidR="003E4C93" w:rsidRPr="004C156D" w:rsidRDefault="5607A291" w:rsidP="003E4C93">
            <w:pPr>
              <w:ind w:left="218" w:hanging="218"/>
            </w:pPr>
            <w:r w:rsidRPr="004C156D">
              <w:lastRenderedPageBreak/>
              <w:t>For residences with Dwelling Unit Mechanical Ventilation Systems,</w:t>
            </w:r>
            <w:r w:rsidRPr="004C156D">
              <w:rPr>
                <w:vertAlign w:val="superscript"/>
              </w:rPr>
              <w:t xml:space="preserve"> </w:t>
            </w:r>
            <w:r w:rsidRPr="004C156D">
              <w:t xml:space="preserve">the total air exchange rate shall be the Infiltration </w:t>
            </w:r>
            <w:proofErr w:type="spellStart"/>
            <w:r w:rsidRPr="004C156D">
              <w:t>rate</w:t>
            </w:r>
            <w:r w:rsidRPr="004C156D">
              <w:rPr>
                <w:vertAlign w:val="superscript"/>
              </w:rPr>
              <w:t>j</w:t>
            </w:r>
            <w:proofErr w:type="spellEnd"/>
            <w:r w:rsidRPr="004C156D">
              <w:rPr>
                <w:vertAlign w:val="superscript"/>
              </w:rPr>
              <w:t xml:space="preserve"> </w:t>
            </w:r>
            <w:r w:rsidRPr="004C156D">
              <w:t xml:space="preserve">as determined above, in </w:t>
            </w:r>
            <w:proofErr w:type="spellStart"/>
            <w:r w:rsidRPr="004C156D">
              <w:t>combination</w:t>
            </w:r>
            <w:r w:rsidRPr="004C156D">
              <w:rPr>
                <w:vertAlign w:val="superscript"/>
              </w:rPr>
              <w:t>h</w:t>
            </w:r>
            <w:proofErr w:type="spellEnd"/>
            <w:r w:rsidRPr="004C156D">
              <w:t xml:space="preserve"> with the time-averaged Dwelling Unit Mechanical Ventilation System </w:t>
            </w:r>
            <w:proofErr w:type="spellStart"/>
            <w:proofErr w:type="gramStart"/>
            <w:r w:rsidRPr="004C156D">
              <w:t>rate,</w:t>
            </w:r>
            <w:r w:rsidRPr="004C156D">
              <w:rPr>
                <w:strike/>
                <w:vertAlign w:val="superscript"/>
              </w:rPr>
              <w:t>g</w:t>
            </w:r>
            <w:r w:rsidR="00610E03" w:rsidRPr="004C156D">
              <w:rPr>
                <w:u w:val="single"/>
                <w:vertAlign w:val="superscript"/>
              </w:rPr>
              <w:t>zz</w:t>
            </w:r>
            <w:proofErr w:type="spellEnd"/>
            <w:proofErr w:type="gramEnd"/>
            <w:r w:rsidRPr="004C156D">
              <w:rPr>
                <w:vertAlign w:val="superscript"/>
              </w:rPr>
              <w:t>, k</w:t>
            </w:r>
            <w:r w:rsidRPr="004C156D">
              <w:t xml:space="preserve"> which shall be the value measured in accordance with Standard ANSI/RESNET/ICC 380. </w:t>
            </w:r>
            <w:r w:rsidR="003E4C93" w:rsidRPr="004C156D">
              <w:rPr>
                <w:strike/>
              </w:rPr>
              <w:t>To ensure that the total air exchange rate is</w:t>
            </w:r>
            <w:r w:rsidRPr="004C156D">
              <w:rPr>
                <w:u w:val="single"/>
              </w:rPr>
              <w:t xml:space="preserve"> </w:t>
            </w:r>
            <w:proofErr w:type="gramStart"/>
            <w:r w:rsidRPr="004C156D">
              <w:rPr>
                <w:u w:val="single"/>
              </w:rPr>
              <w:t>The</w:t>
            </w:r>
            <w:proofErr w:type="gramEnd"/>
            <w:r w:rsidRPr="004C156D">
              <w:rPr>
                <w:u w:val="single"/>
              </w:rPr>
              <w:t xml:space="preserve"> dwelling unit total air exchange rate shall be</w:t>
            </w:r>
            <w:r w:rsidRPr="004C156D">
              <w:t xml:space="preserve"> no less than </w:t>
            </w:r>
            <w:proofErr w:type="spellStart"/>
            <w:r w:rsidRPr="004C156D">
              <w:t>Qtot</w:t>
            </w:r>
            <w:proofErr w:type="spellEnd"/>
            <w:r w:rsidRPr="004C156D">
              <w:t xml:space="preserve"> = 0.03 x CFA + 7.5 x (Nbr+1) cfm</w:t>
            </w:r>
            <w:r w:rsidRPr="004C156D">
              <w:rPr>
                <w:u w:val="single"/>
              </w:rPr>
              <w:t>. To ensure the total air exchange rate is sufficient, if needed</w:t>
            </w:r>
            <w:r w:rsidRPr="004C156D">
              <w:t>, the Dwelling Unit Mechanical Ventilation System runtime operation shall first be increased, if possible, followed by increasing the airflow rate as needed</w:t>
            </w:r>
            <w:r w:rsidR="00D33C89" w:rsidRPr="004C156D">
              <w:t xml:space="preserve">. </w:t>
            </w:r>
            <w:r w:rsidRPr="004C156D">
              <w:rPr>
                <w:u w:val="single"/>
              </w:rPr>
              <w:t xml:space="preserve">Supply and exhaust ventilation shall increase proportionally to the </w:t>
            </w:r>
            <w:r w:rsidR="004B31CA" w:rsidRPr="004C156D">
              <w:rPr>
                <w:u w:val="single"/>
              </w:rPr>
              <w:t>Rated</w:t>
            </w:r>
            <w:r w:rsidRPr="004C156D">
              <w:rPr>
                <w:u w:val="single"/>
              </w:rPr>
              <w:t xml:space="preserve"> </w:t>
            </w:r>
            <w:r w:rsidR="005C042E" w:rsidRPr="004C156D">
              <w:rPr>
                <w:u w:val="single"/>
              </w:rPr>
              <w:t>H</w:t>
            </w:r>
            <w:r w:rsidRPr="004C156D">
              <w:rPr>
                <w:u w:val="single"/>
              </w:rPr>
              <w:t>ome’s entered value</w:t>
            </w:r>
            <w:r w:rsidR="009C053F" w:rsidRPr="004C156D">
              <w:rPr>
                <w:rStyle w:val="normaltextrun"/>
                <w:u w:val="single"/>
              </w:rPr>
              <w:t>(s), or if no mechanical ventilation system was specified a balanced ventilation system shall be modeled</w:t>
            </w:r>
            <w:r w:rsidR="004B31CA" w:rsidRPr="004C156D">
              <w:rPr>
                <w:u w:val="single"/>
              </w:rPr>
              <w:t xml:space="preserve">. </w:t>
            </w:r>
          </w:p>
        </w:tc>
      </w:tr>
      <w:tr w:rsidR="004C156D" w:rsidRPr="004C156D" w14:paraId="6F51BDD8" w14:textId="77777777" w:rsidTr="5607A291">
        <w:tc>
          <w:tcPr>
            <w:tcW w:w="2587" w:type="dxa"/>
          </w:tcPr>
          <w:p w14:paraId="7071D1A2" w14:textId="25F0588F" w:rsidR="003E4C93" w:rsidRPr="004C156D" w:rsidRDefault="003E4C93" w:rsidP="003E4C93">
            <w:r w:rsidRPr="004C156D">
              <w:lastRenderedPageBreak/>
              <w:t>Dwelling Unit Mechanical Ventilation System fan</w:t>
            </w:r>
            <w:r w:rsidR="004A2C9F" w:rsidRPr="004C156D">
              <w:t xml:space="preserve"> </w:t>
            </w:r>
            <w:r w:rsidRPr="004C156D">
              <w:t>power</w:t>
            </w:r>
          </w:p>
        </w:tc>
        <w:tc>
          <w:tcPr>
            <w:tcW w:w="3596" w:type="dxa"/>
          </w:tcPr>
          <w:p w14:paraId="59841DE0" w14:textId="55547D0B" w:rsidR="003E4C93" w:rsidRPr="004C156D" w:rsidRDefault="003E4C93" w:rsidP="003E4C93">
            <w:pPr>
              <w:ind w:left="261" w:hanging="261"/>
            </w:pPr>
            <w:r w:rsidRPr="004C156D">
              <w:t>None, except where a mechanical Ventilation system is</w:t>
            </w:r>
            <w:r w:rsidR="004A2C9F" w:rsidRPr="004C156D">
              <w:t xml:space="preserve"> </w:t>
            </w:r>
            <w:r w:rsidRPr="004C156D">
              <w:t>installed in the Rated Home, in which case:</w:t>
            </w:r>
          </w:p>
          <w:p w14:paraId="3C7AF51D" w14:textId="49E11F6A" w:rsidR="003E4C93" w:rsidRPr="004C156D" w:rsidRDefault="003E4C93" w:rsidP="003E4C93">
            <w:pPr>
              <w:ind w:left="239" w:hanging="187"/>
            </w:pPr>
            <w:r w:rsidRPr="004C156D">
              <w:t>Where Rated Home</w:t>
            </w:r>
            <w:r w:rsidR="004A2C9F" w:rsidRPr="004C156D">
              <w:t xml:space="preserve"> </w:t>
            </w:r>
            <w:r w:rsidRPr="004C156D">
              <w:t xml:space="preserve">does not have energy recovery: </w:t>
            </w:r>
          </w:p>
          <w:p w14:paraId="541A3219" w14:textId="5499B79A" w:rsidR="003E4C93" w:rsidRPr="004C156D" w:rsidRDefault="003E4C93" w:rsidP="003E4C93">
            <w:pPr>
              <w:ind w:left="239"/>
            </w:pPr>
            <w:r w:rsidRPr="004C156D">
              <w:t xml:space="preserve">0.35 W/cfm * </w:t>
            </w:r>
            <w:proofErr w:type="spellStart"/>
            <w:r w:rsidRPr="004C156D">
              <w:t>fanCFM_sup</w:t>
            </w:r>
            <w:proofErr w:type="spellEnd"/>
            <w:r w:rsidRPr="004C156D">
              <w:t xml:space="preserve"> + 0.35 W/cfm * </w:t>
            </w:r>
            <w:proofErr w:type="spellStart"/>
            <w:r w:rsidRPr="004C156D">
              <w:t>fanCFM_exh</w:t>
            </w:r>
            <w:proofErr w:type="spellEnd"/>
          </w:p>
          <w:p w14:paraId="12E1E908" w14:textId="0D4285B2" w:rsidR="003E4C93" w:rsidRPr="004C156D" w:rsidRDefault="003E4C93" w:rsidP="003E4C93">
            <w:pPr>
              <w:ind w:left="239" w:hanging="187"/>
            </w:pPr>
            <w:r w:rsidRPr="004C156D">
              <w:lastRenderedPageBreak/>
              <w:t>Where Rated Home has energy recovery:</w:t>
            </w:r>
          </w:p>
          <w:p w14:paraId="7FB592CC" w14:textId="24C954A7" w:rsidR="003E4C93" w:rsidRPr="004C156D" w:rsidRDefault="003E4C93" w:rsidP="003E4C93">
            <w:pPr>
              <w:ind w:left="239"/>
            </w:pPr>
            <w:r w:rsidRPr="004C156D">
              <w:t xml:space="preserve">0.50 W/cfm * </w:t>
            </w:r>
            <w:proofErr w:type="spellStart"/>
            <w:r w:rsidRPr="004C156D">
              <w:t>fanCFM_sup</w:t>
            </w:r>
            <w:proofErr w:type="spellEnd"/>
            <w:r w:rsidRPr="004C156D">
              <w:t xml:space="preserve"> + 0.50 W/cfm * </w:t>
            </w:r>
            <w:proofErr w:type="spellStart"/>
            <w:r w:rsidRPr="004C156D">
              <w:t>fanCFM_exh</w:t>
            </w:r>
            <w:proofErr w:type="spellEnd"/>
          </w:p>
          <w:p w14:paraId="73CD9378" w14:textId="0E5D1A5F" w:rsidR="003E4C93" w:rsidRPr="004C156D" w:rsidRDefault="003E4C93" w:rsidP="003E4C93">
            <w:pPr>
              <w:ind w:left="239" w:hanging="187"/>
            </w:pPr>
            <w:r w:rsidRPr="004C156D">
              <w:t xml:space="preserve">And where </w:t>
            </w:r>
            <w:proofErr w:type="spellStart"/>
            <w:r w:rsidRPr="004C156D">
              <w:t>fanCFM_sup</w:t>
            </w:r>
            <w:proofErr w:type="spellEnd"/>
            <w:r w:rsidRPr="004C156D">
              <w:t xml:space="preserve"> and </w:t>
            </w:r>
            <w:proofErr w:type="spellStart"/>
            <w:r w:rsidRPr="004C156D">
              <w:t>fanCFM_exh</w:t>
            </w:r>
            <w:proofErr w:type="spellEnd"/>
            <w:r w:rsidR="00C96B1E" w:rsidRPr="004C156D">
              <w:t xml:space="preserve"> </w:t>
            </w:r>
            <w:r w:rsidRPr="004C156D">
              <w:t xml:space="preserve">are the respective minimum continuous supply and exhaust Dwelling Unit Mechanical Ventilation System fan flow </w:t>
            </w:r>
            <w:proofErr w:type="spellStart"/>
            <w:r w:rsidRPr="004C156D">
              <w:t>rates</w:t>
            </w:r>
            <w:r w:rsidRPr="004C156D">
              <w:rPr>
                <w:strike/>
                <w:vertAlign w:val="superscript"/>
              </w:rPr>
              <w:t>g</w:t>
            </w:r>
            <w:proofErr w:type="spellEnd"/>
            <w:r w:rsidRPr="004C156D">
              <w:t xml:space="preserve"> for the Rated </w:t>
            </w:r>
            <w:proofErr w:type="spellStart"/>
            <w:r w:rsidRPr="004C156D">
              <w:t>Home.</w:t>
            </w:r>
            <w:r w:rsidRPr="004C156D">
              <w:rPr>
                <w:vertAlign w:val="superscript"/>
              </w:rPr>
              <w:t>l</w:t>
            </w:r>
            <w:proofErr w:type="spellEnd"/>
            <w:r w:rsidRPr="004C156D">
              <w:rPr>
                <w:vertAlign w:val="superscript"/>
              </w:rPr>
              <w:t xml:space="preserve">, </w:t>
            </w:r>
            <w:proofErr w:type="spellStart"/>
            <w:proofErr w:type="gramStart"/>
            <w:r w:rsidRPr="004C156D">
              <w:rPr>
                <w:vertAlign w:val="superscript"/>
              </w:rPr>
              <w:t>zz</w:t>
            </w:r>
            <w:proofErr w:type="spellEnd"/>
            <w:proofErr w:type="gramEnd"/>
          </w:p>
          <w:p w14:paraId="309F4A12" w14:textId="77777777" w:rsidR="003E4C93" w:rsidRPr="004C156D" w:rsidRDefault="003E4C93" w:rsidP="003E4C93">
            <w:pPr>
              <w:ind w:left="448" w:hanging="209"/>
            </w:pPr>
          </w:p>
        </w:tc>
        <w:tc>
          <w:tcPr>
            <w:tcW w:w="3177" w:type="dxa"/>
          </w:tcPr>
          <w:p w14:paraId="52D93A9C" w14:textId="0CE9A7E0" w:rsidR="00FA0C65" w:rsidRPr="004C156D" w:rsidRDefault="003E4C93" w:rsidP="00FA0C65">
            <w:pPr>
              <w:rPr>
                <w:strike/>
              </w:rPr>
            </w:pPr>
            <w:r w:rsidRPr="004C156D">
              <w:lastRenderedPageBreak/>
              <w:t>Same as Rated Home</w:t>
            </w:r>
            <w:r w:rsidRPr="004C156D">
              <w:rPr>
                <w:vertAlign w:val="superscript"/>
              </w:rPr>
              <w:t>m, n,</w:t>
            </w:r>
            <w:r w:rsidR="00CC376D" w:rsidRPr="004C156D">
              <w:rPr>
                <w:vertAlign w:val="superscript"/>
              </w:rPr>
              <w:t xml:space="preserve"> </w:t>
            </w:r>
            <w:proofErr w:type="spellStart"/>
            <w:r w:rsidR="00CC376D" w:rsidRPr="004C156D">
              <w:rPr>
                <w:vertAlign w:val="superscript"/>
              </w:rPr>
              <w:t>zz</w:t>
            </w:r>
            <w:proofErr w:type="spellEnd"/>
            <w:r w:rsidRPr="004C156D">
              <w:t xml:space="preserve"> except when the Dwelling Unit Mechanical Ventilation System airflow rate has been increased to meet the total air exchange rate, in which case</w:t>
            </w:r>
            <w:r w:rsidR="00147F75" w:rsidRPr="004C156D">
              <w:rPr>
                <w:u w:val="single"/>
              </w:rPr>
              <w:t>:</w:t>
            </w:r>
            <w:r w:rsidR="00FA0C65" w:rsidRPr="004C156D">
              <w:rPr>
                <w:strike/>
              </w:rPr>
              <w:t xml:space="preserve"> the fan power shall be </w:t>
            </w:r>
            <w:r w:rsidR="00FA0C65" w:rsidRPr="004C156D">
              <w:rPr>
                <w:strike/>
              </w:rPr>
              <w:lastRenderedPageBreak/>
              <w:t>proportionally increased to maintain the fan W/cfm.</w:t>
            </w:r>
          </w:p>
          <w:p w14:paraId="0F760933" w14:textId="662F5CC2" w:rsidR="00147F75" w:rsidRPr="004C156D" w:rsidRDefault="00147F75" w:rsidP="00147F75">
            <w:pPr>
              <w:pStyle w:val="paragraph"/>
              <w:textAlignment w:val="baseline"/>
              <w:rPr>
                <w:u w:val="single"/>
              </w:rPr>
            </w:pPr>
            <w:r w:rsidRPr="004C156D">
              <w:rPr>
                <w:rStyle w:val="normaltextrun"/>
                <w:u w:val="single"/>
              </w:rPr>
              <w:t xml:space="preserve">Where only the runtime has been increased, the fan energy shall be proportionally increased to maintain the Rated Home fan </w:t>
            </w:r>
            <w:proofErr w:type="spellStart"/>
            <w:r w:rsidRPr="004C156D">
              <w:rPr>
                <w:rStyle w:val="normaltextrun"/>
                <w:u w:val="single"/>
              </w:rPr>
              <w:t>Wh</w:t>
            </w:r>
            <w:proofErr w:type="spellEnd"/>
            <w:r w:rsidRPr="004C156D">
              <w:rPr>
                <w:rStyle w:val="normaltextrun"/>
                <w:u w:val="single"/>
              </w:rPr>
              <w:t>/cfm.</w:t>
            </w:r>
            <w:r w:rsidRPr="004C156D">
              <w:rPr>
                <w:rStyle w:val="eop"/>
                <w:u w:val="single"/>
              </w:rPr>
              <w:t> </w:t>
            </w:r>
          </w:p>
          <w:p w14:paraId="3E4B99EE" w14:textId="77777777" w:rsidR="00147F75" w:rsidRPr="004C156D" w:rsidRDefault="00147F75" w:rsidP="00147F75">
            <w:pPr>
              <w:pStyle w:val="paragraph"/>
              <w:textAlignment w:val="baseline"/>
            </w:pPr>
            <w:r w:rsidRPr="004C156D">
              <w:rPr>
                <w:rStyle w:val="normaltextrun"/>
                <w:u w:val="single"/>
              </w:rPr>
              <w:t>Where airflow rate has been increased, the fan power shall be proportionally increased to maintain the Rated Home fan W/</w:t>
            </w:r>
            <w:proofErr w:type="gramStart"/>
            <w:r w:rsidRPr="004C156D">
              <w:rPr>
                <w:rStyle w:val="normaltextrun"/>
                <w:u w:val="single"/>
              </w:rPr>
              <w:t>cfm</w:t>
            </w:r>
            <w:proofErr w:type="gramEnd"/>
          </w:p>
          <w:p w14:paraId="053EADA2" w14:textId="755D2656" w:rsidR="00D65630" w:rsidRPr="004C156D" w:rsidRDefault="00D65630" w:rsidP="00D65630">
            <w:pPr>
              <w:rPr>
                <w:u w:val="single"/>
              </w:rPr>
            </w:pPr>
          </w:p>
          <w:p w14:paraId="12EED443" w14:textId="77777777" w:rsidR="003E4C93" w:rsidRPr="004C156D" w:rsidRDefault="003E4C93" w:rsidP="003E4C93"/>
        </w:tc>
      </w:tr>
      <w:tr w:rsidR="00646D50" w:rsidRPr="004C156D" w14:paraId="30A874A9" w14:textId="77777777" w:rsidTr="5607A291">
        <w:tc>
          <w:tcPr>
            <w:tcW w:w="2587" w:type="dxa"/>
          </w:tcPr>
          <w:p w14:paraId="2DECE774" w14:textId="4F3C5F0D" w:rsidR="003E4C93" w:rsidRPr="004C156D" w:rsidRDefault="003E4C93" w:rsidP="003E4C93">
            <w:r w:rsidRPr="004C156D">
              <w:lastRenderedPageBreak/>
              <w:t>Internal Gain</w:t>
            </w:r>
          </w:p>
        </w:tc>
        <w:tc>
          <w:tcPr>
            <w:tcW w:w="3596" w:type="dxa"/>
          </w:tcPr>
          <w:p w14:paraId="74781AD7" w14:textId="44B705E1" w:rsidR="003E4C93" w:rsidRPr="004C156D" w:rsidRDefault="003E4C93" w:rsidP="003E4C93">
            <w:pPr>
              <w:ind w:left="261" w:hanging="261"/>
            </w:pPr>
            <w:r w:rsidRPr="004C156D">
              <w:t>As specified</w:t>
            </w:r>
            <w:r w:rsidRPr="004C156D">
              <w:rPr>
                <w:strike/>
              </w:rPr>
              <w:t xml:space="preserve"> by Table 4.2.2(3)</w:t>
            </w:r>
            <w:r w:rsidR="006D1ABB" w:rsidRPr="004C156D">
              <w:rPr>
                <w:u w:val="single"/>
              </w:rPr>
              <w:t xml:space="preserve"> in Section 4.2.2.7.1</w:t>
            </w:r>
          </w:p>
        </w:tc>
        <w:tc>
          <w:tcPr>
            <w:tcW w:w="3177" w:type="dxa"/>
          </w:tcPr>
          <w:p w14:paraId="3EAA91CE" w14:textId="3578E856" w:rsidR="003E4C93" w:rsidRPr="004C156D" w:rsidRDefault="003E4C93" w:rsidP="003E4C93">
            <w:pPr>
              <w:ind w:left="218" w:hanging="218"/>
            </w:pPr>
            <w:r w:rsidRPr="004C156D">
              <w:t>Same as Energy Rating Reference Home, except as provided by Section 4.2.2.</w:t>
            </w:r>
            <w:r w:rsidRPr="004C156D">
              <w:rPr>
                <w:strike/>
              </w:rPr>
              <w:t>6</w:t>
            </w:r>
            <w:r w:rsidR="00A95A74" w:rsidRPr="004C156D">
              <w:rPr>
                <w:u w:val="single"/>
              </w:rPr>
              <w:t>7</w:t>
            </w:r>
            <w:r w:rsidRPr="004C156D">
              <w:t>.2</w:t>
            </w:r>
          </w:p>
        </w:tc>
      </w:tr>
    </w:tbl>
    <w:p w14:paraId="55E7E88F" w14:textId="77777777" w:rsidR="008F1DC1" w:rsidRPr="004C156D" w:rsidRDefault="008F1DC1" w:rsidP="00BF0140">
      <w:pPr>
        <w:pStyle w:val="ListParagraph"/>
        <w:spacing w:after="120"/>
      </w:pPr>
    </w:p>
    <w:p w14:paraId="281683E6" w14:textId="75181B09" w:rsidR="00333B59" w:rsidRPr="005B5D9E" w:rsidRDefault="00333B59" w:rsidP="00F51459">
      <w:pPr>
        <w:ind w:left="630" w:hanging="270"/>
      </w:pPr>
      <w:r w:rsidRPr="004C156D">
        <w:rPr>
          <w:strike/>
        </w:rPr>
        <w:t>d.</w:t>
      </w:r>
      <w:r w:rsidRPr="004C156D">
        <w:rPr>
          <w:strike/>
        </w:rPr>
        <w:tab/>
        <w:t>For Fenestrations facing within 15 degrees of true south or true north, for Rated Homes in the northern and southern hemisphere respectively, that are directly coupled to thermal storage mass, the winter interior shade coefficient shall be permitted to increase to 0.95 in the Rated Home.</w:t>
      </w:r>
      <w:r w:rsidR="005B5D9E">
        <w:t xml:space="preserve"> </w:t>
      </w:r>
      <w:r w:rsidR="005B5D9E" w:rsidRPr="005B5D9E">
        <w:rPr>
          <w:b/>
          <w:bCs/>
          <w:color w:val="0070C0"/>
          <w:vertAlign w:val="superscript"/>
        </w:rPr>
        <w:t>(1)</w:t>
      </w:r>
    </w:p>
    <w:p w14:paraId="1CE8D94F" w14:textId="2FAE80B8" w:rsidR="00F51459" w:rsidRPr="004C156D" w:rsidRDefault="00F51459" w:rsidP="00F51459">
      <w:pPr>
        <w:pStyle w:val="paragraph"/>
        <w:ind w:left="630" w:hanging="270"/>
        <w:textAlignment w:val="baseline"/>
      </w:pPr>
      <w:r w:rsidRPr="004C156D">
        <w:rPr>
          <w:rStyle w:val="normaltextrun"/>
        </w:rPr>
        <w:t xml:space="preserve">e. The term External Shading refers only to permanent, fixed shading devices attached to the building such as fins and overhangs. Window screens, movable awnings, roller shades, safety bars, balcony railings, and shade from adjacent buildings, trees and shrubs shall not be included in the analysis of the Rated Home energy usage. </w:t>
      </w:r>
      <w:r w:rsidRPr="004C156D">
        <w:rPr>
          <w:rStyle w:val="normaltextrun"/>
          <w:u w:val="single"/>
        </w:rPr>
        <w:t>External shading shall be calculated based on the position of the sun and the dimensions and position of the shading device.</w:t>
      </w:r>
      <w:r w:rsidRPr="004C156D">
        <w:rPr>
          <w:rStyle w:val="eop"/>
        </w:rPr>
        <w:t> </w:t>
      </w:r>
    </w:p>
    <w:p w14:paraId="5FD5EC68" w14:textId="7924F6C6" w:rsidR="00B648C5" w:rsidRPr="004C156D" w:rsidRDefault="00B96AEE" w:rsidP="008C6798">
      <w:pPr>
        <w:ind w:left="630" w:hanging="270"/>
      </w:pPr>
      <w:r w:rsidRPr="004C156D">
        <w:t>f.</w:t>
      </w:r>
      <w:r w:rsidR="008F1DC1" w:rsidRPr="004C156D">
        <w:tab/>
      </w:r>
      <w:r w:rsidR="002245AB" w:rsidRPr="004C156D">
        <w:t xml:space="preserve">SLA = </w:t>
      </w:r>
      <w:r w:rsidR="002245AB" w:rsidRPr="004C156D">
        <w:rPr>
          <w:strike/>
        </w:rPr>
        <w:t xml:space="preserve">ELA / CFA where ELA = </w:t>
      </w:r>
      <w:r w:rsidR="007A6DA6" w:rsidRPr="004C156D">
        <w:rPr>
          <w:strike/>
        </w:rPr>
        <w:t>0.054863</w:t>
      </w:r>
      <w:r w:rsidRPr="004C156D">
        <w:rPr>
          <w:strike/>
        </w:rPr>
        <w:t xml:space="preserve"> </w:t>
      </w:r>
      <w:r w:rsidR="007A6DA6" w:rsidRPr="004C156D">
        <w:rPr>
          <w:strike/>
        </w:rPr>
        <w:t>*</w:t>
      </w:r>
      <w:r w:rsidRPr="004C156D">
        <w:rPr>
          <w:strike/>
        </w:rPr>
        <w:t xml:space="preserve"> </w:t>
      </w:r>
      <w:r w:rsidR="007A6DA6" w:rsidRPr="004C156D">
        <w:rPr>
          <w:strike/>
        </w:rPr>
        <w:t xml:space="preserve">cfm50 and where CFA is in square </w:t>
      </w:r>
      <w:proofErr w:type="spellStart"/>
      <w:proofErr w:type="gramStart"/>
      <w:r w:rsidR="007A6DA6" w:rsidRPr="004C156D">
        <w:rPr>
          <w:strike/>
        </w:rPr>
        <w:t>inches</w:t>
      </w:r>
      <w:r w:rsidR="00FA0C65" w:rsidRPr="004C156D">
        <w:rPr>
          <w:strike/>
        </w:rPr>
        <w:t>.</w:t>
      </w:r>
      <w:r w:rsidR="00100F24" w:rsidRPr="004C156D">
        <w:rPr>
          <w:u w:val="single"/>
        </w:rPr>
        <w:t>Specific</w:t>
      </w:r>
      <w:proofErr w:type="spellEnd"/>
      <w:proofErr w:type="gramEnd"/>
      <w:r w:rsidR="00100F24" w:rsidRPr="004C156D">
        <w:rPr>
          <w:u w:val="single"/>
        </w:rPr>
        <w:t xml:space="preserve"> Leakage Area as defined in Normative Appendix C2.2</w:t>
      </w:r>
      <w:r w:rsidR="00A67C3C" w:rsidRPr="004C156D">
        <w:rPr>
          <w:u w:val="single"/>
        </w:rPr>
        <w:t>, Equations 3 and 1</w:t>
      </w:r>
      <w:r w:rsidR="00C11227" w:rsidRPr="004C156D">
        <w:rPr>
          <w:u w:val="single"/>
        </w:rPr>
        <w:t>9.</w:t>
      </w:r>
      <w:r w:rsidR="00C84AED" w:rsidRPr="004C156D">
        <w:rPr>
          <w:u w:val="single"/>
        </w:rPr>
        <w:t xml:space="preserve"> </w:t>
      </w:r>
    </w:p>
    <w:p w14:paraId="4FC3F87B" w14:textId="77777777" w:rsidR="008C6798" w:rsidRPr="004C156D" w:rsidRDefault="008C6798" w:rsidP="008C6798">
      <w:pPr>
        <w:ind w:left="630" w:hanging="270"/>
      </w:pPr>
    </w:p>
    <w:p w14:paraId="6322AB58" w14:textId="02129CE6" w:rsidR="008F1DC1" w:rsidRPr="004C156D" w:rsidRDefault="00B96AEE" w:rsidP="008C6798">
      <w:pPr>
        <w:ind w:left="630" w:hanging="270"/>
      </w:pPr>
      <w:bookmarkStart w:id="49" w:name="_Hlk117154869"/>
      <w:r w:rsidRPr="004C156D">
        <w:t>g.</w:t>
      </w:r>
      <w:r w:rsidR="008F1DC1" w:rsidRPr="004C156D">
        <w:tab/>
      </w:r>
      <w:r w:rsidR="004A2BF8" w:rsidRPr="004C156D">
        <w:t xml:space="preserve">The required </w:t>
      </w:r>
      <w:r w:rsidR="009D2C40" w:rsidRPr="004C156D">
        <w:t>supplemental</w:t>
      </w:r>
      <w:r w:rsidR="004A2BF8" w:rsidRPr="004C156D">
        <w:t xml:space="preserve"> Dwelling</w:t>
      </w:r>
      <w:r w:rsidR="006964A5" w:rsidRPr="004C156D">
        <w:t xml:space="preserve"> </w:t>
      </w:r>
      <w:r w:rsidR="004A2BF8" w:rsidRPr="004C156D">
        <w:t xml:space="preserve">Unit Mechanical Ventilation </w:t>
      </w:r>
      <w:r w:rsidR="00517B95" w:rsidRPr="004C156D">
        <w:t>S</w:t>
      </w:r>
      <w:r w:rsidR="004A2BF8" w:rsidRPr="004C156D">
        <w:t xml:space="preserve">ystem </w:t>
      </w:r>
      <w:r w:rsidR="00880A04" w:rsidRPr="004C156D">
        <w:rPr>
          <w:u w:val="single"/>
        </w:rPr>
        <w:t xml:space="preserve">continuous </w:t>
      </w:r>
      <w:r w:rsidR="004A2BF8" w:rsidRPr="004C156D">
        <w:t>airflow rate (</w:t>
      </w:r>
      <w:proofErr w:type="spellStart"/>
      <w:r w:rsidR="004A2BF8" w:rsidRPr="004C156D">
        <w:t>Qfan</w:t>
      </w:r>
      <w:proofErr w:type="spellEnd"/>
      <w:r w:rsidR="004A2BF8" w:rsidRPr="004C156D">
        <w:t xml:space="preserve">) </w:t>
      </w:r>
      <w:r w:rsidR="00880A04" w:rsidRPr="004C156D">
        <w:rPr>
          <w:u w:val="single"/>
        </w:rPr>
        <w:t xml:space="preserve">for the Energy Rating Reference Home </w:t>
      </w:r>
      <w:r w:rsidR="004A2BF8" w:rsidRPr="004C156D">
        <w:t>shall be determined in accordance with the following equation</w:t>
      </w:r>
    </w:p>
    <w:p w14:paraId="4414498D" w14:textId="77777777" w:rsidR="008F1DC1" w:rsidRPr="004C156D" w:rsidRDefault="008F1DC1" w:rsidP="008F1DC1">
      <w:pPr>
        <w:ind w:left="360"/>
      </w:pPr>
    </w:p>
    <w:p w14:paraId="11619312" w14:textId="638AA1CA" w:rsidR="003C3771" w:rsidRPr="004C156D" w:rsidRDefault="006E475F" w:rsidP="003C3771">
      <w:pPr>
        <w:ind w:left="720" w:hanging="90"/>
        <w:rPr>
          <w:b/>
        </w:rPr>
      </w:pPr>
      <w:r w:rsidRPr="004C156D">
        <w:rPr>
          <w:b/>
          <w:i/>
          <w:iCs/>
          <w:spacing w:val="-1"/>
        </w:rPr>
        <w:t>Q</w:t>
      </w:r>
      <w:r w:rsidRPr="004C156D">
        <w:rPr>
          <w:b/>
          <w:i/>
          <w:iCs/>
          <w:spacing w:val="-1"/>
          <w:position w:val="-5"/>
        </w:rPr>
        <w:t>fan</w:t>
      </w:r>
      <w:r w:rsidRPr="004C156D">
        <w:rPr>
          <w:b/>
          <w:i/>
          <w:iCs/>
          <w:spacing w:val="8"/>
          <w:position w:val="-5"/>
        </w:rPr>
        <w:t xml:space="preserve"> </w:t>
      </w:r>
      <w:r w:rsidRPr="004C156D">
        <w:rPr>
          <w:b/>
          <w:i/>
          <w:iCs/>
        </w:rPr>
        <w:t>=</w:t>
      </w:r>
      <w:r w:rsidRPr="004C156D">
        <w:rPr>
          <w:b/>
          <w:i/>
          <w:iCs/>
          <w:spacing w:val="-2"/>
        </w:rPr>
        <w:t xml:space="preserve"> </w:t>
      </w:r>
      <w:proofErr w:type="gramStart"/>
      <w:r w:rsidR="002B7366" w:rsidRPr="004C156D">
        <w:rPr>
          <w:b/>
          <w:spacing w:val="-2"/>
          <w:u w:val="single"/>
        </w:rPr>
        <w:t>max(</w:t>
      </w:r>
      <w:proofErr w:type="gramEnd"/>
      <w:r w:rsidRPr="004C156D">
        <w:rPr>
          <w:b/>
          <w:lang w:val="pt-BR"/>
        </w:rPr>
        <w:t>Q</w:t>
      </w:r>
      <w:r w:rsidRPr="004C156D">
        <w:rPr>
          <w:b/>
          <w:position w:val="-5"/>
          <w:lang w:val="pt-BR"/>
        </w:rPr>
        <w:t>tot</w:t>
      </w:r>
      <w:r w:rsidRPr="004C156D">
        <w:rPr>
          <w:b/>
          <w:i/>
          <w:iCs/>
          <w:spacing w:val="7"/>
          <w:position w:val="-5"/>
        </w:rPr>
        <w:t xml:space="preserve"> </w:t>
      </w:r>
      <w:r w:rsidRPr="004C156D">
        <w:rPr>
          <w:b/>
          <w:i/>
          <w:iCs/>
        </w:rPr>
        <w:t>–</w:t>
      </w:r>
      <w:r w:rsidR="008B2FE7" w:rsidRPr="004C156D">
        <w:rPr>
          <w:b/>
          <w:i/>
          <w:iCs/>
          <w:spacing w:val="-2"/>
        </w:rPr>
        <w:t xml:space="preserve"> </w:t>
      </w:r>
      <w:r w:rsidRPr="004C156D">
        <w:rPr>
          <w:b/>
          <w:spacing w:val="-1"/>
        </w:rPr>
        <w:t>(</w:t>
      </w:r>
      <w:r w:rsidRPr="004C156D">
        <w:rPr>
          <w:b/>
          <w:i/>
          <w:iCs/>
          <w:spacing w:val="-1"/>
        </w:rPr>
        <w:t>Q</w:t>
      </w:r>
      <w:r w:rsidRPr="004C156D">
        <w:rPr>
          <w:b/>
          <w:i/>
          <w:iCs/>
          <w:spacing w:val="-1"/>
          <w:position w:val="-5"/>
        </w:rPr>
        <w:t>inf</w:t>
      </w:r>
      <w:r w:rsidRPr="004C156D">
        <w:rPr>
          <w:b/>
          <w:i/>
          <w:iCs/>
          <w:spacing w:val="8"/>
          <w:position w:val="-5"/>
        </w:rPr>
        <w:t xml:space="preserve"> </w:t>
      </w:r>
      <w:r w:rsidRPr="004C156D">
        <w:rPr>
          <w:b/>
        </w:rPr>
        <w:t>×</w:t>
      </w:r>
      <w:r w:rsidRPr="004C156D">
        <w:rPr>
          <w:b/>
          <w:spacing w:val="-1"/>
        </w:rPr>
        <w:t xml:space="preserve"> </w:t>
      </w:r>
      <w:r w:rsidRPr="004C156D">
        <w:rPr>
          <w:b/>
          <w:i/>
          <w:iCs/>
        </w:rPr>
        <w:t>A</w:t>
      </w:r>
      <w:proofErr w:type="spellStart"/>
      <w:r w:rsidRPr="004C156D">
        <w:rPr>
          <w:b/>
          <w:i/>
          <w:iCs/>
          <w:position w:val="-5"/>
        </w:rPr>
        <w:t>ext</w:t>
      </w:r>
      <w:proofErr w:type="spellEnd"/>
      <w:r w:rsidR="003C3771" w:rsidRPr="004C156D">
        <w:rPr>
          <w:b/>
        </w:rPr>
        <w:t>)</w:t>
      </w:r>
      <w:r w:rsidR="002B7366" w:rsidRPr="004C156D">
        <w:rPr>
          <w:b/>
          <w:u w:val="single"/>
        </w:rPr>
        <w:t>,0)</w:t>
      </w:r>
    </w:p>
    <w:p w14:paraId="676D2C9E" w14:textId="255D8FC7" w:rsidR="006E475F" w:rsidRPr="004C156D" w:rsidRDefault="006E475F" w:rsidP="00D1043D">
      <w:pPr>
        <w:pStyle w:val="where1"/>
        <w:ind w:left="1530"/>
      </w:pPr>
      <w:r w:rsidRPr="004C156D">
        <w:lastRenderedPageBreak/>
        <w:t>where</w:t>
      </w:r>
      <w:r w:rsidR="00716651" w:rsidRPr="004C156D">
        <w:rPr>
          <w:rFonts w:eastAsia="Calibri"/>
        </w:rPr>
        <w:t>:</w:t>
      </w:r>
    </w:p>
    <w:p w14:paraId="104853A5" w14:textId="77777777" w:rsidR="00CB06E8" w:rsidRPr="004C156D" w:rsidRDefault="006E475F" w:rsidP="00DE6436">
      <w:pPr>
        <w:pStyle w:val="equals"/>
        <w:tabs>
          <w:tab w:val="clear" w:pos="3060"/>
          <w:tab w:val="left" w:pos="2520"/>
        </w:tabs>
        <w:ind w:left="2790"/>
        <w:rPr>
          <w:rFonts w:eastAsia="Calibri"/>
        </w:rPr>
      </w:pPr>
      <w:r w:rsidRPr="004C156D">
        <w:rPr>
          <w:i/>
        </w:rPr>
        <w:t>Q</w:t>
      </w:r>
      <w:r w:rsidRPr="004C156D">
        <w:rPr>
          <w:i/>
          <w:position w:val="-5"/>
        </w:rPr>
        <w:t>fan</w:t>
      </w:r>
      <w:r w:rsidRPr="004C156D">
        <w:rPr>
          <w:rFonts w:eastAsia="Calibri"/>
        </w:rPr>
        <w:t xml:space="preserve"> </w:t>
      </w:r>
      <w:r w:rsidR="00654DBC" w:rsidRPr="004C156D">
        <w:rPr>
          <w:rFonts w:eastAsia="Calibri"/>
        </w:rPr>
        <w:tab/>
      </w:r>
      <w:r w:rsidRPr="004C156D">
        <w:rPr>
          <w:rFonts w:eastAsia="Calibri"/>
        </w:rPr>
        <w:t xml:space="preserve">= </w:t>
      </w:r>
      <w:proofErr w:type="spellStart"/>
      <w:proofErr w:type="gramStart"/>
      <w:r w:rsidR="00E13E21" w:rsidRPr="004C156D">
        <w:rPr>
          <w:rFonts w:eastAsia="Calibri"/>
          <w:i/>
          <w:iCs/>
        </w:rPr>
        <w:t>Qfan</w:t>
      </w:r>
      <w:r w:rsidR="00E02065" w:rsidRPr="004C156D">
        <w:rPr>
          <w:rFonts w:eastAsia="Calibri"/>
          <w:i/>
          <w:iCs/>
        </w:rPr>
        <w:t>,sup</w:t>
      </w:r>
      <w:proofErr w:type="spellEnd"/>
      <w:proofErr w:type="gramEnd"/>
      <w:r w:rsidR="00E02065" w:rsidRPr="004C156D">
        <w:rPr>
          <w:rFonts w:eastAsia="Calibri"/>
        </w:rPr>
        <w:t xml:space="preserve"> = </w:t>
      </w:r>
      <w:proofErr w:type="spellStart"/>
      <w:r w:rsidR="00E02065" w:rsidRPr="004C156D">
        <w:rPr>
          <w:rFonts w:eastAsia="Calibri"/>
          <w:i/>
          <w:iCs/>
        </w:rPr>
        <w:t>Qfan,exh</w:t>
      </w:r>
      <w:proofErr w:type="spellEnd"/>
      <w:r w:rsidR="00E02065" w:rsidRPr="004C156D">
        <w:rPr>
          <w:rFonts w:eastAsia="Calibri"/>
        </w:rPr>
        <w:t xml:space="preserve"> = supplemental </w:t>
      </w:r>
      <w:r w:rsidRPr="004C156D">
        <w:t>required</w:t>
      </w:r>
      <w:r w:rsidRPr="004C156D">
        <w:rPr>
          <w:rFonts w:eastAsia="Calibri"/>
        </w:rPr>
        <w:t xml:space="preserve"> mechanical </w:t>
      </w:r>
      <w:r w:rsidR="005C1FD8" w:rsidRPr="004C156D">
        <w:rPr>
          <w:rFonts w:eastAsia="Calibri"/>
        </w:rPr>
        <w:t>V</w:t>
      </w:r>
      <w:r w:rsidR="003C3771" w:rsidRPr="004C156D">
        <w:rPr>
          <w:rFonts w:eastAsia="Calibri"/>
        </w:rPr>
        <w:t>entilation rate, cfm</w:t>
      </w:r>
    </w:p>
    <w:p w14:paraId="58354CBE" w14:textId="00F8A728" w:rsidR="001F1F34" w:rsidRPr="004C156D" w:rsidRDefault="001F1F34" w:rsidP="001F1F34">
      <w:pPr>
        <w:pStyle w:val="equals"/>
        <w:tabs>
          <w:tab w:val="clear" w:pos="748"/>
          <w:tab w:val="clear" w:pos="3060"/>
          <w:tab w:val="left" w:pos="2520"/>
        </w:tabs>
        <w:ind w:left="2790" w:hanging="1260"/>
      </w:pPr>
      <w:proofErr w:type="spellStart"/>
      <w:proofErr w:type="gramStart"/>
      <w:r w:rsidRPr="004C156D">
        <w:rPr>
          <w:i/>
        </w:rPr>
        <w:t>Qfan,sup</w:t>
      </w:r>
      <w:proofErr w:type="spellEnd"/>
      <w:proofErr w:type="gramEnd"/>
      <w:r w:rsidRPr="004C156D">
        <w:rPr>
          <w:i/>
        </w:rPr>
        <w:tab/>
        <w:t>=</w:t>
      </w:r>
      <w:r w:rsidRPr="004C156D">
        <w:t xml:space="preserve"> supply fan air flow rate, cfm</w:t>
      </w:r>
    </w:p>
    <w:p w14:paraId="58A59227" w14:textId="2687CA60" w:rsidR="003C3771" w:rsidRPr="004C156D" w:rsidRDefault="001F1F34" w:rsidP="00DE6436">
      <w:pPr>
        <w:pStyle w:val="equals"/>
        <w:tabs>
          <w:tab w:val="clear" w:pos="3060"/>
          <w:tab w:val="left" w:pos="2520"/>
        </w:tabs>
        <w:ind w:left="2790"/>
        <w:rPr>
          <w:rFonts w:eastAsia="Calibri"/>
        </w:rPr>
      </w:pPr>
      <w:proofErr w:type="spellStart"/>
      <w:proofErr w:type="gramStart"/>
      <w:r w:rsidRPr="004C156D">
        <w:rPr>
          <w:i/>
        </w:rPr>
        <w:t>Qfan,exh</w:t>
      </w:r>
      <w:proofErr w:type="spellEnd"/>
      <w:proofErr w:type="gramEnd"/>
      <w:r w:rsidRPr="004C156D">
        <w:rPr>
          <w:i/>
        </w:rPr>
        <w:tab/>
        <w:t xml:space="preserve">= </w:t>
      </w:r>
      <w:r w:rsidRPr="004C156D">
        <w:t>exhaust fan air flow rate, cfm</w:t>
      </w:r>
      <w:r w:rsidR="003C3771" w:rsidRPr="004C156D">
        <w:rPr>
          <w:rFonts w:eastAsia="Calibri"/>
        </w:rPr>
        <w:t xml:space="preserve"> </w:t>
      </w:r>
    </w:p>
    <w:p w14:paraId="77A44B80" w14:textId="251DF78B" w:rsidR="003C3771" w:rsidRPr="004C156D" w:rsidRDefault="006E475F" w:rsidP="00DE6436">
      <w:pPr>
        <w:pStyle w:val="equals"/>
        <w:tabs>
          <w:tab w:val="clear" w:pos="3060"/>
          <w:tab w:val="left" w:pos="2520"/>
        </w:tabs>
        <w:ind w:left="2790"/>
        <w:rPr>
          <w:rFonts w:eastAsia="Calibri"/>
        </w:rPr>
      </w:pPr>
      <w:r w:rsidRPr="004C156D">
        <w:rPr>
          <w:i/>
          <w:iCs/>
          <w:spacing w:val="-1"/>
        </w:rPr>
        <w:t>Q</w:t>
      </w:r>
      <w:r w:rsidRPr="004C156D">
        <w:rPr>
          <w:i/>
          <w:iCs/>
          <w:spacing w:val="-1"/>
          <w:position w:val="-5"/>
        </w:rPr>
        <w:t>tot</w:t>
      </w:r>
      <w:r w:rsidR="00654DBC" w:rsidRPr="004C156D">
        <w:rPr>
          <w:i/>
          <w:iCs/>
          <w:spacing w:val="-1"/>
          <w:position w:val="-5"/>
        </w:rPr>
        <w:tab/>
      </w:r>
      <w:r w:rsidRPr="004C156D">
        <w:rPr>
          <w:rFonts w:eastAsia="Calibri"/>
        </w:rPr>
        <w:t xml:space="preserve">= total </w:t>
      </w:r>
      <w:r w:rsidRPr="004C156D">
        <w:t>required</w:t>
      </w:r>
      <w:r w:rsidRPr="004C156D">
        <w:rPr>
          <w:rFonts w:eastAsia="Calibri"/>
        </w:rPr>
        <w:t xml:space="preserve"> </w:t>
      </w:r>
      <w:r w:rsidRPr="004C156D">
        <w:rPr>
          <w:rFonts w:eastAsia="Calibri"/>
          <w:strike/>
        </w:rPr>
        <w:t xml:space="preserve">Ventilation </w:t>
      </w:r>
      <w:r w:rsidRPr="004C156D">
        <w:rPr>
          <w:rFonts w:eastAsia="Calibri"/>
          <w:u w:val="single"/>
        </w:rPr>
        <w:t xml:space="preserve">air exchange </w:t>
      </w:r>
      <w:r w:rsidR="003C3771" w:rsidRPr="004C156D">
        <w:rPr>
          <w:rFonts w:eastAsia="Calibri"/>
        </w:rPr>
        <w:t xml:space="preserve">rate, cfm  </w:t>
      </w:r>
    </w:p>
    <w:p w14:paraId="03EEFB1F" w14:textId="3898175E" w:rsidR="001F1F34" w:rsidRPr="004C156D" w:rsidRDefault="006E475F" w:rsidP="00DE6436">
      <w:pPr>
        <w:pStyle w:val="equals"/>
        <w:tabs>
          <w:tab w:val="clear" w:pos="3060"/>
          <w:tab w:val="left" w:pos="2520"/>
        </w:tabs>
        <w:ind w:left="2790"/>
        <w:rPr>
          <w:rFonts w:eastAsia="Calibri"/>
        </w:rPr>
      </w:pPr>
      <w:r w:rsidRPr="004C156D">
        <w:rPr>
          <w:i/>
          <w:iCs/>
          <w:spacing w:val="-1"/>
        </w:rPr>
        <w:t>Q</w:t>
      </w:r>
      <w:r w:rsidRPr="004C156D">
        <w:rPr>
          <w:i/>
          <w:iCs/>
          <w:spacing w:val="-1"/>
          <w:position w:val="-5"/>
        </w:rPr>
        <w:t>inf</w:t>
      </w:r>
      <w:r w:rsidR="00654DBC" w:rsidRPr="004C156D">
        <w:rPr>
          <w:i/>
          <w:iCs/>
          <w:spacing w:val="-1"/>
          <w:position w:val="-5"/>
        </w:rPr>
        <w:tab/>
      </w:r>
      <w:r w:rsidR="00654DBC" w:rsidRPr="004C156D">
        <w:rPr>
          <w:rFonts w:eastAsia="Calibri"/>
        </w:rPr>
        <w:t>=</w:t>
      </w:r>
      <w:r w:rsidRPr="004C156D">
        <w:rPr>
          <w:rFonts w:eastAsia="Calibri"/>
        </w:rPr>
        <w:t xml:space="preserve"> </w:t>
      </w:r>
      <w:r w:rsidR="00DA3DF1" w:rsidRPr="004C156D">
        <w:rPr>
          <w:i/>
        </w:rPr>
        <w:t>Infiltration</w:t>
      </w:r>
      <w:r w:rsidRPr="004C156D">
        <w:rPr>
          <w:rFonts w:eastAsia="Calibri"/>
        </w:rPr>
        <w:t>, cfm</w:t>
      </w:r>
    </w:p>
    <w:p w14:paraId="7491CF48" w14:textId="520ED7CE" w:rsidR="006E475F" w:rsidRPr="004C156D" w:rsidRDefault="00991627" w:rsidP="00CD4FDA">
      <w:pPr>
        <w:pStyle w:val="equals"/>
        <w:tabs>
          <w:tab w:val="clear" w:pos="3060"/>
          <w:tab w:val="left" w:pos="2520"/>
        </w:tabs>
        <w:ind w:left="2790"/>
        <w:rPr>
          <w:strike/>
          <w:u w:val="single"/>
        </w:rPr>
      </w:pPr>
      <w:proofErr w:type="spellStart"/>
      <w:r w:rsidRPr="004C156D">
        <w:rPr>
          <w:i/>
        </w:rPr>
        <w:t>Aext</w:t>
      </w:r>
      <w:proofErr w:type="spellEnd"/>
      <w:r w:rsidRPr="004C156D">
        <w:rPr>
          <w:i/>
        </w:rPr>
        <w:tab/>
      </w:r>
      <w:r w:rsidRPr="004C156D">
        <w:t xml:space="preserve">= </w:t>
      </w:r>
      <w:r w:rsidR="006E475F" w:rsidRPr="004C156D">
        <w:t>1</w:t>
      </w:r>
      <w:r w:rsidR="006E475F" w:rsidRPr="004C156D">
        <w:rPr>
          <w:spacing w:val="-1"/>
        </w:rPr>
        <w:t xml:space="preserve"> </w:t>
      </w:r>
      <w:r w:rsidR="006E475F" w:rsidRPr="004C156D">
        <w:rPr>
          <w:spacing w:val="-2"/>
        </w:rPr>
        <w:t>for</w:t>
      </w:r>
      <w:r w:rsidR="006E475F" w:rsidRPr="004C156D">
        <w:rPr>
          <w:spacing w:val="-1"/>
        </w:rPr>
        <w:t xml:space="preserve"> </w:t>
      </w:r>
      <w:r w:rsidR="006E475F" w:rsidRPr="004C156D">
        <w:rPr>
          <w:strike/>
          <w:spacing w:val="-1"/>
        </w:rPr>
        <w:t xml:space="preserve">Detached </w:t>
      </w:r>
      <w:r w:rsidR="006E475F" w:rsidRPr="004C156D">
        <w:rPr>
          <w:i/>
          <w:iCs/>
          <w:strike/>
          <w:spacing w:val="-1"/>
        </w:rPr>
        <w:t>Dwelling</w:t>
      </w:r>
      <w:r w:rsidR="006E475F" w:rsidRPr="004C156D">
        <w:rPr>
          <w:strike/>
          <w:spacing w:val="-1"/>
        </w:rPr>
        <w:t xml:space="preserve"> Units</w:t>
      </w:r>
      <w:r w:rsidR="006E475F" w:rsidRPr="004C156D">
        <w:rPr>
          <w:strike/>
          <w:spacing w:val="-3"/>
        </w:rPr>
        <w:t>,</w:t>
      </w:r>
      <w:r w:rsidR="006E475F" w:rsidRPr="004C156D">
        <w:rPr>
          <w:strike/>
          <w:spacing w:val="-1"/>
        </w:rPr>
        <w:t xml:space="preserve"> </w:t>
      </w:r>
      <w:r w:rsidR="006E475F" w:rsidRPr="004C156D">
        <w:rPr>
          <w:strike/>
          <w:spacing w:val="-2"/>
        </w:rPr>
        <w:t>or</w:t>
      </w:r>
      <w:r w:rsidR="006E475F" w:rsidRPr="004C156D">
        <w:rPr>
          <w:strike/>
          <w:spacing w:val="-1"/>
        </w:rPr>
        <w:t xml:space="preserve"> </w:t>
      </w:r>
      <w:r w:rsidR="006E475F" w:rsidRPr="004C156D">
        <w:rPr>
          <w:strike/>
          <w:spacing w:val="-2"/>
        </w:rPr>
        <w:t xml:space="preserve">the </w:t>
      </w:r>
      <w:r w:rsidR="006E475F" w:rsidRPr="004C156D">
        <w:rPr>
          <w:strike/>
          <w:spacing w:val="-3"/>
        </w:rPr>
        <w:t>ratio</w:t>
      </w:r>
      <w:r w:rsidR="006E475F" w:rsidRPr="004C156D">
        <w:rPr>
          <w:strike/>
          <w:spacing w:val="26"/>
          <w:w w:val="99"/>
        </w:rPr>
        <w:t xml:space="preserve"> </w:t>
      </w:r>
      <w:r w:rsidR="006E475F" w:rsidRPr="004C156D">
        <w:rPr>
          <w:strike/>
          <w:spacing w:val="-2"/>
        </w:rPr>
        <w:t>of</w:t>
      </w:r>
      <w:r w:rsidR="006E475F" w:rsidRPr="004C156D">
        <w:rPr>
          <w:strike/>
          <w:spacing w:val="45"/>
        </w:rPr>
        <w:t xml:space="preserve"> </w:t>
      </w:r>
      <w:r w:rsidR="006E475F" w:rsidRPr="004C156D">
        <w:rPr>
          <w:strike/>
          <w:spacing w:val="-3"/>
        </w:rPr>
        <w:t>exterior</w:t>
      </w:r>
      <w:r w:rsidR="006E475F" w:rsidRPr="004C156D">
        <w:rPr>
          <w:strike/>
          <w:spacing w:val="45"/>
        </w:rPr>
        <w:t xml:space="preserve"> </w:t>
      </w:r>
      <w:r w:rsidR="006E475F" w:rsidRPr="004C156D">
        <w:rPr>
          <w:strike/>
          <w:spacing w:val="-3"/>
        </w:rPr>
        <w:t>enclosure</w:t>
      </w:r>
      <w:r w:rsidR="0028158B" w:rsidRPr="004C156D">
        <w:rPr>
          <w:strike/>
          <w:spacing w:val="-3"/>
        </w:rPr>
        <w:t xml:space="preserve"> </w:t>
      </w:r>
      <w:r w:rsidR="006E475F" w:rsidRPr="004C156D">
        <w:rPr>
          <w:strike/>
          <w:spacing w:val="-5"/>
        </w:rPr>
        <w:t>surface</w:t>
      </w:r>
      <w:r w:rsidRPr="004C156D">
        <w:rPr>
          <w:strike/>
          <w:spacing w:val="46"/>
        </w:rPr>
        <w:t xml:space="preserve"> </w:t>
      </w:r>
      <w:r w:rsidR="006E475F" w:rsidRPr="004C156D">
        <w:rPr>
          <w:strike/>
          <w:spacing w:val="-3"/>
        </w:rPr>
        <w:t>area</w:t>
      </w:r>
      <w:r w:rsidR="008D37C9" w:rsidRPr="004C156D">
        <w:rPr>
          <w:strike/>
          <w:spacing w:val="45"/>
        </w:rPr>
        <w:t xml:space="preserve"> </w:t>
      </w:r>
      <w:r w:rsidR="006E475F" w:rsidRPr="004C156D">
        <w:rPr>
          <w:strike/>
          <w:spacing w:val="-3"/>
        </w:rPr>
        <w:t>that</w:t>
      </w:r>
      <w:r w:rsidR="006E475F" w:rsidRPr="004C156D">
        <w:rPr>
          <w:strike/>
          <w:spacing w:val="45"/>
        </w:rPr>
        <w:t xml:space="preserve"> </w:t>
      </w:r>
      <w:r w:rsidR="006E475F" w:rsidRPr="004C156D">
        <w:rPr>
          <w:strike/>
          <w:spacing w:val="-2"/>
        </w:rPr>
        <w:t>is</w:t>
      </w:r>
      <w:r w:rsidR="006E475F" w:rsidRPr="004C156D">
        <w:rPr>
          <w:strike/>
          <w:spacing w:val="45"/>
        </w:rPr>
        <w:t xml:space="preserve"> </w:t>
      </w:r>
      <w:r w:rsidR="006E475F" w:rsidRPr="004C156D">
        <w:rPr>
          <w:strike/>
          <w:spacing w:val="-3"/>
        </w:rPr>
        <w:t>not</w:t>
      </w:r>
      <w:r w:rsidR="006E475F" w:rsidRPr="004C156D">
        <w:rPr>
          <w:strike/>
          <w:spacing w:val="34"/>
          <w:w w:val="99"/>
        </w:rPr>
        <w:t xml:space="preserve"> </w:t>
      </w:r>
      <w:r w:rsidR="006E475F" w:rsidRPr="004C156D">
        <w:rPr>
          <w:strike/>
          <w:spacing w:val="-3"/>
        </w:rPr>
        <w:t>attached</w:t>
      </w:r>
      <w:r w:rsidR="006E475F" w:rsidRPr="004C156D">
        <w:rPr>
          <w:strike/>
          <w:spacing w:val="23"/>
        </w:rPr>
        <w:t xml:space="preserve"> </w:t>
      </w:r>
      <w:r w:rsidR="006E475F" w:rsidRPr="004C156D">
        <w:rPr>
          <w:strike/>
          <w:spacing w:val="-2"/>
        </w:rPr>
        <w:t>to</w:t>
      </w:r>
      <w:r w:rsidR="006E475F" w:rsidRPr="004C156D">
        <w:rPr>
          <w:strike/>
          <w:spacing w:val="24"/>
        </w:rPr>
        <w:t xml:space="preserve"> </w:t>
      </w:r>
      <w:r w:rsidR="006E475F" w:rsidRPr="004C156D">
        <w:rPr>
          <w:strike/>
          <w:spacing w:val="-3"/>
        </w:rPr>
        <w:t>garages</w:t>
      </w:r>
      <w:r w:rsidR="006E475F" w:rsidRPr="004C156D">
        <w:rPr>
          <w:strike/>
          <w:spacing w:val="24"/>
        </w:rPr>
        <w:t xml:space="preserve"> </w:t>
      </w:r>
      <w:r w:rsidR="006E475F" w:rsidRPr="004C156D">
        <w:rPr>
          <w:strike/>
          <w:spacing w:val="-2"/>
        </w:rPr>
        <w:t>or</w:t>
      </w:r>
      <w:r w:rsidR="006E475F" w:rsidRPr="004C156D">
        <w:rPr>
          <w:strike/>
          <w:spacing w:val="24"/>
        </w:rPr>
        <w:t xml:space="preserve"> </w:t>
      </w:r>
      <w:r w:rsidR="006E475F" w:rsidRPr="004C156D">
        <w:rPr>
          <w:strike/>
          <w:spacing w:val="-3"/>
        </w:rPr>
        <w:t>other</w:t>
      </w:r>
      <w:r w:rsidR="006E475F" w:rsidRPr="004C156D">
        <w:rPr>
          <w:strike/>
          <w:spacing w:val="24"/>
        </w:rPr>
        <w:t xml:space="preserve"> </w:t>
      </w:r>
      <w:r w:rsidR="006E475F" w:rsidRPr="004C156D">
        <w:rPr>
          <w:rFonts w:eastAsia="Calibri"/>
          <w:i/>
          <w:iCs/>
          <w:strike/>
        </w:rPr>
        <w:t>Dwelling</w:t>
      </w:r>
      <w:r w:rsidR="006E475F" w:rsidRPr="004C156D">
        <w:rPr>
          <w:strike/>
          <w:spacing w:val="24"/>
        </w:rPr>
        <w:t xml:space="preserve"> </w:t>
      </w:r>
      <w:r w:rsidR="006E475F" w:rsidRPr="004C156D">
        <w:rPr>
          <w:strike/>
          <w:spacing w:val="-3"/>
        </w:rPr>
        <w:t>Units</w:t>
      </w:r>
      <w:r w:rsidR="006E475F" w:rsidRPr="004C156D">
        <w:rPr>
          <w:strike/>
          <w:spacing w:val="24"/>
        </w:rPr>
        <w:t xml:space="preserve"> </w:t>
      </w:r>
      <w:r w:rsidR="006E475F" w:rsidRPr="004C156D">
        <w:rPr>
          <w:strike/>
          <w:spacing w:val="-3"/>
        </w:rPr>
        <w:t>to</w:t>
      </w:r>
      <w:r w:rsidRPr="004C156D">
        <w:rPr>
          <w:strike/>
          <w:spacing w:val="32"/>
          <w:w w:val="99"/>
        </w:rPr>
        <w:t xml:space="preserve"> </w:t>
      </w:r>
      <w:r w:rsidR="006E475F" w:rsidRPr="004C156D">
        <w:rPr>
          <w:strike/>
          <w:spacing w:val="-3"/>
        </w:rPr>
        <w:t xml:space="preserve">Compartmentalization Boundary for Attached Dwelling </w:t>
      </w:r>
      <w:proofErr w:type="spellStart"/>
      <w:r w:rsidR="006E475F" w:rsidRPr="004C156D">
        <w:rPr>
          <w:strike/>
          <w:spacing w:val="-3"/>
        </w:rPr>
        <w:t>Units</w:t>
      </w:r>
      <w:r w:rsidR="00880A04" w:rsidRPr="004C156D">
        <w:rPr>
          <w:spacing w:val="-1"/>
          <w:u w:val="single"/>
        </w:rPr>
        <w:t>the</w:t>
      </w:r>
      <w:proofErr w:type="spellEnd"/>
      <w:r w:rsidR="00880A04" w:rsidRPr="004C156D">
        <w:rPr>
          <w:spacing w:val="-1"/>
          <w:u w:val="single"/>
        </w:rPr>
        <w:t xml:space="preserve"> Energy Rating Reference Home</w:t>
      </w:r>
      <w:bookmarkEnd w:id="49"/>
    </w:p>
    <w:p w14:paraId="616A5A4D" w14:textId="0C5A14CC" w:rsidR="00EB4B4B" w:rsidRPr="004C156D" w:rsidRDefault="00EB4B4B" w:rsidP="00D1043D">
      <w:pPr>
        <w:pStyle w:val="where1"/>
        <w:ind w:left="1530"/>
        <w:rPr>
          <w:rFonts w:eastAsia="Calibri"/>
          <w:iCs/>
        </w:rPr>
      </w:pPr>
      <w:r w:rsidRPr="004C156D">
        <w:rPr>
          <w:rFonts w:eastAsia="Calibri"/>
        </w:rPr>
        <w:t xml:space="preserve">and </w:t>
      </w:r>
      <w:r w:rsidRPr="004C156D">
        <w:t>where</w:t>
      </w:r>
      <w:r w:rsidR="00716651" w:rsidRPr="004C156D">
        <w:rPr>
          <w:rFonts w:eastAsia="Calibri"/>
        </w:rPr>
        <w:t>:</w:t>
      </w:r>
    </w:p>
    <w:p w14:paraId="3D94C5B8" w14:textId="6A4D5DF8" w:rsidR="00EB4B4B" w:rsidRPr="004C156D" w:rsidRDefault="00EB4B4B" w:rsidP="00B17DF2">
      <w:pPr>
        <w:pStyle w:val="equals"/>
        <w:tabs>
          <w:tab w:val="clear" w:pos="3060"/>
          <w:tab w:val="left" w:pos="2520"/>
        </w:tabs>
        <w:ind w:left="2790"/>
        <w:rPr>
          <w:rFonts w:eastAsia="Calibri"/>
        </w:rPr>
      </w:pPr>
      <w:proofErr w:type="spellStart"/>
      <w:r w:rsidRPr="004C156D">
        <w:rPr>
          <w:rFonts w:eastAsia="Calibri"/>
          <w:i/>
        </w:rPr>
        <w:t>Qtot</w:t>
      </w:r>
      <w:proofErr w:type="spellEnd"/>
      <w:r w:rsidRPr="004C156D">
        <w:rPr>
          <w:rFonts w:eastAsia="Calibri"/>
          <w:i/>
        </w:rPr>
        <w:t xml:space="preserve"> </w:t>
      </w:r>
      <w:r w:rsidR="00654DBC" w:rsidRPr="004C156D">
        <w:rPr>
          <w:rFonts w:eastAsia="Calibri"/>
          <w:i/>
        </w:rPr>
        <w:tab/>
      </w:r>
      <w:r w:rsidRPr="004C156D">
        <w:rPr>
          <w:rFonts w:eastAsia="Calibri"/>
          <w:i/>
        </w:rPr>
        <w:t>=</w:t>
      </w:r>
      <w:r w:rsidRPr="004C156D">
        <w:rPr>
          <w:rFonts w:eastAsia="Calibri"/>
        </w:rPr>
        <w:t xml:space="preserve"> 0.03</w:t>
      </w:r>
      <w:r w:rsidR="00B96AEE" w:rsidRPr="004C156D">
        <w:rPr>
          <w:rFonts w:eastAsia="Calibri"/>
        </w:rPr>
        <w:t xml:space="preserve"> </w:t>
      </w:r>
      <w:r w:rsidRPr="004C156D">
        <w:rPr>
          <w:rFonts w:eastAsia="Calibri"/>
        </w:rPr>
        <w:t>*</w:t>
      </w:r>
      <w:r w:rsidR="00B96AEE" w:rsidRPr="004C156D">
        <w:rPr>
          <w:rFonts w:eastAsia="Calibri"/>
        </w:rPr>
        <w:t xml:space="preserve"> </w:t>
      </w:r>
      <w:r w:rsidRPr="004C156D">
        <w:rPr>
          <w:rFonts w:eastAsia="Calibri"/>
        </w:rPr>
        <w:t>CFA + 7.5</w:t>
      </w:r>
      <w:r w:rsidR="00B96AEE" w:rsidRPr="004C156D">
        <w:rPr>
          <w:rFonts w:eastAsia="Calibri"/>
        </w:rPr>
        <w:t xml:space="preserve"> </w:t>
      </w:r>
      <w:r w:rsidRPr="004C156D">
        <w:rPr>
          <w:rFonts w:eastAsia="Calibri"/>
        </w:rPr>
        <w:t>*</w:t>
      </w:r>
      <w:r w:rsidR="00B96AEE" w:rsidRPr="004C156D">
        <w:rPr>
          <w:rFonts w:eastAsia="Calibri"/>
        </w:rPr>
        <w:t xml:space="preserve"> </w:t>
      </w:r>
      <w:r w:rsidRPr="004C156D">
        <w:rPr>
          <w:rFonts w:eastAsia="Calibri"/>
        </w:rPr>
        <w:t>(Nbr+1)</w:t>
      </w:r>
    </w:p>
    <w:p w14:paraId="781E14C7" w14:textId="6A5FEC7B" w:rsidR="002F28C9" w:rsidRPr="004C156D" w:rsidRDefault="002F28C9" w:rsidP="002F2B39">
      <w:pPr>
        <w:pStyle w:val="equals"/>
        <w:rPr>
          <w:rFonts w:eastAsia="Calibri"/>
          <w:i/>
          <w:strike/>
        </w:rPr>
      </w:pPr>
    </w:p>
    <w:p w14:paraId="23601146" w14:textId="083DC8FF" w:rsidR="00EB4B4B" w:rsidRPr="004C156D" w:rsidRDefault="00EB4B4B" w:rsidP="00DE6436">
      <w:pPr>
        <w:pStyle w:val="equals"/>
        <w:tabs>
          <w:tab w:val="clear" w:pos="3060"/>
          <w:tab w:val="left" w:pos="2520"/>
        </w:tabs>
        <w:ind w:left="2790"/>
        <w:rPr>
          <w:rFonts w:eastAsia="Calibri"/>
          <w:i/>
        </w:rPr>
      </w:pPr>
      <w:proofErr w:type="spellStart"/>
      <w:r w:rsidRPr="004C156D">
        <w:rPr>
          <w:rFonts w:eastAsia="Calibri"/>
          <w:i/>
        </w:rPr>
        <w:t>Qinf</w:t>
      </w:r>
      <w:proofErr w:type="spellEnd"/>
      <w:r w:rsidR="00654DBC" w:rsidRPr="004C156D">
        <w:rPr>
          <w:rFonts w:eastAsia="Calibri"/>
          <w:i/>
        </w:rPr>
        <w:tab/>
      </w:r>
      <w:r w:rsidRPr="004C156D">
        <w:rPr>
          <w:rFonts w:eastAsia="Calibri"/>
          <w:i/>
        </w:rPr>
        <w:t>= NL</w:t>
      </w:r>
      <w:r w:rsidRPr="004C156D">
        <w:rPr>
          <w:rFonts w:eastAsia="Calibri"/>
        </w:rPr>
        <w:t xml:space="preserve"> ∙ </w:t>
      </w:r>
      <w:proofErr w:type="spellStart"/>
      <w:r w:rsidRPr="004C156D">
        <w:rPr>
          <w:rFonts w:eastAsia="Calibri"/>
        </w:rPr>
        <w:t>wsf</w:t>
      </w:r>
      <w:proofErr w:type="spellEnd"/>
      <w:r w:rsidRPr="004C156D">
        <w:rPr>
          <w:rFonts w:eastAsia="Calibri"/>
        </w:rPr>
        <w:t xml:space="preserve"> ∙ CFA</w:t>
      </w:r>
      <w:r w:rsidR="00C612BD" w:rsidRPr="004C156D">
        <w:rPr>
          <w:rFonts w:eastAsia="Calibri"/>
        </w:rPr>
        <w:t xml:space="preserve"> * </w:t>
      </w:r>
      <w:proofErr w:type="spellStart"/>
      <w:r w:rsidR="00C612BD" w:rsidRPr="004C156D">
        <w:rPr>
          <w:rFonts w:eastAsia="Calibri"/>
        </w:rPr>
        <w:t>Hr</w:t>
      </w:r>
      <w:proofErr w:type="spellEnd"/>
      <w:r w:rsidRPr="004C156D">
        <w:rPr>
          <w:rFonts w:eastAsia="Calibri"/>
        </w:rPr>
        <w:t xml:space="preserve"> /</w:t>
      </w:r>
      <w:r w:rsidR="00B17DF2" w:rsidRPr="004C156D">
        <w:rPr>
          <w:rFonts w:eastAsia="Calibri"/>
        </w:rPr>
        <w:t xml:space="preserve"> </w:t>
      </w:r>
      <w:r w:rsidR="006C6BF6" w:rsidRPr="004C156D">
        <w:rPr>
          <w:rFonts w:eastAsia="Calibri"/>
        </w:rPr>
        <w:t>60</w:t>
      </w:r>
      <w:r w:rsidRPr="004C156D">
        <w:rPr>
          <w:rFonts w:eastAsia="Calibri"/>
          <w:i/>
        </w:rPr>
        <w:t xml:space="preserve"> </w:t>
      </w:r>
    </w:p>
    <w:p w14:paraId="378371C3" w14:textId="19BDE86F" w:rsidR="00EB4B4B" w:rsidRPr="004C156D" w:rsidRDefault="00EB4B4B" w:rsidP="00D1043D">
      <w:pPr>
        <w:pStyle w:val="where1"/>
        <w:ind w:left="1530"/>
        <w:rPr>
          <w:rFonts w:eastAsia="Calibri"/>
        </w:rPr>
      </w:pPr>
      <w:r w:rsidRPr="004C156D">
        <w:rPr>
          <w:rFonts w:eastAsia="Calibri"/>
        </w:rPr>
        <w:t>where</w:t>
      </w:r>
      <w:r w:rsidR="00772430" w:rsidRPr="004C156D">
        <w:rPr>
          <w:rFonts w:eastAsia="Calibri"/>
        </w:rPr>
        <w:t>:</w:t>
      </w:r>
    </w:p>
    <w:p w14:paraId="30C603E8" w14:textId="13E3ADE8" w:rsidR="00E82C75" w:rsidRPr="004C156D" w:rsidRDefault="00EB4B4B" w:rsidP="00DE6436">
      <w:pPr>
        <w:pStyle w:val="equals"/>
        <w:tabs>
          <w:tab w:val="clear" w:pos="3060"/>
          <w:tab w:val="left" w:pos="2520"/>
        </w:tabs>
        <w:ind w:left="2790"/>
        <w:rPr>
          <w:rFonts w:eastAsia="Calibri"/>
          <w:iCs/>
        </w:rPr>
      </w:pPr>
      <w:r w:rsidRPr="004C156D">
        <w:rPr>
          <w:rFonts w:eastAsia="Calibri"/>
          <w:i/>
        </w:rPr>
        <w:t>NL</w:t>
      </w:r>
      <w:r w:rsidR="00654DBC" w:rsidRPr="004C156D">
        <w:rPr>
          <w:rFonts w:eastAsia="Calibri"/>
          <w:i/>
        </w:rPr>
        <w:tab/>
      </w:r>
      <w:r w:rsidRPr="004C156D">
        <w:rPr>
          <w:rFonts w:eastAsia="Calibri"/>
          <w:i/>
        </w:rPr>
        <w:t>= normalized</w:t>
      </w:r>
      <w:r w:rsidRPr="004C156D">
        <w:rPr>
          <w:rFonts w:eastAsia="Calibri"/>
        </w:rPr>
        <w:t xml:space="preserve"> leakage</w:t>
      </w:r>
      <w:r w:rsidRPr="004C156D">
        <w:rPr>
          <w:rFonts w:eastAsia="Calibri"/>
          <w:i/>
        </w:rPr>
        <w:t xml:space="preserve"> </w:t>
      </w:r>
      <w:r w:rsidRPr="004C156D">
        <w:rPr>
          <w:rFonts w:eastAsia="Calibri"/>
          <w:i/>
          <w:strike/>
        </w:rPr>
        <w:t xml:space="preserve">= </w:t>
      </w:r>
      <w:r w:rsidRPr="004C156D">
        <w:rPr>
          <w:rFonts w:eastAsia="Calibri"/>
          <w:strike/>
        </w:rPr>
        <w:t xml:space="preserve">1000 </w:t>
      </w:r>
      <w:r w:rsidR="00353C5D" w:rsidRPr="004C156D">
        <w:rPr>
          <w:rFonts w:eastAsia="Calibri"/>
          <w:strike/>
        </w:rPr>
        <w:t>*</w:t>
      </w:r>
      <w:r w:rsidR="00B17DF2" w:rsidRPr="004C156D">
        <w:rPr>
          <w:rFonts w:eastAsia="Calibri"/>
          <w:strike/>
        </w:rPr>
        <w:t xml:space="preserve"> </w:t>
      </w:r>
      <w:r w:rsidR="00353C5D" w:rsidRPr="004C156D">
        <w:rPr>
          <w:rFonts w:eastAsia="Calibri"/>
          <w:strike/>
        </w:rPr>
        <w:t>SLA</w:t>
      </w:r>
      <w:r w:rsidRPr="004C156D">
        <w:rPr>
          <w:rFonts w:eastAsia="Calibri"/>
          <w:strike/>
        </w:rPr>
        <w:t xml:space="preserve"> </w:t>
      </w:r>
      <w:r w:rsidR="00353C5D" w:rsidRPr="004C156D">
        <w:rPr>
          <w:rFonts w:eastAsia="Calibri"/>
          <w:strike/>
        </w:rPr>
        <w:t>* (</w:t>
      </w:r>
      <w:r w:rsidRPr="004C156D">
        <w:rPr>
          <w:rFonts w:eastAsia="Calibri"/>
          <w:strike/>
        </w:rPr>
        <w:t xml:space="preserve">H / </w:t>
      </w:r>
      <w:proofErr w:type="spellStart"/>
      <w:r w:rsidRPr="004C156D">
        <w:rPr>
          <w:rFonts w:eastAsia="Calibri"/>
          <w:strike/>
        </w:rPr>
        <w:t>Hr</w:t>
      </w:r>
      <w:proofErr w:type="spellEnd"/>
      <w:r w:rsidR="007B4AD1" w:rsidRPr="004C156D">
        <w:rPr>
          <w:rFonts w:eastAsia="Calibri"/>
          <w:strike/>
        </w:rPr>
        <w:t>)</w:t>
      </w:r>
      <w:r w:rsidR="00BE587D" w:rsidRPr="004C156D">
        <w:rPr>
          <w:rFonts w:eastAsia="Calibri"/>
          <w:strike/>
          <w:vertAlign w:val="superscript"/>
        </w:rPr>
        <w:t>0.4</w:t>
      </w:r>
      <w:r w:rsidR="00BB37D6" w:rsidRPr="004C156D">
        <w:rPr>
          <w:rFonts w:eastAsia="Calibri"/>
          <w:iCs/>
          <w:u w:val="single"/>
        </w:rPr>
        <w:t>as defined in Normative Appendix C2.2</w:t>
      </w:r>
      <w:r w:rsidR="00865680" w:rsidRPr="004C156D">
        <w:rPr>
          <w:rFonts w:eastAsia="Calibri"/>
          <w:iCs/>
          <w:u w:val="single"/>
        </w:rPr>
        <w:t>, Equation 1</w:t>
      </w:r>
      <w:r w:rsidR="00E6400F" w:rsidRPr="004C156D">
        <w:rPr>
          <w:rFonts w:eastAsia="Calibri"/>
          <w:iCs/>
          <w:u w:val="single"/>
        </w:rPr>
        <w:t>.</w:t>
      </w:r>
    </w:p>
    <w:p w14:paraId="332CD29C" w14:textId="4150187A" w:rsidR="00E82C75" w:rsidRPr="004C156D" w:rsidRDefault="00353C5D" w:rsidP="00DE6436">
      <w:pPr>
        <w:pStyle w:val="equals"/>
        <w:tabs>
          <w:tab w:val="clear" w:pos="3060"/>
          <w:tab w:val="left" w:pos="2520"/>
        </w:tabs>
        <w:ind w:left="2790"/>
        <w:rPr>
          <w:rFonts w:eastAsia="Calibri"/>
          <w:i/>
        </w:rPr>
      </w:pPr>
      <w:proofErr w:type="spellStart"/>
      <w:r w:rsidRPr="004C156D">
        <w:rPr>
          <w:rFonts w:eastAsia="Calibri"/>
          <w:i/>
        </w:rPr>
        <w:t>wsf</w:t>
      </w:r>
      <w:proofErr w:type="spellEnd"/>
      <w:r w:rsidR="008C6798" w:rsidRPr="004C156D">
        <w:rPr>
          <w:rFonts w:eastAsia="Calibri"/>
          <w:i/>
        </w:rPr>
        <w:tab/>
      </w:r>
      <w:r w:rsidR="00EB4B4B" w:rsidRPr="004C156D">
        <w:rPr>
          <w:rFonts w:eastAsia="Calibri"/>
          <w:i/>
        </w:rPr>
        <w:t xml:space="preserve">= </w:t>
      </w:r>
      <w:r w:rsidR="00EB4B4B" w:rsidRPr="004C156D">
        <w:rPr>
          <w:rFonts w:eastAsia="Calibri"/>
        </w:rPr>
        <w:t>weather and shielding factor from ASHRAE Standard 62.2</w:t>
      </w:r>
      <w:r w:rsidR="002F28C9" w:rsidRPr="004C156D">
        <w:rPr>
          <w:rFonts w:eastAsia="Calibri"/>
        </w:rPr>
        <w:t xml:space="preserve">, </w:t>
      </w:r>
      <w:r w:rsidR="00AE7185" w:rsidRPr="004C156D">
        <w:rPr>
          <w:rFonts w:eastAsia="Calibri"/>
        </w:rPr>
        <w:t>Normative Appendix B</w:t>
      </w:r>
    </w:p>
    <w:p w14:paraId="1112F183" w14:textId="4C89624C" w:rsidR="00E82C75" w:rsidRPr="004C156D" w:rsidRDefault="00EB4B4B" w:rsidP="00DE6436">
      <w:pPr>
        <w:pStyle w:val="equals"/>
        <w:tabs>
          <w:tab w:val="clear" w:pos="3060"/>
          <w:tab w:val="left" w:pos="2520"/>
        </w:tabs>
        <w:ind w:left="2790"/>
        <w:rPr>
          <w:rFonts w:eastAsia="Calibri"/>
          <w:i/>
          <w:strike/>
        </w:rPr>
      </w:pPr>
      <w:r w:rsidRPr="004C156D">
        <w:rPr>
          <w:rFonts w:eastAsia="Calibri"/>
          <w:i/>
          <w:strike/>
        </w:rPr>
        <w:t>H</w:t>
      </w:r>
      <w:r w:rsidR="00654DBC" w:rsidRPr="004C156D">
        <w:rPr>
          <w:rFonts w:eastAsia="Calibri"/>
          <w:i/>
          <w:strike/>
        </w:rPr>
        <w:tab/>
      </w:r>
      <w:r w:rsidRPr="004C156D">
        <w:rPr>
          <w:rFonts w:eastAsia="Calibri"/>
          <w:i/>
          <w:strike/>
        </w:rPr>
        <w:t xml:space="preserve">= </w:t>
      </w:r>
      <w:r w:rsidRPr="004C156D">
        <w:rPr>
          <w:rFonts w:eastAsia="Calibri"/>
          <w:strike/>
        </w:rPr>
        <w:t>vertical distance between lowest and highest above-grade points within the pressure boundary (ft.)</w:t>
      </w:r>
    </w:p>
    <w:p w14:paraId="687B86FE" w14:textId="7510325F" w:rsidR="00EB4B4B" w:rsidRPr="004C156D" w:rsidRDefault="00EB4B4B" w:rsidP="00DE6436">
      <w:pPr>
        <w:pStyle w:val="equals"/>
        <w:tabs>
          <w:tab w:val="clear" w:pos="3060"/>
          <w:tab w:val="left" w:pos="2520"/>
        </w:tabs>
        <w:ind w:left="2790"/>
        <w:rPr>
          <w:rFonts w:eastAsia="Calibri"/>
          <w:i/>
        </w:rPr>
      </w:pPr>
      <w:proofErr w:type="spellStart"/>
      <w:r w:rsidRPr="004C156D">
        <w:rPr>
          <w:rFonts w:eastAsia="Calibri"/>
          <w:i/>
        </w:rPr>
        <w:t>Hr</w:t>
      </w:r>
      <w:proofErr w:type="spellEnd"/>
      <w:r w:rsidR="00F90268" w:rsidRPr="004C156D">
        <w:rPr>
          <w:rFonts w:eastAsia="Calibri"/>
          <w:i/>
        </w:rPr>
        <w:tab/>
      </w:r>
      <w:r w:rsidRPr="004C156D">
        <w:rPr>
          <w:rFonts w:eastAsia="Calibri"/>
          <w:i/>
        </w:rPr>
        <w:t xml:space="preserve">= </w:t>
      </w:r>
      <w:r w:rsidRPr="004C156D">
        <w:rPr>
          <w:rFonts w:eastAsia="Calibri"/>
        </w:rPr>
        <w:t>reference height = 8.202 ft</w:t>
      </w:r>
      <w:r w:rsidRPr="004C156D">
        <w:rPr>
          <w:rFonts w:eastAsia="Calibri"/>
          <w:i/>
        </w:rPr>
        <w:t>.</w:t>
      </w:r>
    </w:p>
    <w:p w14:paraId="0D8D1561" w14:textId="77777777" w:rsidR="006E475F" w:rsidRPr="004C156D" w:rsidRDefault="006E475F" w:rsidP="00B8435E">
      <w:pPr>
        <w:pStyle w:val="Body"/>
        <w:widowControl w:val="0"/>
        <w:spacing w:before="120"/>
        <w:ind w:left="720"/>
        <w:rPr>
          <w:color w:val="auto"/>
          <w:u w:val="single"/>
        </w:rPr>
      </w:pPr>
    </w:p>
    <w:p w14:paraId="7879DE4F" w14:textId="2251FD1C" w:rsidR="008F1DC1" w:rsidRPr="004C156D" w:rsidRDefault="00B96AEE" w:rsidP="00231148">
      <w:pPr>
        <w:ind w:left="630" w:hanging="270"/>
      </w:pPr>
      <w:r w:rsidRPr="004C156D">
        <w:t>h.</w:t>
      </w:r>
      <w:r w:rsidR="008F1DC1" w:rsidRPr="004C156D">
        <w:t xml:space="preserve"> </w:t>
      </w:r>
      <w:r w:rsidR="008F1DC1" w:rsidRPr="004C156D">
        <w:rPr>
          <w:strike/>
        </w:rPr>
        <w:t xml:space="preserve">Either </w:t>
      </w:r>
      <w:proofErr w:type="spellStart"/>
      <w:r w:rsidR="008F1DC1" w:rsidRPr="004C156D">
        <w:rPr>
          <w:strike/>
          <w:u w:val="single"/>
        </w:rPr>
        <w:t>h</w:t>
      </w:r>
      <w:r w:rsidR="00706332" w:rsidRPr="004C156D">
        <w:rPr>
          <w:u w:val="single"/>
        </w:rPr>
        <w:t>H</w:t>
      </w:r>
      <w:r w:rsidR="008F1DC1" w:rsidRPr="004C156D">
        <w:t>ourly</w:t>
      </w:r>
      <w:proofErr w:type="spellEnd"/>
      <w:r w:rsidR="008F1DC1" w:rsidRPr="004C156D">
        <w:t xml:space="preserve"> calculations using </w:t>
      </w:r>
      <w:r w:rsidR="00706332" w:rsidRPr="004C156D">
        <w:rPr>
          <w:u w:val="single"/>
        </w:rPr>
        <w:t xml:space="preserve">either </w:t>
      </w:r>
      <w:r w:rsidR="008F1DC1" w:rsidRPr="004C156D">
        <w:t xml:space="preserve">the </w:t>
      </w:r>
      <w:r w:rsidR="003D1693" w:rsidRPr="004C156D">
        <w:t xml:space="preserve">following equation </w:t>
      </w:r>
      <w:r w:rsidR="008F1DC1" w:rsidRPr="004C156D">
        <w:t xml:space="preserve">or calculations yielding equivalent results shall be used to determine the </w:t>
      </w:r>
      <w:r w:rsidR="00DF2EC3" w:rsidRPr="004C156D">
        <w:t>combined air exchange rate</w:t>
      </w:r>
      <w:r w:rsidR="008F1DC1" w:rsidRPr="004C156D">
        <w:t xml:space="preserve"> resulting from </w:t>
      </w:r>
      <w:r w:rsidR="0099542F" w:rsidRPr="004C156D">
        <w:t>I</w:t>
      </w:r>
      <w:r w:rsidR="008F1DC1" w:rsidRPr="004C156D">
        <w:t xml:space="preserve">nfiltration in combination with </w:t>
      </w:r>
      <w:r w:rsidR="005640E6" w:rsidRPr="004C156D">
        <w:t>Dwelling</w:t>
      </w:r>
      <w:r w:rsidR="006964A5" w:rsidRPr="004C156D">
        <w:t xml:space="preserve"> </w:t>
      </w:r>
      <w:r w:rsidR="005640E6" w:rsidRPr="004C156D">
        <w:t>Unit</w:t>
      </w:r>
      <w:r w:rsidR="008F1DC1" w:rsidRPr="004C156D">
        <w:t xml:space="preserve"> Mechanical Ventilation </w:t>
      </w:r>
      <w:r w:rsidR="00517B95" w:rsidRPr="004C156D">
        <w:t>S</w:t>
      </w:r>
      <w:r w:rsidR="008F1DC1" w:rsidRPr="004C156D">
        <w:t>ystems.</w:t>
      </w:r>
    </w:p>
    <w:p w14:paraId="0AC9FD5D" w14:textId="77777777" w:rsidR="00C7007C" w:rsidRPr="004C156D" w:rsidRDefault="00C7007C" w:rsidP="00671660">
      <w:pPr>
        <w:ind w:left="720" w:hanging="90"/>
        <w:rPr>
          <w:b/>
          <w:i/>
          <w:iCs/>
          <w:spacing w:val="-1"/>
        </w:rPr>
      </w:pPr>
    </w:p>
    <w:p w14:paraId="7652861D" w14:textId="61851822" w:rsidR="00CC150A" w:rsidRPr="00F0324C" w:rsidRDefault="00CC150A" w:rsidP="00671660">
      <w:pPr>
        <w:ind w:left="720" w:hanging="90"/>
        <w:rPr>
          <w:bCs/>
          <w:i/>
        </w:rPr>
      </w:pPr>
      <w:r w:rsidRPr="00F0324C">
        <w:rPr>
          <w:bCs/>
          <w:i/>
          <w:iCs/>
          <w:spacing w:val="-1"/>
        </w:rPr>
        <w:t>Q</w:t>
      </w:r>
      <w:proofErr w:type="spellStart"/>
      <w:r w:rsidRPr="00F0324C">
        <w:rPr>
          <w:bCs/>
          <w:i/>
          <w:iCs/>
          <w:spacing w:val="-1"/>
          <w:position w:val="-5"/>
        </w:rPr>
        <w:t>i</w:t>
      </w:r>
      <w:proofErr w:type="spellEnd"/>
      <w:r w:rsidR="00A80385" w:rsidRPr="00F0324C">
        <w:rPr>
          <w:bCs/>
          <w:i/>
        </w:rPr>
        <w:t xml:space="preserve"> </w:t>
      </w:r>
      <w:r w:rsidRPr="00F0324C">
        <w:rPr>
          <w:bCs/>
          <w:i/>
        </w:rPr>
        <w:t xml:space="preserve">= </w:t>
      </w:r>
      <w:proofErr w:type="gramStart"/>
      <w:r w:rsidRPr="00F0324C">
        <w:rPr>
          <w:bCs/>
          <w:i/>
          <w:iCs/>
          <w:spacing w:val="-1"/>
        </w:rPr>
        <w:t>Q</w:t>
      </w:r>
      <w:proofErr w:type="spellStart"/>
      <w:r w:rsidRPr="00F0324C">
        <w:rPr>
          <w:bCs/>
          <w:i/>
          <w:iCs/>
          <w:spacing w:val="-1"/>
          <w:position w:val="-5"/>
        </w:rPr>
        <w:t>fan,</w:t>
      </w:r>
      <w:r w:rsidR="00803713" w:rsidRPr="00F0324C">
        <w:rPr>
          <w:bCs/>
          <w:i/>
          <w:iCs/>
          <w:spacing w:val="-1"/>
          <w:position w:val="-5"/>
        </w:rPr>
        <w:t>max</w:t>
      </w:r>
      <w:proofErr w:type="gramEnd"/>
      <w:r w:rsidRPr="00F0324C">
        <w:rPr>
          <w:bCs/>
          <w:i/>
          <w:iCs/>
          <w:spacing w:val="-1"/>
          <w:position w:val="-5"/>
        </w:rPr>
        <w:t>,i</w:t>
      </w:r>
      <w:proofErr w:type="spellEnd"/>
      <w:r w:rsidRPr="00F0324C">
        <w:rPr>
          <w:bCs/>
          <w:i/>
        </w:rPr>
        <w:t xml:space="preserve"> + </w:t>
      </w:r>
      <w:r w:rsidR="00C7007C" w:rsidRPr="00F0324C">
        <w:rPr>
          <w:bCs/>
          <w:i/>
        </w:rPr>
        <w:t>(</w:t>
      </w:r>
      <w:proofErr w:type="spellStart"/>
      <w:r w:rsidR="005D3880" w:rsidRPr="00F0324C">
        <w:rPr>
          <w:bCs/>
          <w:i/>
          <w:iCs/>
        </w:rPr>
        <w:t>Qinf,i</w:t>
      </w:r>
      <w:proofErr w:type="spellEnd"/>
      <w:r w:rsidR="00C7007C" w:rsidRPr="00F0324C">
        <w:rPr>
          <w:bCs/>
          <w:i/>
        </w:rPr>
        <w:t>)</w:t>
      </w:r>
      <w:r w:rsidR="005D3880" w:rsidRPr="00F0324C">
        <w:rPr>
          <w:bCs/>
          <w:i/>
          <w:vertAlign w:val="superscript"/>
        </w:rPr>
        <w:t>2</w:t>
      </w:r>
      <w:r w:rsidR="009467F1" w:rsidRPr="00F0324C">
        <w:rPr>
          <w:bCs/>
          <w:i/>
          <w:vertAlign w:val="superscript"/>
        </w:rPr>
        <w:t xml:space="preserve"> </w:t>
      </w:r>
      <w:r w:rsidR="009467F1" w:rsidRPr="00F0324C">
        <w:rPr>
          <w:bCs/>
          <w:i/>
        </w:rPr>
        <w:t xml:space="preserve">/ </w:t>
      </w:r>
      <w:r w:rsidR="00400639" w:rsidRPr="00F0324C">
        <w:rPr>
          <w:bCs/>
          <w:i/>
          <w:iCs/>
          <w:spacing w:val="-1"/>
        </w:rPr>
        <w:t>(</w:t>
      </w:r>
      <w:proofErr w:type="spellStart"/>
      <w:r w:rsidR="00400639" w:rsidRPr="00F0324C">
        <w:rPr>
          <w:bCs/>
          <w:i/>
          <w:iCs/>
          <w:spacing w:val="-1"/>
        </w:rPr>
        <w:t>Qinf,</w:t>
      </w:r>
      <w:r w:rsidR="00400639" w:rsidRPr="00F0324C">
        <w:rPr>
          <w:bCs/>
          <w:i/>
          <w:iCs/>
          <w:strike/>
          <w:spacing w:val="-1"/>
        </w:rPr>
        <w:t>I</w:t>
      </w:r>
      <w:proofErr w:type="spellEnd"/>
      <w:r w:rsidR="00400639" w:rsidRPr="00F0324C">
        <w:rPr>
          <w:bCs/>
          <w:i/>
          <w:iCs/>
          <w:strike/>
          <w:spacing w:val="-1"/>
        </w:rPr>
        <w:t xml:space="preserve"> </w:t>
      </w:r>
      <w:proofErr w:type="spellStart"/>
      <w:r w:rsidR="00A517E5" w:rsidRPr="00F0324C">
        <w:rPr>
          <w:bCs/>
          <w:i/>
          <w:iCs/>
          <w:spacing w:val="-1"/>
          <w:u w:val="single"/>
        </w:rPr>
        <w:t>i</w:t>
      </w:r>
      <w:proofErr w:type="spellEnd"/>
      <w:r w:rsidR="00A517E5" w:rsidRPr="00F0324C">
        <w:rPr>
          <w:bCs/>
          <w:i/>
          <w:iCs/>
          <w:spacing w:val="-1"/>
          <w:u w:val="single"/>
        </w:rPr>
        <w:t xml:space="preserve"> </w:t>
      </w:r>
      <w:r w:rsidR="00400639" w:rsidRPr="00F0324C">
        <w:rPr>
          <w:bCs/>
          <w:i/>
          <w:iCs/>
          <w:spacing w:val="-1"/>
        </w:rPr>
        <w:t xml:space="preserve">+ </w:t>
      </w:r>
      <w:proofErr w:type="spellStart"/>
      <w:r w:rsidR="00400639" w:rsidRPr="00F0324C">
        <w:rPr>
          <w:bCs/>
          <w:i/>
          <w:iCs/>
          <w:spacing w:val="-1"/>
        </w:rPr>
        <w:t>Qimb,i</w:t>
      </w:r>
      <w:proofErr w:type="spellEnd"/>
      <w:r w:rsidR="00400639" w:rsidRPr="00F0324C">
        <w:rPr>
          <w:bCs/>
          <w:i/>
          <w:iCs/>
          <w:spacing w:val="-1"/>
        </w:rPr>
        <w:t>)</w:t>
      </w:r>
    </w:p>
    <w:p w14:paraId="56F00BD5" w14:textId="1FC5DE9D" w:rsidR="00CC150A" w:rsidRPr="004C156D" w:rsidRDefault="00CC150A" w:rsidP="00DE6436">
      <w:pPr>
        <w:pStyle w:val="where1"/>
        <w:ind w:left="1530"/>
      </w:pPr>
      <w:r w:rsidRPr="004C156D">
        <w:rPr>
          <w:rFonts w:eastAsia="Calibri"/>
        </w:rPr>
        <w:t>where</w:t>
      </w:r>
      <w:r w:rsidR="00772430" w:rsidRPr="004C156D">
        <w:t>:</w:t>
      </w:r>
    </w:p>
    <w:p w14:paraId="4673BCF8" w14:textId="0FE8190B" w:rsidR="00CC150A" w:rsidRPr="004C156D" w:rsidRDefault="00CC150A" w:rsidP="00DE6436">
      <w:pPr>
        <w:pStyle w:val="equals"/>
        <w:tabs>
          <w:tab w:val="clear" w:pos="3060"/>
          <w:tab w:val="left" w:pos="2520"/>
        </w:tabs>
        <w:ind w:left="2790"/>
        <w:rPr>
          <w:i/>
          <w:spacing w:val="-1"/>
        </w:rPr>
      </w:pPr>
      <w:r w:rsidRPr="004C156D">
        <w:rPr>
          <w:i/>
          <w:spacing w:val="-1"/>
        </w:rPr>
        <w:t>Q</w:t>
      </w:r>
      <w:proofErr w:type="spellStart"/>
      <w:r w:rsidRPr="004C156D">
        <w:rPr>
          <w:i/>
          <w:spacing w:val="-1"/>
          <w:position w:val="-5"/>
        </w:rPr>
        <w:t>i</w:t>
      </w:r>
      <w:proofErr w:type="spellEnd"/>
      <w:r w:rsidR="00231148" w:rsidRPr="004C156D">
        <w:tab/>
      </w:r>
      <w:r w:rsidR="00231148" w:rsidRPr="004C156D">
        <w:tab/>
      </w:r>
      <w:r w:rsidRPr="004C156D">
        <w:t xml:space="preserve">= </w:t>
      </w:r>
      <w:r w:rsidRPr="004C156D">
        <w:rPr>
          <w:rFonts w:eastAsia="Calibri"/>
          <w:i/>
        </w:rPr>
        <w:t>combined</w:t>
      </w:r>
      <w:r w:rsidRPr="004C156D">
        <w:t xml:space="preserve"> air exchange rate for the time step ‘</w:t>
      </w:r>
      <w:proofErr w:type="spellStart"/>
      <w:r w:rsidRPr="004C156D">
        <w:t>i</w:t>
      </w:r>
      <w:proofErr w:type="spellEnd"/>
      <w:r w:rsidRPr="004C156D">
        <w:t xml:space="preserve">’, cfm </w:t>
      </w:r>
    </w:p>
    <w:p w14:paraId="378CD47C" w14:textId="1289D5FF" w:rsidR="00223A8E" w:rsidRPr="004C156D" w:rsidRDefault="00223A8E" w:rsidP="00223A8E">
      <w:pPr>
        <w:pStyle w:val="equals"/>
        <w:tabs>
          <w:tab w:val="clear" w:pos="3060"/>
          <w:tab w:val="left" w:pos="2700"/>
        </w:tabs>
        <w:ind w:left="2970" w:hanging="1440"/>
      </w:pPr>
      <w:proofErr w:type="spellStart"/>
      <w:proofErr w:type="gramStart"/>
      <w:r w:rsidRPr="004C156D">
        <w:rPr>
          <w:rFonts w:eastAsia="Calibri"/>
          <w:i/>
        </w:rPr>
        <w:t>Qfan</w:t>
      </w:r>
      <w:r w:rsidR="0035490E" w:rsidRPr="004C156D">
        <w:rPr>
          <w:rFonts w:eastAsia="Calibri"/>
          <w:i/>
        </w:rPr>
        <w:t>,</w:t>
      </w:r>
      <w:r w:rsidRPr="004C156D">
        <w:rPr>
          <w:rFonts w:eastAsia="Calibri"/>
          <w:i/>
        </w:rPr>
        <w:t>max</w:t>
      </w:r>
      <w:proofErr w:type="gramEnd"/>
      <w:r w:rsidR="0035490E" w:rsidRPr="004C156D">
        <w:rPr>
          <w:rFonts w:eastAsia="Calibri"/>
          <w:i/>
        </w:rPr>
        <w:t>,i</w:t>
      </w:r>
      <w:proofErr w:type="spellEnd"/>
      <w:r w:rsidRPr="004C156D">
        <w:rPr>
          <w:rFonts w:eastAsia="Calibri"/>
        </w:rPr>
        <w:tab/>
      </w:r>
      <w:r w:rsidRPr="004C156D">
        <w:rPr>
          <w:rFonts w:eastAsia="Calibri"/>
          <w:i/>
        </w:rPr>
        <w:t xml:space="preserve"> =</w:t>
      </w:r>
      <w:r w:rsidRPr="004C156D">
        <w:rPr>
          <w:rFonts w:eastAsia="Calibri"/>
        </w:rPr>
        <w:tab/>
      </w:r>
      <w:r w:rsidRPr="004C156D">
        <w:rPr>
          <w:rFonts w:eastAsia="Calibri"/>
          <w:i/>
        </w:rPr>
        <w:t>MAX(</w:t>
      </w:r>
      <w:proofErr w:type="spellStart"/>
      <w:r w:rsidRPr="004C156D">
        <w:rPr>
          <w:rFonts w:eastAsia="Calibri"/>
          <w:i/>
        </w:rPr>
        <w:t>Qfan_sup</w:t>
      </w:r>
      <w:r w:rsidR="00706332" w:rsidRPr="004C156D">
        <w:rPr>
          <w:rFonts w:eastAsia="Calibri"/>
          <w:i/>
          <w:u w:val="single"/>
        </w:rPr>
        <w:t>,i</w:t>
      </w:r>
      <w:proofErr w:type="spellEnd"/>
      <w:r w:rsidRPr="004C156D">
        <w:rPr>
          <w:rFonts w:eastAsia="Calibri"/>
          <w:i/>
        </w:rPr>
        <w:t xml:space="preserve">, </w:t>
      </w:r>
      <w:proofErr w:type="spellStart"/>
      <w:r w:rsidRPr="004C156D">
        <w:rPr>
          <w:rFonts w:eastAsia="Calibri"/>
          <w:i/>
        </w:rPr>
        <w:t>Qfan_exh</w:t>
      </w:r>
      <w:r w:rsidR="00706332" w:rsidRPr="004C156D">
        <w:rPr>
          <w:rFonts w:eastAsia="Calibri"/>
          <w:i/>
          <w:u w:val="single"/>
        </w:rPr>
        <w:t>,i</w:t>
      </w:r>
      <w:proofErr w:type="spellEnd"/>
      <w:r w:rsidRPr="004C156D">
        <w:rPr>
          <w:rFonts w:eastAsia="Calibri"/>
          <w:i/>
        </w:rPr>
        <w:t xml:space="preserve">) </w:t>
      </w:r>
      <w:r w:rsidRPr="004C156D">
        <w:t>for the time step ‘</w:t>
      </w:r>
      <w:proofErr w:type="spellStart"/>
      <w:r w:rsidRPr="004C156D">
        <w:t>i</w:t>
      </w:r>
      <w:proofErr w:type="spellEnd"/>
      <w:r w:rsidRPr="004C156D">
        <w:t>’, cfm</w:t>
      </w:r>
    </w:p>
    <w:p w14:paraId="3D993C6A" w14:textId="51829E15" w:rsidR="0035490E" w:rsidRPr="004C156D" w:rsidRDefault="00D9060D" w:rsidP="0035490E">
      <w:pPr>
        <w:pStyle w:val="equals"/>
        <w:tabs>
          <w:tab w:val="clear" w:pos="3060"/>
          <w:tab w:val="left" w:pos="2520"/>
          <w:tab w:val="left" w:pos="7890"/>
        </w:tabs>
        <w:ind w:left="2790"/>
        <w:rPr>
          <w:rFonts w:eastAsia="Calibri"/>
        </w:rPr>
      </w:pPr>
      <w:proofErr w:type="spellStart"/>
      <w:proofErr w:type="gramStart"/>
      <w:r w:rsidRPr="004C156D">
        <w:rPr>
          <w:rFonts w:eastAsia="Calibri"/>
          <w:i/>
        </w:rPr>
        <w:t>Qfan</w:t>
      </w:r>
      <w:r w:rsidR="0035490E" w:rsidRPr="004C156D">
        <w:rPr>
          <w:rFonts w:eastAsia="Calibri"/>
          <w:i/>
        </w:rPr>
        <w:t>,</w:t>
      </w:r>
      <w:r w:rsidRPr="004C156D">
        <w:rPr>
          <w:rFonts w:eastAsia="Calibri"/>
          <w:i/>
        </w:rPr>
        <w:t>sup</w:t>
      </w:r>
      <w:proofErr w:type="gramEnd"/>
      <w:r w:rsidR="0035490E" w:rsidRPr="004C156D">
        <w:rPr>
          <w:rFonts w:eastAsia="Calibri"/>
          <w:i/>
        </w:rPr>
        <w:t>,i</w:t>
      </w:r>
      <w:proofErr w:type="spellEnd"/>
      <w:r w:rsidRPr="004C156D">
        <w:rPr>
          <w:rFonts w:eastAsia="Calibri"/>
          <w:i/>
        </w:rPr>
        <w:tab/>
        <w:t xml:space="preserve">= </w:t>
      </w:r>
      <w:r w:rsidRPr="004C156D">
        <w:rPr>
          <w:rFonts w:eastAsia="Calibri"/>
        </w:rPr>
        <w:t>supply fan air flow rate for time step ‘</w:t>
      </w:r>
      <w:proofErr w:type="spellStart"/>
      <w:r w:rsidRPr="004C156D">
        <w:rPr>
          <w:rFonts w:eastAsia="Calibri"/>
        </w:rPr>
        <w:t>i</w:t>
      </w:r>
      <w:proofErr w:type="spellEnd"/>
      <w:r w:rsidRPr="004C156D">
        <w:rPr>
          <w:rFonts w:eastAsia="Calibri"/>
        </w:rPr>
        <w:t>’, cfm</w:t>
      </w:r>
    </w:p>
    <w:p w14:paraId="3B73F6CD" w14:textId="4F8EC4C5" w:rsidR="00FD56DD" w:rsidRPr="004C156D" w:rsidRDefault="0035490E" w:rsidP="005141DE">
      <w:pPr>
        <w:pStyle w:val="equals"/>
        <w:tabs>
          <w:tab w:val="clear" w:pos="3060"/>
          <w:tab w:val="left" w:pos="2520"/>
          <w:tab w:val="left" w:pos="7890"/>
        </w:tabs>
        <w:ind w:left="2790"/>
        <w:rPr>
          <w:i/>
          <w:spacing w:val="-1"/>
        </w:rPr>
      </w:pPr>
      <w:proofErr w:type="spellStart"/>
      <w:proofErr w:type="gramStart"/>
      <w:r w:rsidRPr="004C156D">
        <w:rPr>
          <w:rFonts w:eastAsia="Calibri"/>
          <w:i/>
        </w:rPr>
        <w:t>Qfan,exh</w:t>
      </w:r>
      <w:proofErr w:type="gramEnd"/>
      <w:r w:rsidRPr="004C156D">
        <w:rPr>
          <w:rFonts w:eastAsia="Calibri"/>
          <w:i/>
        </w:rPr>
        <w:t>,i</w:t>
      </w:r>
      <w:proofErr w:type="spellEnd"/>
      <w:r w:rsidRPr="004C156D">
        <w:rPr>
          <w:rFonts w:eastAsia="Calibri"/>
          <w:i/>
        </w:rPr>
        <w:tab/>
        <w:t xml:space="preserve">= </w:t>
      </w:r>
      <w:r w:rsidRPr="004C156D">
        <w:rPr>
          <w:rFonts w:eastAsia="Calibri"/>
        </w:rPr>
        <w:t>exhaust fan air flow rate for time step ‘</w:t>
      </w:r>
      <w:proofErr w:type="spellStart"/>
      <w:r w:rsidRPr="004C156D">
        <w:rPr>
          <w:rFonts w:eastAsia="Calibri"/>
        </w:rPr>
        <w:t>i</w:t>
      </w:r>
      <w:proofErr w:type="spellEnd"/>
      <w:r w:rsidRPr="004C156D">
        <w:rPr>
          <w:rFonts w:eastAsia="Calibri"/>
        </w:rPr>
        <w:t>’, cfm</w:t>
      </w:r>
      <w:r w:rsidRPr="004C156D">
        <w:rPr>
          <w:rFonts w:eastAsia="Calibri"/>
        </w:rPr>
        <w:tab/>
      </w:r>
    </w:p>
    <w:p w14:paraId="61255F4B" w14:textId="17E02723" w:rsidR="00CC150A" w:rsidRPr="004C156D" w:rsidRDefault="00CC150A" w:rsidP="00DE6436">
      <w:pPr>
        <w:pStyle w:val="equals"/>
        <w:tabs>
          <w:tab w:val="clear" w:pos="3060"/>
          <w:tab w:val="left" w:pos="2520"/>
        </w:tabs>
        <w:ind w:left="2790"/>
        <w:rPr>
          <w:rFonts w:eastAsia="Calibri"/>
        </w:rPr>
      </w:pPr>
      <w:proofErr w:type="gramStart"/>
      <w:r w:rsidRPr="004C156D">
        <w:rPr>
          <w:i/>
          <w:spacing w:val="-1"/>
        </w:rPr>
        <w:t>Q</w:t>
      </w:r>
      <w:proofErr w:type="spellStart"/>
      <w:r w:rsidRPr="004C156D">
        <w:rPr>
          <w:i/>
          <w:spacing w:val="-1"/>
          <w:position w:val="-5"/>
        </w:rPr>
        <w:t>inf,i</w:t>
      </w:r>
      <w:proofErr w:type="spellEnd"/>
      <w:proofErr w:type="gramEnd"/>
      <w:r w:rsidR="00231148" w:rsidRPr="004C156D">
        <w:tab/>
      </w:r>
      <w:r w:rsidR="00231148" w:rsidRPr="004C156D">
        <w:tab/>
      </w:r>
      <w:r w:rsidRPr="004C156D">
        <w:t>= Infiltration airflow rate</w:t>
      </w:r>
      <w:r w:rsidRPr="004C156D">
        <w:rPr>
          <w:rFonts w:eastAsia="Calibri"/>
        </w:rPr>
        <w:t xml:space="preserve"> for the time step ‘</w:t>
      </w:r>
      <w:proofErr w:type="spellStart"/>
      <w:r w:rsidRPr="004C156D">
        <w:rPr>
          <w:rFonts w:eastAsia="Calibri"/>
        </w:rPr>
        <w:t>i</w:t>
      </w:r>
      <w:proofErr w:type="spellEnd"/>
      <w:r w:rsidRPr="004C156D">
        <w:rPr>
          <w:rFonts w:eastAsia="Calibri"/>
        </w:rPr>
        <w:t>’</w:t>
      </w:r>
      <w:r w:rsidRPr="004C156D">
        <w:t>, cfm</w:t>
      </w:r>
      <w:r w:rsidRPr="004C156D">
        <w:rPr>
          <w:rFonts w:eastAsia="Calibri"/>
        </w:rPr>
        <w:t xml:space="preserve"> calculated using Shelter Class 4</w:t>
      </w:r>
    </w:p>
    <w:p w14:paraId="44D78E1D" w14:textId="6CD1BCF2" w:rsidR="007F717C" w:rsidRPr="004C156D" w:rsidRDefault="00D57742" w:rsidP="00F0324C">
      <w:pPr>
        <w:pStyle w:val="equals"/>
        <w:tabs>
          <w:tab w:val="clear" w:pos="3060"/>
          <w:tab w:val="left" w:pos="2520"/>
        </w:tabs>
        <w:ind w:left="2790"/>
      </w:pPr>
      <w:proofErr w:type="spellStart"/>
      <w:proofErr w:type="gramStart"/>
      <w:r w:rsidRPr="004C156D">
        <w:rPr>
          <w:rFonts w:eastAsia="Calibri"/>
          <w:i/>
        </w:rPr>
        <w:t>Qimb,i</w:t>
      </w:r>
      <w:proofErr w:type="spellEnd"/>
      <w:proofErr w:type="gramEnd"/>
      <w:r w:rsidRPr="004C156D">
        <w:rPr>
          <w:rFonts w:eastAsia="Calibri"/>
          <w:i/>
        </w:rPr>
        <w:t xml:space="preserve">     </w:t>
      </w:r>
      <w:r w:rsidRPr="004C156D">
        <w:rPr>
          <w:rFonts w:eastAsia="Calibri"/>
        </w:rPr>
        <w:tab/>
      </w:r>
      <w:r w:rsidRPr="004C156D">
        <w:rPr>
          <w:rFonts w:eastAsia="Calibri"/>
          <w:i/>
        </w:rPr>
        <w:t>=ABS(</w:t>
      </w:r>
      <w:proofErr w:type="spellStart"/>
      <w:r w:rsidRPr="004C156D">
        <w:rPr>
          <w:rFonts w:eastAsia="Calibri"/>
          <w:i/>
        </w:rPr>
        <w:t>Qfan_sup</w:t>
      </w:r>
      <w:r w:rsidR="00706332" w:rsidRPr="004C156D">
        <w:rPr>
          <w:rFonts w:eastAsia="Calibri"/>
          <w:i/>
          <w:u w:val="single"/>
        </w:rPr>
        <w:t>,i</w:t>
      </w:r>
      <w:proofErr w:type="spellEnd"/>
      <w:r w:rsidRPr="004C156D">
        <w:rPr>
          <w:rFonts w:eastAsia="Calibri"/>
          <w:i/>
        </w:rPr>
        <w:t xml:space="preserve"> - </w:t>
      </w:r>
      <w:proofErr w:type="spellStart"/>
      <w:r w:rsidRPr="004C156D">
        <w:rPr>
          <w:rFonts w:eastAsia="Calibri"/>
          <w:i/>
        </w:rPr>
        <w:t>Qfan_exh</w:t>
      </w:r>
      <w:r w:rsidR="00EB296C" w:rsidRPr="004C156D">
        <w:rPr>
          <w:rFonts w:eastAsia="Calibri"/>
          <w:i/>
          <w:u w:val="single"/>
        </w:rPr>
        <w:t>,i</w:t>
      </w:r>
      <w:proofErr w:type="spellEnd"/>
      <w:r w:rsidRPr="004C156D">
        <w:rPr>
          <w:rFonts w:eastAsia="Calibri"/>
          <w:i/>
        </w:rPr>
        <w:t xml:space="preserve">) </w:t>
      </w:r>
      <w:r w:rsidRPr="004C156D">
        <w:rPr>
          <w:rFonts w:eastAsia="Calibri"/>
        </w:rPr>
        <w:t>for time step ‘</w:t>
      </w:r>
      <w:proofErr w:type="spellStart"/>
      <w:r w:rsidRPr="004C156D">
        <w:rPr>
          <w:rFonts w:eastAsia="Calibri"/>
        </w:rPr>
        <w:t>i</w:t>
      </w:r>
      <w:proofErr w:type="spellEnd"/>
      <w:r w:rsidRPr="004C156D">
        <w:rPr>
          <w:rFonts w:eastAsia="Calibri"/>
        </w:rPr>
        <w:t>’, cfm</w:t>
      </w:r>
    </w:p>
    <w:p w14:paraId="5D899B01" w14:textId="77777777" w:rsidR="00E93BDC" w:rsidRDefault="00E93BDC" w:rsidP="00694972">
      <w:pPr>
        <w:ind w:left="360"/>
      </w:pPr>
    </w:p>
    <w:p w14:paraId="55BEC0B8" w14:textId="169D27C3" w:rsidR="00F0324C" w:rsidRPr="005B5D9E" w:rsidRDefault="005B5D9E" w:rsidP="00694972">
      <w:pPr>
        <w:ind w:left="360"/>
        <w:rPr>
          <w:i/>
          <w:iCs/>
          <w:color w:val="0070C0"/>
        </w:rPr>
      </w:pPr>
      <w:r>
        <w:rPr>
          <w:i/>
          <w:iCs/>
          <w:color w:val="0070C0"/>
        </w:rPr>
        <w:t>((Note to reviewers: The equations in Table Note h. are shown here as modified by addendum ANSI/RESNET/ICC 301-2022 Addendum A-2022.)</w:t>
      </w:r>
    </w:p>
    <w:p w14:paraId="5E4C33CA" w14:textId="77777777" w:rsidR="00F0324C" w:rsidRPr="004C156D" w:rsidRDefault="00F0324C" w:rsidP="00694972">
      <w:pPr>
        <w:ind w:left="360"/>
      </w:pPr>
    </w:p>
    <w:p w14:paraId="6A61AD7D" w14:textId="65A30671" w:rsidR="00E93BDC" w:rsidRPr="004C156D" w:rsidRDefault="1D2FBE03" w:rsidP="00F0324C">
      <w:pPr>
        <w:ind w:left="630" w:hanging="270"/>
      </w:pPr>
      <w:bookmarkStart w:id="50" w:name="_Hlk117155289"/>
      <w:r w:rsidRPr="004C156D">
        <w:t>m. Where Dwelling</w:t>
      </w:r>
      <w:r w:rsidR="005E6086" w:rsidRPr="004C156D">
        <w:t xml:space="preserve"> </w:t>
      </w:r>
      <w:r w:rsidRPr="004C156D">
        <w:t>Unit Mechanical Ventilation Systems are specified but lack controls to either provide continuous or programmed operation, the system does not qualify as a Dwelling</w:t>
      </w:r>
      <w:r w:rsidR="005E6086" w:rsidRPr="004C156D">
        <w:t xml:space="preserve"> </w:t>
      </w:r>
      <w:r w:rsidRPr="004C156D">
        <w:t>Unit Mechanical Ventilation System and the Rated Home shall be treated as a Dwelling Unit without a Dwelling</w:t>
      </w:r>
      <w:r w:rsidR="005E6086" w:rsidRPr="004C156D">
        <w:t xml:space="preserve"> </w:t>
      </w:r>
      <w:r w:rsidRPr="004C156D">
        <w:t>Unit Mechanical Ventilation System.</w:t>
      </w:r>
      <w:r w:rsidR="00E93BDC" w:rsidRPr="004C156D">
        <w:t xml:space="preserve"> Dwelling</w:t>
      </w:r>
      <w:r w:rsidR="006964A5" w:rsidRPr="004C156D">
        <w:t xml:space="preserve"> </w:t>
      </w:r>
      <w:r w:rsidR="00E93BDC" w:rsidRPr="004C156D">
        <w:t xml:space="preserve">Unit </w:t>
      </w:r>
      <w:r w:rsidR="00E93BDC" w:rsidRPr="004C156D">
        <w:lastRenderedPageBreak/>
        <w:t xml:space="preserve">Mechanical Ventilation System fan watts shall be the value observed in the Rated Home for the highest airflow setting. Where not available, fan watts shall be based on </w:t>
      </w:r>
      <w:r w:rsidR="002B27DB" w:rsidRPr="004C156D">
        <w:t xml:space="preserve">Table 4.2.2(1a) </w:t>
      </w:r>
      <w:r w:rsidR="00E93BDC" w:rsidRPr="004C156D">
        <w:t xml:space="preserve">for the given system. For systems other than Central Fan Integrated Supply </w:t>
      </w:r>
      <w:r w:rsidR="00802065" w:rsidRPr="004C156D">
        <w:rPr>
          <w:u w:val="single"/>
        </w:rPr>
        <w:t xml:space="preserve">systems </w:t>
      </w:r>
      <w:r w:rsidR="00E93BDC" w:rsidRPr="004C156D">
        <w:t>(CFIS</w:t>
      </w:r>
      <w:r w:rsidR="003E370C" w:rsidRPr="004C156D">
        <w:rPr>
          <w:u w:val="single"/>
        </w:rPr>
        <w:t xml:space="preserve"> </w:t>
      </w:r>
      <w:r w:rsidR="009A34BE" w:rsidRPr="004C156D">
        <w:rPr>
          <w:u w:val="single"/>
        </w:rPr>
        <w:t>s</w:t>
      </w:r>
      <w:r w:rsidR="00EE16CD" w:rsidRPr="004C156D">
        <w:rPr>
          <w:u w:val="single"/>
        </w:rPr>
        <w:t>ystems</w:t>
      </w:r>
      <w:r w:rsidR="00E93BDC" w:rsidRPr="004C156D">
        <w:t xml:space="preserve">), where the airflow cannot be measured, the cfm used to determine fan watts shall be assumed to be equal to </w:t>
      </w:r>
      <w:proofErr w:type="spellStart"/>
      <w:r w:rsidR="00E93BDC" w:rsidRPr="004C156D">
        <w:t>Qfan</w:t>
      </w:r>
      <w:proofErr w:type="spellEnd"/>
      <w:r w:rsidR="00E93BDC" w:rsidRPr="004C156D">
        <w:t xml:space="preserve">, as determined in accordance with </w:t>
      </w:r>
      <w:r w:rsidR="00DE2FD3" w:rsidRPr="004C156D">
        <w:t>N</w:t>
      </w:r>
      <w:r w:rsidR="001E7C91" w:rsidRPr="004C156D">
        <w:t xml:space="preserve">ote </w:t>
      </w:r>
      <w:r w:rsidR="001E7C91" w:rsidRPr="004C156D">
        <w:rPr>
          <w:rFonts w:eastAsiaTheme="minorEastAsia"/>
        </w:rPr>
        <w:t>g.</w:t>
      </w:r>
      <w:r w:rsidR="001D0A85" w:rsidRPr="004C156D">
        <w:rPr>
          <w:rFonts w:ascii="Segoe UI" w:eastAsiaTheme="minorEastAsia" w:hAnsi="Segoe UI" w:cs="Segoe UI"/>
          <w:sz w:val="21"/>
          <w:szCs w:val="21"/>
        </w:rPr>
        <w:t xml:space="preserve"> </w:t>
      </w:r>
      <w:r w:rsidR="00E93BDC" w:rsidRPr="004C156D">
        <w:t>of Table 4.2.2 (1)</w:t>
      </w:r>
      <w:r w:rsidR="00A56FCC" w:rsidRPr="004C156D">
        <w:t>, with a minimum of 15 cfm</w:t>
      </w:r>
      <w:r w:rsidR="00E93BDC" w:rsidRPr="004C156D">
        <w:t xml:space="preserve">. For CFIS systems, the cfm used to determine fan watts shall be the larger of 400 cfm per 12 </w:t>
      </w:r>
      <w:proofErr w:type="spellStart"/>
      <w:r w:rsidR="00E93BDC" w:rsidRPr="004C156D">
        <w:t>kBtu</w:t>
      </w:r>
      <w:proofErr w:type="spellEnd"/>
      <w:r w:rsidR="00E93BDC" w:rsidRPr="004C156D">
        <w:t xml:space="preserve">/h cooling capacity or 240 cfm per 12 </w:t>
      </w:r>
      <w:proofErr w:type="spellStart"/>
      <w:r w:rsidR="00E93BDC" w:rsidRPr="004C156D">
        <w:t>kBtu</w:t>
      </w:r>
      <w:proofErr w:type="spellEnd"/>
      <w:r w:rsidR="00E93BDC" w:rsidRPr="004C156D">
        <w:t>/h heating capacity.</w:t>
      </w:r>
      <w:r w:rsidR="00973EDE" w:rsidRPr="004C156D">
        <w:t xml:space="preserve"> For systems that consume energy beyond what is needed to operate the ventilation fan</w:t>
      </w:r>
      <w:r w:rsidR="009323C1" w:rsidRPr="004C156D">
        <w:rPr>
          <w:rStyle w:val="FootnoteReference"/>
        </w:rPr>
        <w:footnoteReference w:id="10"/>
      </w:r>
      <w:r w:rsidR="00973EDE" w:rsidRPr="004C156D">
        <w:t>, fan watts shall be the value observed either per OEM specifications or through direct measurement in the Rated Home for the highest airflow setting in ventilation-only mode.</w:t>
      </w:r>
    </w:p>
    <w:bookmarkEnd w:id="50"/>
    <w:p w14:paraId="4170DB96" w14:textId="77777777" w:rsidR="00ED6062" w:rsidRDefault="00ED6062" w:rsidP="00ED6062">
      <w:pPr>
        <w:ind w:left="288"/>
      </w:pPr>
    </w:p>
    <w:p w14:paraId="48C13134" w14:textId="77777777" w:rsidR="008A2B37" w:rsidRDefault="008A2B37" w:rsidP="00ED6062">
      <w:pPr>
        <w:ind w:left="288"/>
      </w:pPr>
    </w:p>
    <w:p w14:paraId="5072B4E6" w14:textId="77777777" w:rsidR="008A2B37" w:rsidRDefault="008A2B37" w:rsidP="00ED6062">
      <w:pPr>
        <w:ind w:left="288"/>
      </w:pPr>
    </w:p>
    <w:p w14:paraId="294812B5" w14:textId="77777777" w:rsidR="008A2B37" w:rsidRDefault="008A2B37" w:rsidP="00ED6062">
      <w:pPr>
        <w:ind w:left="288"/>
      </w:pPr>
    </w:p>
    <w:p w14:paraId="20EC91E6" w14:textId="77777777" w:rsidR="00F0324C" w:rsidRPr="004C156D" w:rsidRDefault="00F0324C" w:rsidP="00ED6062">
      <w:pPr>
        <w:ind w:left="288"/>
      </w:pPr>
    </w:p>
    <w:p w14:paraId="21A4D399" w14:textId="79FC4D8B" w:rsidR="00ED6062" w:rsidRPr="004C156D" w:rsidRDefault="00054556" w:rsidP="00054556">
      <w:pPr>
        <w:ind w:left="990"/>
      </w:pPr>
      <w:r w:rsidRPr="004C156D">
        <w:rPr>
          <w:b/>
        </w:rPr>
        <w:t xml:space="preserve"> </w:t>
      </w:r>
      <w:r w:rsidR="00ED6062" w:rsidRPr="004C156D">
        <w:rPr>
          <w:b/>
        </w:rPr>
        <w:t>Table 4.2.2(1</w:t>
      </w:r>
      <w:r w:rsidR="00DE2FD3" w:rsidRPr="004C156D">
        <w:rPr>
          <w:b/>
        </w:rPr>
        <w:t>a</w:t>
      </w:r>
      <w:r w:rsidR="00ED6062" w:rsidRPr="004C156D">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4C156D" w:rsidRPr="004C156D" w14:paraId="767549AD" w14:textId="77777777" w:rsidTr="24F37E70">
        <w:trPr>
          <w:trHeight w:val="62"/>
          <w:jc w:val="center"/>
        </w:trPr>
        <w:tc>
          <w:tcPr>
            <w:tcW w:w="2750" w:type="pct"/>
          </w:tcPr>
          <w:p w14:paraId="4B5660B5" w14:textId="77777777" w:rsidR="00ED6062" w:rsidRPr="004C156D" w:rsidRDefault="00ED6062" w:rsidP="008F66D0">
            <w:pPr>
              <w:rPr>
                <w:b/>
              </w:rPr>
            </w:pPr>
            <w:r w:rsidRPr="004C156D">
              <w:rPr>
                <w:b/>
              </w:rPr>
              <w:t>Equipment Type</w:t>
            </w:r>
          </w:p>
        </w:tc>
        <w:tc>
          <w:tcPr>
            <w:tcW w:w="2250" w:type="pct"/>
          </w:tcPr>
          <w:p w14:paraId="4BC8EE93" w14:textId="77777777" w:rsidR="00ED6062" w:rsidRPr="004C156D" w:rsidRDefault="00ED6062" w:rsidP="008F66D0">
            <w:pPr>
              <w:jc w:val="right"/>
              <w:rPr>
                <w:b/>
              </w:rPr>
            </w:pPr>
            <w:r w:rsidRPr="004C156D">
              <w:rPr>
                <w:b/>
              </w:rPr>
              <w:t>Watts/ cfm</w:t>
            </w:r>
          </w:p>
        </w:tc>
      </w:tr>
      <w:tr w:rsidR="004C156D" w:rsidRPr="004C156D" w14:paraId="4DC88AFB" w14:textId="77777777" w:rsidTr="24F37E70">
        <w:trPr>
          <w:jc w:val="center"/>
        </w:trPr>
        <w:tc>
          <w:tcPr>
            <w:tcW w:w="2750" w:type="pct"/>
          </w:tcPr>
          <w:p w14:paraId="0C986E9B" w14:textId="77777777" w:rsidR="00ED6062" w:rsidRPr="004C156D" w:rsidRDefault="00ED6062" w:rsidP="008F66D0">
            <w:r w:rsidRPr="004C156D">
              <w:t>Exhaust Ventilation fans</w:t>
            </w:r>
          </w:p>
        </w:tc>
        <w:tc>
          <w:tcPr>
            <w:tcW w:w="2250" w:type="pct"/>
          </w:tcPr>
          <w:p w14:paraId="4ED7F46B" w14:textId="77777777" w:rsidR="00ED6062" w:rsidRPr="004C156D" w:rsidRDefault="00ED6062" w:rsidP="008F66D0">
            <w:pPr>
              <w:jc w:val="right"/>
            </w:pPr>
            <w:r w:rsidRPr="004C156D">
              <w:t>0.35</w:t>
            </w:r>
          </w:p>
        </w:tc>
      </w:tr>
      <w:tr w:rsidR="004C156D" w:rsidRPr="004C156D" w14:paraId="5055E8B6" w14:textId="77777777" w:rsidTr="24F37E70">
        <w:trPr>
          <w:jc w:val="center"/>
        </w:trPr>
        <w:tc>
          <w:tcPr>
            <w:tcW w:w="2750" w:type="pct"/>
          </w:tcPr>
          <w:p w14:paraId="21889E6B" w14:textId="77777777" w:rsidR="00ED6062" w:rsidRPr="004C156D" w:rsidRDefault="00ED6062" w:rsidP="008F66D0">
            <w:r w:rsidRPr="004C156D">
              <w:t>Supply Ventilation fans</w:t>
            </w:r>
          </w:p>
        </w:tc>
        <w:tc>
          <w:tcPr>
            <w:tcW w:w="2250" w:type="pct"/>
          </w:tcPr>
          <w:p w14:paraId="1132438B" w14:textId="77777777" w:rsidR="00ED6062" w:rsidRPr="004C156D" w:rsidRDefault="00ED6062" w:rsidP="008F66D0">
            <w:pPr>
              <w:jc w:val="right"/>
            </w:pPr>
            <w:r w:rsidRPr="004C156D">
              <w:t>0.35</w:t>
            </w:r>
          </w:p>
        </w:tc>
      </w:tr>
      <w:tr w:rsidR="004C156D" w:rsidRPr="004C156D" w14:paraId="1E08D8D3" w14:textId="77777777" w:rsidTr="24F37E70">
        <w:trPr>
          <w:jc w:val="center"/>
        </w:trPr>
        <w:tc>
          <w:tcPr>
            <w:tcW w:w="2750" w:type="pct"/>
          </w:tcPr>
          <w:p w14:paraId="0ACD7752" w14:textId="77777777" w:rsidR="00ED6062" w:rsidRPr="004C156D" w:rsidRDefault="00ED6062" w:rsidP="008F66D0">
            <w:r w:rsidRPr="004C156D">
              <w:t>Balanced Ventilation fans</w:t>
            </w:r>
          </w:p>
        </w:tc>
        <w:tc>
          <w:tcPr>
            <w:tcW w:w="2250" w:type="pct"/>
          </w:tcPr>
          <w:p w14:paraId="0767392B" w14:textId="77777777" w:rsidR="00ED6062" w:rsidRPr="004C156D" w:rsidRDefault="00ED6062" w:rsidP="008F66D0">
            <w:pPr>
              <w:jc w:val="right"/>
            </w:pPr>
            <w:r w:rsidRPr="004C156D">
              <w:t>0.70</w:t>
            </w:r>
          </w:p>
        </w:tc>
      </w:tr>
      <w:tr w:rsidR="004C156D" w:rsidRPr="004C156D" w14:paraId="0D46B2A5" w14:textId="77777777" w:rsidTr="24F37E70">
        <w:trPr>
          <w:jc w:val="center"/>
        </w:trPr>
        <w:tc>
          <w:tcPr>
            <w:tcW w:w="2750" w:type="pct"/>
          </w:tcPr>
          <w:p w14:paraId="5472E4F4" w14:textId="77777777" w:rsidR="00ED6062" w:rsidRPr="004C156D" w:rsidRDefault="00ED6062" w:rsidP="008F66D0">
            <w:r w:rsidRPr="004C156D">
              <w:t>HRV/ERV fans</w:t>
            </w:r>
          </w:p>
        </w:tc>
        <w:tc>
          <w:tcPr>
            <w:tcW w:w="2250" w:type="pct"/>
          </w:tcPr>
          <w:p w14:paraId="56C6375C" w14:textId="77777777" w:rsidR="00ED6062" w:rsidRPr="004C156D" w:rsidRDefault="00ED6062" w:rsidP="008F66D0">
            <w:pPr>
              <w:jc w:val="right"/>
            </w:pPr>
            <w:r w:rsidRPr="004C156D">
              <w:t>1.00</w:t>
            </w:r>
          </w:p>
        </w:tc>
      </w:tr>
      <w:tr w:rsidR="004C156D" w:rsidRPr="004C156D" w14:paraId="5A80E223" w14:textId="77777777" w:rsidTr="24F37E70">
        <w:trPr>
          <w:jc w:val="center"/>
        </w:trPr>
        <w:tc>
          <w:tcPr>
            <w:tcW w:w="2750" w:type="pct"/>
          </w:tcPr>
          <w:p w14:paraId="6C401ED5" w14:textId="1C54B504" w:rsidR="00ED6062" w:rsidRPr="004C156D" w:rsidRDefault="24F37E70" w:rsidP="008F66D0">
            <w:r w:rsidRPr="004C156D">
              <w:t xml:space="preserve">CFIS </w:t>
            </w:r>
            <w:proofErr w:type="spellStart"/>
            <w:r w:rsidR="00ED6062" w:rsidRPr="004C156D">
              <w:rPr>
                <w:strike/>
              </w:rPr>
              <w:t>fans</w:t>
            </w:r>
            <w:r w:rsidRPr="004C156D">
              <w:rPr>
                <w:u w:val="single"/>
              </w:rPr>
              <w:t>Blower</w:t>
            </w:r>
            <w:proofErr w:type="spellEnd"/>
            <w:r w:rsidRPr="004C156D">
              <w:rPr>
                <w:u w:val="single"/>
              </w:rPr>
              <w:t xml:space="preserve"> Fans</w:t>
            </w:r>
          </w:p>
        </w:tc>
        <w:tc>
          <w:tcPr>
            <w:tcW w:w="2250" w:type="pct"/>
          </w:tcPr>
          <w:p w14:paraId="72EBC8BD" w14:textId="5627D111" w:rsidR="00ED6062" w:rsidRPr="004C156D" w:rsidRDefault="007168B5" w:rsidP="008F66D0">
            <w:pPr>
              <w:jc w:val="right"/>
            </w:pPr>
            <w:r w:rsidRPr="004C156D">
              <w:t>0.58</w:t>
            </w:r>
          </w:p>
        </w:tc>
      </w:tr>
      <w:tr w:rsidR="00ED6062" w:rsidRPr="004C156D" w14:paraId="2CBCD0E5" w14:textId="77777777" w:rsidTr="24F37E70">
        <w:trPr>
          <w:jc w:val="center"/>
        </w:trPr>
        <w:tc>
          <w:tcPr>
            <w:tcW w:w="2750" w:type="pct"/>
          </w:tcPr>
          <w:p w14:paraId="1D702CB6" w14:textId="77777777" w:rsidR="00ED6062" w:rsidRPr="004C156D" w:rsidRDefault="00ED6062" w:rsidP="008F66D0">
            <w:r w:rsidRPr="004C156D">
              <w:t>Range hoods</w:t>
            </w:r>
          </w:p>
        </w:tc>
        <w:tc>
          <w:tcPr>
            <w:tcW w:w="2250" w:type="pct"/>
          </w:tcPr>
          <w:p w14:paraId="73700D58" w14:textId="77777777" w:rsidR="00ED6062" w:rsidRPr="004C156D" w:rsidRDefault="00ED6062" w:rsidP="008F66D0">
            <w:pPr>
              <w:jc w:val="right"/>
            </w:pPr>
            <w:r w:rsidRPr="004C156D">
              <w:t>0.70</w:t>
            </w:r>
          </w:p>
        </w:tc>
      </w:tr>
    </w:tbl>
    <w:p w14:paraId="62A6B8A2" w14:textId="77777777" w:rsidR="00ED6062" w:rsidRPr="004C156D" w:rsidRDefault="00ED6062" w:rsidP="00ED6062">
      <w:pPr>
        <w:ind w:left="288"/>
        <w:rPr>
          <w:u w:val="single"/>
        </w:rPr>
      </w:pPr>
    </w:p>
    <w:p w14:paraId="3105F7B8" w14:textId="77777777" w:rsidR="00ED6062" w:rsidRPr="004C156D" w:rsidRDefault="00ED6062" w:rsidP="00ED6062">
      <w:pPr>
        <w:ind w:left="288"/>
      </w:pPr>
    </w:p>
    <w:p w14:paraId="73972CE4" w14:textId="3AF88391" w:rsidR="008F1DC1" w:rsidRDefault="33BF2549">
      <w:pPr>
        <w:ind w:left="630" w:hanging="270"/>
      </w:pPr>
      <w:bookmarkStart w:id="51" w:name="_Hlk75586188"/>
      <w:r w:rsidRPr="004C156D">
        <w:t xml:space="preserve">t. For a Rated Home with a </w:t>
      </w:r>
      <w:proofErr w:type="spellStart"/>
      <w:r w:rsidRPr="004C156D">
        <w:t>nonstorage</w:t>
      </w:r>
      <w:proofErr w:type="spellEnd"/>
      <w:r w:rsidRPr="004C156D">
        <w:t xml:space="preserve">-type water heater or where a shared water heater provides service hot water to the Rated Home, a 40-gallon storage-type water heater of the same fuel as the proposed water heater shall be assumed for the Energy Rating Reference Home.  For a Rated Home with a shared storage water heater, its tank losses shall be </w:t>
      </w:r>
      <w:r w:rsidRPr="004C156D">
        <w:rPr>
          <w:strike/>
        </w:rPr>
        <w:t xml:space="preserve">divided by the number of </w:t>
      </w:r>
      <w:r w:rsidR="004206CA" w:rsidRPr="004C156D">
        <w:rPr>
          <w:strike/>
        </w:rPr>
        <w:t>D</w:t>
      </w:r>
      <w:r w:rsidRPr="004C156D">
        <w:rPr>
          <w:strike/>
        </w:rPr>
        <w:t xml:space="preserve">welling </w:t>
      </w:r>
      <w:r w:rsidR="004206CA" w:rsidRPr="004C156D">
        <w:rPr>
          <w:strike/>
        </w:rPr>
        <w:t>U</w:t>
      </w:r>
      <w:r w:rsidRPr="004C156D">
        <w:rPr>
          <w:strike/>
        </w:rPr>
        <w:t>nits served by the water heater</w:t>
      </w:r>
      <w:r w:rsidR="007D7234" w:rsidRPr="004C156D">
        <w:rPr>
          <w:strike/>
        </w:rPr>
        <w:t xml:space="preserve">, prorated based on the </w:t>
      </w:r>
      <w:r w:rsidR="00DC3922" w:rsidRPr="004C156D">
        <w:rPr>
          <w:strike/>
        </w:rPr>
        <w:t xml:space="preserve">number of </w:t>
      </w:r>
      <w:r w:rsidR="006E5C8A" w:rsidRPr="004C156D">
        <w:rPr>
          <w:strike/>
        </w:rPr>
        <w:t>B</w:t>
      </w:r>
      <w:r w:rsidR="00DC3922" w:rsidRPr="004C156D">
        <w:rPr>
          <w:strike/>
        </w:rPr>
        <w:t xml:space="preserve">edrooms, </w:t>
      </w:r>
      <w:r w:rsidR="006E5C8A" w:rsidRPr="004C156D">
        <w:rPr>
          <w:strike/>
        </w:rPr>
        <w:t>(</w:t>
      </w:r>
      <w:proofErr w:type="spellStart"/>
      <w:r w:rsidR="007D7234" w:rsidRPr="004C156D">
        <w:rPr>
          <w:strike/>
        </w:rPr>
        <w:t>Nbr</w:t>
      </w:r>
      <w:proofErr w:type="spellEnd"/>
      <w:r w:rsidR="006E5C8A" w:rsidRPr="004C156D">
        <w:rPr>
          <w:strike/>
        </w:rPr>
        <w:t>)</w:t>
      </w:r>
      <w:r w:rsidR="00AC1B27" w:rsidRPr="004C156D">
        <w:rPr>
          <w:u w:val="single"/>
        </w:rPr>
        <w:t>prorated to a Dwelling Unit based on its number of Bedrooms relative to the total number of Bedrooms of all Dwelling Units served by the shared storage water heater</w:t>
      </w:r>
      <w:r w:rsidRPr="004C156D">
        <w:t>. For tankless water heaters with an Energy Factor, EF shall be multiplied by 0.92 for Rated Home calculations. For tankless water heaters with a Uniform Energy Factor, UEF shall be multiplied by 0.94 for Rated Home calculations. For a Rated Home without a proposed water heater, a 40-gallon storage-type water heater of the same fuel as the predominant fuel type used for the heating system(s)</w:t>
      </w:r>
      <w:r w:rsidR="00DA14F5" w:rsidRPr="004C156D">
        <w:rPr>
          <w:u w:val="single"/>
        </w:rPr>
        <w:t xml:space="preserve"> </w:t>
      </w:r>
      <w:r w:rsidRPr="004C156D">
        <w:t xml:space="preserve">shall be assumed for both the Rated and Energy Rating Reference Homes. </w:t>
      </w:r>
      <w:r w:rsidR="002B5EED" w:rsidRPr="004C156D">
        <w:t xml:space="preserve">The predominant fuel type shall be determined based on weighted space heating loads served by each fuel. Where the space heating loads served by different fuel types are equal, fossil fuel shall be used for the fuel type. </w:t>
      </w:r>
      <w:r w:rsidRPr="004C156D">
        <w:t xml:space="preserve">In both cases, the Energy Factor of the water heater shall be as prescribed for the Energy Rating Reference Home water heater by Table 4.2.2(1). Where the Rated Home has multiple </w:t>
      </w:r>
      <w:r w:rsidR="0075247F" w:rsidRPr="004C156D">
        <w:t>water heaters</w:t>
      </w:r>
      <w:r w:rsidRPr="004C156D">
        <w:t>, the Energy Rating Reference Home shall have a 40-</w:t>
      </w:r>
      <w:r w:rsidRPr="004C156D">
        <w:lastRenderedPageBreak/>
        <w:t>gallon storage-type water heater of the same fuel</w:t>
      </w:r>
      <w:r w:rsidR="00353962" w:rsidRPr="004C156D">
        <w:t xml:space="preserve"> </w:t>
      </w:r>
      <w:r w:rsidRPr="004C156D">
        <w:t>as the predominant</w:t>
      </w:r>
      <w:r w:rsidR="00353962" w:rsidRPr="004C156D">
        <w:t xml:space="preserve"> </w:t>
      </w:r>
      <w:r w:rsidR="00356FAC" w:rsidRPr="004C156D">
        <w:t>fuel type used for the water heaters</w:t>
      </w:r>
      <w:r w:rsidRPr="004C156D">
        <w:t xml:space="preserve"> in the Rated Home.</w:t>
      </w:r>
      <w:r w:rsidR="002B5EED" w:rsidRPr="004C156D">
        <w:t xml:space="preserve"> The predominant fuel type shall be determined based on weighted water heating loads served by each fuel. Where the water heating loads served by different fuel types are equal, fossil fuel shall be used for the fuel type.</w:t>
      </w:r>
    </w:p>
    <w:p w14:paraId="46637B5C" w14:textId="77777777" w:rsidR="00CD4FDA" w:rsidRPr="004C156D" w:rsidRDefault="00CD4FDA">
      <w:pPr>
        <w:ind w:left="630" w:hanging="270"/>
        <w:rPr>
          <w:u w:val="single"/>
        </w:rPr>
      </w:pPr>
    </w:p>
    <w:p w14:paraId="6ADC23CB" w14:textId="2CC956A8" w:rsidR="00381C9A" w:rsidRPr="004C156D" w:rsidRDefault="00381C9A">
      <w:pPr>
        <w:ind w:left="630" w:hanging="270"/>
        <w:rPr>
          <w:u w:val="single"/>
        </w:rPr>
      </w:pPr>
    </w:p>
    <w:p w14:paraId="150AC408" w14:textId="3E67DE75" w:rsidR="00DD7D1A" w:rsidRPr="004C156D" w:rsidRDefault="00DD7D1A" w:rsidP="00F0324C">
      <w:pPr>
        <w:ind w:left="630" w:hanging="270"/>
      </w:pPr>
      <w:bookmarkStart w:id="52" w:name="_Hlk5362793"/>
      <w:bookmarkEnd w:id="51"/>
      <w:r w:rsidRPr="004C156D">
        <w:t xml:space="preserve">x. Any untested forced air distribution system is permitted to be modeled with a DSE of 0.70. </w:t>
      </w:r>
    </w:p>
    <w:p w14:paraId="590F301C" w14:textId="77777777" w:rsidR="00DD7D1A" w:rsidRPr="004C156D" w:rsidRDefault="00DD7D1A" w:rsidP="00DD7D1A">
      <w:pPr>
        <w:ind w:left="630" w:hanging="270"/>
      </w:pPr>
    </w:p>
    <w:p w14:paraId="36B58DC5" w14:textId="5C0ACCA2" w:rsidR="00DD7D1A" w:rsidRPr="004C156D" w:rsidRDefault="00DD7D1A" w:rsidP="00DD7D1A">
      <w:pPr>
        <w:ind w:left="900" w:hanging="270"/>
        <w:rPr>
          <w:w w:val="105"/>
        </w:rPr>
      </w:pPr>
      <w:r w:rsidRPr="004C156D">
        <w:rPr>
          <w:w w:val="105"/>
        </w:rPr>
        <w:t xml:space="preserve">When both of the following conditions are met and documented, </w:t>
      </w:r>
      <w:r w:rsidR="006E6811" w:rsidRPr="004C156D">
        <w:rPr>
          <w:w w:val="105"/>
          <w:u w:val="single"/>
        </w:rPr>
        <w:t>an untested forced air distribution system is permitted to be modeled with a DSE of 0.</w:t>
      </w:r>
      <w:proofErr w:type="gramStart"/>
      <w:r w:rsidR="006E6811" w:rsidRPr="004C156D">
        <w:rPr>
          <w:w w:val="105"/>
          <w:u w:val="single"/>
        </w:rPr>
        <w:t>80.</w:t>
      </w:r>
      <w:r w:rsidRPr="004C156D">
        <w:rPr>
          <w:strike/>
          <w:w w:val="105"/>
        </w:rPr>
        <w:t>duct</w:t>
      </w:r>
      <w:proofErr w:type="gramEnd"/>
      <w:r w:rsidRPr="004C156D">
        <w:rPr>
          <w:strike/>
          <w:w w:val="105"/>
        </w:rPr>
        <w:t xml:space="preserve"> leakage testing is also not required.</w:t>
      </w:r>
      <w:r w:rsidRPr="004C156D">
        <w:rPr>
          <w:w w:val="105"/>
        </w:rPr>
        <w:t xml:space="preserve"> </w:t>
      </w:r>
    </w:p>
    <w:p w14:paraId="6E0C921C" w14:textId="77777777" w:rsidR="00DD7D1A" w:rsidRPr="004C156D" w:rsidRDefault="00DD7D1A" w:rsidP="00DD7D1A">
      <w:pPr>
        <w:pStyle w:val="BodyText"/>
        <w:widowControl w:val="0"/>
        <w:numPr>
          <w:ilvl w:val="0"/>
          <w:numId w:val="25"/>
        </w:numPr>
        <w:tabs>
          <w:tab w:val="left" w:pos="900"/>
        </w:tabs>
        <w:kinsoku w:val="0"/>
        <w:overflowPunct w:val="0"/>
        <w:autoSpaceDE w:val="0"/>
        <w:autoSpaceDN w:val="0"/>
        <w:adjustRightInd w:val="0"/>
        <w:spacing w:before="81" w:after="0"/>
        <w:ind w:right="182"/>
        <w:rPr>
          <w:w w:val="105"/>
        </w:rPr>
      </w:pPr>
      <w:r w:rsidRPr="004C156D">
        <w:rPr>
          <w:w w:val="105"/>
        </w:rPr>
        <w:t>At a pre-drywall stage of construction, 100 percent of the ductwork and air</w:t>
      </w:r>
      <w:r w:rsidRPr="004C156D">
        <w:rPr>
          <w:w w:val="105"/>
          <w:u w:val="single"/>
        </w:rPr>
        <w:t xml:space="preserve"> </w:t>
      </w:r>
      <w:r w:rsidRPr="004C156D">
        <w:rPr>
          <w:w w:val="105"/>
        </w:rPr>
        <w:t xml:space="preserve">handler shall be visible and visually verified to be contained inside the Conditioned Space Volume. </w:t>
      </w:r>
    </w:p>
    <w:p w14:paraId="734E2A50" w14:textId="77777777" w:rsidR="00DD7D1A" w:rsidRPr="004C156D" w:rsidRDefault="00DD7D1A" w:rsidP="007738D5">
      <w:pPr>
        <w:pStyle w:val="BodyText"/>
        <w:widowControl w:val="0"/>
        <w:numPr>
          <w:ilvl w:val="0"/>
          <w:numId w:val="25"/>
        </w:numPr>
        <w:tabs>
          <w:tab w:val="left" w:pos="900"/>
        </w:tabs>
        <w:kinsoku w:val="0"/>
        <w:overflowPunct w:val="0"/>
        <w:autoSpaceDE w:val="0"/>
        <w:autoSpaceDN w:val="0"/>
        <w:adjustRightInd w:val="0"/>
        <w:spacing w:before="81" w:after="0"/>
        <w:ind w:right="182"/>
        <w:rPr>
          <w:w w:val="105"/>
        </w:rPr>
      </w:pPr>
      <w:r w:rsidRPr="004C156D">
        <w:rPr>
          <w:w w:val="105"/>
        </w:rPr>
        <w:t>At a final stage of construction, ductwork that is visible and the air handler shall be verified again to be contained in the Conditioned Space Volume.</w:t>
      </w:r>
    </w:p>
    <w:p w14:paraId="18BA3FDE" w14:textId="77777777" w:rsidR="00DD7D1A" w:rsidRPr="004C156D" w:rsidRDefault="00DD7D1A" w:rsidP="00DD7D1A">
      <w:pPr>
        <w:pStyle w:val="FootnoteText"/>
        <w:ind w:left="360"/>
        <w:rPr>
          <w:w w:val="105"/>
          <w:sz w:val="24"/>
          <w:szCs w:val="24"/>
        </w:rPr>
      </w:pPr>
    </w:p>
    <w:p w14:paraId="3C30E46A" w14:textId="77777777" w:rsidR="00DD7D1A" w:rsidRPr="004C156D" w:rsidRDefault="00DD7D1A" w:rsidP="00DD7D1A">
      <w:pPr>
        <w:ind w:left="630"/>
        <w:rPr>
          <w:strike/>
          <w:w w:val="105"/>
        </w:rPr>
      </w:pPr>
      <w:r w:rsidRPr="004C156D">
        <w:rPr>
          <w:strike/>
          <w:w w:val="105"/>
        </w:rPr>
        <w:t>To calculate the energy impacts on the Rated Home,</w:t>
      </w:r>
      <w:r w:rsidRPr="004C156D">
        <w:rPr>
          <w:strike/>
          <w:spacing w:val="1"/>
          <w:w w:val="105"/>
        </w:rPr>
        <w:t xml:space="preserve"> a</w:t>
      </w:r>
      <w:r w:rsidRPr="004C156D">
        <w:rPr>
          <w:strike/>
          <w:w w:val="105"/>
        </w:rPr>
        <w:t xml:space="preserve"> DSE of 0.808, shall be applied to both the heating and cooling system efficiencies. </w:t>
      </w:r>
    </w:p>
    <w:p w14:paraId="3AB79C43" w14:textId="77777777" w:rsidR="00DD7D1A" w:rsidRPr="004C156D" w:rsidRDefault="00DD7D1A" w:rsidP="00DD7D1A">
      <w:pPr>
        <w:ind w:left="720"/>
        <w:rPr>
          <w:w w:val="105"/>
        </w:rPr>
      </w:pPr>
    </w:p>
    <w:p w14:paraId="30B51821" w14:textId="470998D4" w:rsidR="00DD7D1A" w:rsidRPr="004C156D" w:rsidRDefault="00DD7D1A" w:rsidP="00DD7D1A">
      <w:pPr>
        <w:ind w:left="630"/>
        <w:rPr>
          <w:strike/>
          <w:w w:val="105"/>
        </w:rPr>
      </w:pPr>
      <w:r w:rsidRPr="004C156D">
        <w:rPr>
          <w:strike/>
          <w:w w:val="105"/>
        </w:rPr>
        <w:t>If at a pre-drywall stage of construction, the ductwork is visually verified to be 100 percent fully ducted with no building cavities used as supply or return ducts</w:t>
      </w:r>
      <w:r w:rsidRPr="004C156D">
        <w:rPr>
          <w:strike/>
        </w:rPr>
        <w:t>, a DSE of 0.88 shall be applied to both the heating and cooling system efficiencies.</w:t>
      </w:r>
      <w:r w:rsidRPr="004C156D">
        <w:rPr>
          <w:strike/>
          <w:w w:val="105"/>
        </w:rPr>
        <w:t xml:space="preserve"> As an alternative to the DSE = 0.88, a value of 4 cfm per 100 square feet of Conditioned Floor Area may be modeled for duct leakage to outside if the above conditions are met and no ductwork is contained within envelope assemblies adjacent to the exterior or Unconditioned Space Volumes.</w:t>
      </w:r>
    </w:p>
    <w:p w14:paraId="502BB454" w14:textId="42E1ACB8" w:rsidR="00DD7D1A" w:rsidRDefault="00DD7D1A" w:rsidP="00DD7D1A">
      <w:pPr>
        <w:ind w:left="900" w:hanging="270"/>
        <w:rPr>
          <w:u w:val="single"/>
        </w:rPr>
      </w:pPr>
    </w:p>
    <w:p w14:paraId="0A6CEB69" w14:textId="77777777" w:rsidR="00CD4FDA" w:rsidRPr="004C156D" w:rsidRDefault="00CD4FDA" w:rsidP="00DD7D1A">
      <w:pPr>
        <w:ind w:left="900" w:hanging="270"/>
        <w:rPr>
          <w:u w:val="single"/>
        </w:rPr>
      </w:pPr>
    </w:p>
    <w:p w14:paraId="37B1CB4A" w14:textId="77777777" w:rsidR="00DD7D1A" w:rsidRPr="004C156D" w:rsidRDefault="00DD7D1A" w:rsidP="00DD7D1A">
      <w:pPr>
        <w:ind w:left="900" w:hanging="270"/>
        <w:rPr>
          <w:u w:val="single"/>
        </w:rPr>
      </w:pPr>
      <w:r w:rsidRPr="004C156D">
        <w:rPr>
          <w:u w:val="single"/>
        </w:rPr>
        <w:t>Or</w:t>
      </w:r>
    </w:p>
    <w:p w14:paraId="151985A1" w14:textId="77777777" w:rsidR="007738D5" w:rsidRPr="004C156D" w:rsidRDefault="007738D5" w:rsidP="00027DB4">
      <w:pPr>
        <w:ind w:left="630"/>
        <w:rPr>
          <w:u w:val="single"/>
        </w:rPr>
      </w:pPr>
    </w:p>
    <w:p w14:paraId="71D86A8D" w14:textId="7B98198F" w:rsidR="00DD7D1A" w:rsidRPr="004C156D" w:rsidRDefault="00DD7D1A" w:rsidP="00027DB4">
      <w:pPr>
        <w:ind w:left="630"/>
        <w:rPr>
          <w:u w:val="single"/>
        </w:rPr>
      </w:pPr>
      <w:r w:rsidRPr="004C156D">
        <w:rPr>
          <w:u w:val="single"/>
        </w:rPr>
        <w:t xml:space="preserve">If the two </w:t>
      </w:r>
      <w:r w:rsidR="006E6811" w:rsidRPr="004C156D">
        <w:rPr>
          <w:u w:val="single"/>
        </w:rPr>
        <w:t xml:space="preserve">preceding </w:t>
      </w:r>
      <w:r w:rsidRPr="004C156D">
        <w:rPr>
          <w:u w:val="single"/>
        </w:rPr>
        <w:t xml:space="preserve">conditions are met and it is visually verified and documented at a pre-drywall stage of construction that all ductwork is fully ducted with no building cavities used as supply or return </w:t>
      </w:r>
      <w:proofErr w:type="gramStart"/>
      <w:r w:rsidRPr="004C156D">
        <w:rPr>
          <w:u w:val="single"/>
        </w:rPr>
        <w:t>ducts</w:t>
      </w:r>
      <w:proofErr w:type="gramEnd"/>
      <w:r w:rsidRPr="004C156D">
        <w:rPr>
          <w:u w:val="single"/>
        </w:rPr>
        <w:t xml:space="preserve"> then either:</w:t>
      </w:r>
    </w:p>
    <w:p w14:paraId="186BA9B6" w14:textId="77777777" w:rsidR="00027DB4" w:rsidRPr="004C156D" w:rsidRDefault="00027DB4" w:rsidP="00027DB4">
      <w:pPr>
        <w:ind w:left="630"/>
        <w:rPr>
          <w:u w:val="single"/>
        </w:rPr>
      </w:pPr>
    </w:p>
    <w:p w14:paraId="167C90D8" w14:textId="61FF9131" w:rsidR="00DD7D1A" w:rsidRPr="004C156D" w:rsidRDefault="00DD7D1A" w:rsidP="00DD7D1A">
      <w:pPr>
        <w:pStyle w:val="ListParagraph"/>
        <w:numPr>
          <w:ilvl w:val="0"/>
          <w:numId w:val="26"/>
        </w:numPr>
        <w:ind w:left="1260"/>
        <w:contextualSpacing/>
        <w:rPr>
          <w:u w:val="single"/>
        </w:rPr>
      </w:pPr>
      <w:r w:rsidRPr="004C156D">
        <w:rPr>
          <w:u w:val="single"/>
        </w:rPr>
        <w:t>A</w:t>
      </w:r>
      <w:r w:rsidR="007738D5" w:rsidRPr="004C156D">
        <w:rPr>
          <w:u w:val="single"/>
        </w:rPr>
        <w:t>n untested forced air distribution system is permitted to be modeled with a</w:t>
      </w:r>
      <w:r w:rsidRPr="004C156D">
        <w:rPr>
          <w:u w:val="single"/>
        </w:rPr>
        <w:t xml:space="preserve"> DSE of 0.88 </w:t>
      </w:r>
    </w:p>
    <w:p w14:paraId="43CD7E6B" w14:textId="2471E6E2" w:rsidR="00DD7D1A" w:rsidRPr="004C156D" w:rsidRDefault="00DD7D1A" w:rsidP="00DD7D1A">
      <w:pPr>
        <w:pStyle w:val="ListParagraph"/>
        <w:ind w:left="1260"/>
        <w:rPr>
          <w:u w:val="single"/>
        </w:rPr>
      </w:pPr>
    </w:p>
    <w:p w14:paraId="3D77A171" w14:textId="77777777" w:rsidR="00DD7D1A" w:rsidRPr="004C156D" w:rsidRDefault="00DD7D1A" w:rsidP="00DD7D1A">
      <w:pPr>
        <w:pStyle w:val="ListParagraph"/>
        <w:ind w:left="1260"/>
        <w:rPr>
          <w:u w:val="single"/>
        </w:rPr>
      </w:pPr>
      <w:r w:rsidRPr="004C156D">
        <w:rPr>
          <w:u w:val="single"/>
        </w:rPr>
        <w:t>Or</w:t>
      </w:r>
    </w:p>
    <w:p w14:paraId="31794C56" w14:textId="40B33D06" w:rsidR="00DD7D1A" w:rsidRPr="004C156D" w:rsidRDefault="00DD7D1A" w:rsidP="00DD7D1A">
      <w:pPr>
        <w:ind w:left="1260"/>
        <w:rPr>
          <w:u w:val="single"/>
        </w:rPr>
      </w:pPr>
    </w:p>
    <w:p w14:paraId="16915F89" w14:textId="7DF5973F" w:rsidR="00DD7D1A" w:rsidRDefault="00DD7D1A" w:rsidP="00027DB4">
      <w:pPr>
        <w:pStyle w:val="ListParagraph"/>
        <w:numPr>
          <w:ilvl w:val="0"/>
          <w:numId w:val="26"/>
        </w:numPr>
        <w:ind w:left="1260"/>
        <w:rPr>
          <w:u w:val="single"/>
        </w:rPr>
      </w:pPr>
      <w:r w:rsidRPr="004C156D">
        <w:rPr>
          <w:u w:val="single"/>
        </w:rPr>
        <w:t>If no ductwork is contained within envelope assemblies adjacent to the exterior or Unconditioned Space Volumes a value of 4 cfm per 100 square feet of Conditioned Floor Area is permitted to be modeled for duct leakage to outside.</w:t>
      </w:r>
    </w:p>
    <w:p w14:paraId="62B2A814" w14:textId="77777777" w:rsidR="00CD4FDA" w:rsidRPr="004C156D" w:rsidRDefault="00CD4FDA" w:rsidP="00CD4FDA">
      <w:pPr>
        <w:pStyle w:val="ListParagraph"/>
        <w:ind w:left="1260"/>
        <w:rPr>
          <w:u w:val="single"/>
        </w:rPr>
      </w:pPr>
    </w:p>
    <w:p w14:paraId="25BB1469" w14:textId="77777777" w:rsidR="00DD7D1A" w:rsidRPr="004C156D" w:rsidRDefault="00DD7D1A" w:rsidP="000F5318">
      <w:pPr>
        <w:ind w:left="630"/>
      </w:pPr>
    </w:p>
    <w:p w14:paraId="73F309E0" w14:textId="385E5586" w:rsidR="003231EC" w:rsidRDefault="00271CC9" w:rsidP="00F0324C">
      <w:pPr>
        <w:pStyle w:val="BodyText"/>
        <w:kinsoku w:val="0"/>
        <w:overflowPunct w:val="0"/>
        <w:ind w:left="630" w:right="182" w:hanging="270"/>
        <w:rPr>
          <w:u w:val="single"/>
        </w:rPr>
      </w:pPr>
      <w:bookmarkStart w:id="53" w:name="_Hlk161054448"/>
      <w:proofErr w:type="spellStart"/>
      <w:r w:rsidRPr="004C156D">
        <w:rPr>
          <w:w w:val="105"/>
        </w:rPr>
        <w:lastRenderedPageBreak/>
        <w:t>yy</w:t>
      </w:r>
      <w:proofErr w:type="spellEnd"/>
      <w:r w:rsidRPr="004C156D">
        <w:rPr>
          <w:w w:val="105"/>
        </w:rPr>
        <w:t>. When the air distribution system leakage split between the supply and return side is not measured, the air distribution system leakage to outdoors at 25 Pascal pressure difference shall be split equally between the supply and return side of the air distribution system with the leakage distributed evenly across the duct system.</w:t>
      </w:r>
      <w:r w:rsidR="50A0CCFA" w:rsidRPr="004C156D">
        <w:rPr>
          <w:u w:val="single"/>
        </w:rPr>
        <w:t xml:space="preserve"> Where air distribution leakage</w:t>
      </w:r>
      <w:r w:rsidR="00F14FAC" w:rsidRPr="004C156D">
        <w:rPr>
          <w:u w:val="single"/>
        </w:rPr>
        <w:t xml:space="preserve"> to outside</w:t>
      </w:r>
      <w:r w:rsidR="00573E36" w:rsidRPr="004C156D">
        <w:rPr>
          <w:u w:val="single"/>
        </w:rPr>
        <w:t xml:space="preserve"> the CSV</w:t>
      </w:r>
      <w:r w:rsidR="50A0CCFA" w:rsidRPr="004C156D">
        <w:rPr>
          <w:u w:val="single"/>
        </w:rPr>
        <w:t xml:space="preserve"> is </w:t>
      </w:r>
      <w:r w:rsidR="00BB6F01" w:rsidRPr="004C156D">
        <w:rPr>
          <w:u w:val="single"/>
        </w:rPr>
        <w:t>im</w:t>
      </w:r>
      <w:r w:rsidR="50A0CCFA" w:rsidRPr="004C156D">
        <w:rPr>
          <w:u w:val="single"/>
        </w:rPr>
        <w:t>balanced and occurring in spaces other than CSV, and the software does not model a pressure-based airflow mass balance, the imbalanced airflow shall induce an equivalent infiltration flow in the Conditioned Space Volume or the space where the ducts are located. The induced infiltration shall be determined by the leakage imbalance fractions defined in Table 4.2.2(1c)</w:t>
      </w:r>
      <w:r w:rsidR="009B52D1" w:rsidRPr="00B72638">
        <w:rPr>
          <w:color w:val="FF0000"/>
          <w:u w:val="single"/>
        </w:rPr>
        <w:t xml:space="preserve">; the fraction from outside into CSV shall be included in </w:t>
      </w:r>
      <w:proofErr w:type="spellStart"/>
      <w:proofErr w:type="gramStart"/>
      <w:r w:rsidR="009B52D1" w:rsidRPr="00B72638">
        <w:rPr>
          <w:rFonts w:eastAsia="Calibri"/>
          <w:i/>
          <w:color w:val="FF0000"/>
          <w:u w:val="single"/>
        </w:rPr>
        <w:t>Qfan,exh</w:t>
      </w:r>
      <w:proofErr w:type="gramEnd"/>
      <w:r w:rsidR="009B52D1" w:rsidRPr="00B72638">
        <w:rPr>
          <w:rFonts w:eastAsia="Calibri"/>
          <w:i/>
          <w:color w:val="FF0000"/>
          <w:u w:val="single"/>
        </w:rPr>
        <w:t>,i</w:t>
      </w:r>
      <w:proofErr w:type="spellEnd"/>
      <w:r w:rsidR="009B52D1" w:rsidRPr="00B72638">
        <w:rPr>
          <w:rFonts w:eastAsia="Calibri"/>
          <w:iCs/>
          <w:color w:val="FF0000"/>
          <w:u w:val="single"/>
        </w:rPr>
        <w:t xml:space="preserve"> and the fraction from CSV to outside shall be included in </w:t>
      </w:r>
      <w:proofErr w:type="spellStart"/>
      <w:r w:rsidR="009B52D1" w:rsidRPr="00B72638">
        <w:rPr>
          <w:rFonts w:eastAsia="Calibri"/>
          <w:i/>
          <w:color w:val="FF0000"/>
          <w:u w:val="single"/>
        </w:rPr>
        <w:t>Qfan,sup,i</w:t>
      </w:r>
      <w:proofErr w:type="spellEnd"/>
      <w:r w:rsidR="009B52D1" w:rsidRPr="00B72638">
        <w:rPr>
          <w:rFonts w:eastAsia="Calibri"/>
          <w:iCs/>
          <w:color w:val="FF0000"/>
          <w:u w:val="single"/>
        </w:rPr>
        <w:t xml:space="preserve"> of Note h. of Table 4.2.2 (1)</w:t>
      </w:r>
      <w:r w:rsidR="009B52D1" w:rsidRPr="00B72638">
        <w:rPr>
          <w:color w:val="FF0000"/>
          <w:u w:val="single"/>
        </w:rPr>
        <w:t>.</w:t>
      </w:r>
    </w:p>
    <w:p w14:paraId="4398F85E" w14:textId="77777777" w:rsidR="00F0324C" w:rsidRDefault="00F0324C" w:rsidP="00F0324C">
      <w:pPr>
        <w:pStyle w:val="BodyText"/>
        <w:kinsoku w:val="0"/>
        <w:overflowPunct w:val="0"/>
        <w:ind w:left="630" w:right="182" w:hanging="270"/>
        <w:rPr>
          <w:u w:val="single"/>
        </w:rPr>
      </w:pPr>
    </w:p>
    <w:p w14:paraId="6FE4A4E9" w14:textId="77777777" w:rsidR="008A2B37" w:rsidRDefault="008A2B37" w:rsidP="00F0324C">
      <w:pPr>
        <w:pStyle w:val="BodyText"/>
        <w:kinsoku w:val="0"/>
        <w:overflowPunct w:val="0"/>
        <w:ind w:left="630" w:right="182" w:hanging="270"/>
        <w:rPr>
          <w:u w:val="single"/>
        </w:rPr>
      </w:pPr>
    </w:p>
    <w:p w14:paraId="1C181A83" w14:textId="77777777" w:rsidR="008A2B37" w:rsidRDefault="008A2B37" w:rsidP="00F0324C">
      <w:pPr>
        <w:pStyle w:val="BodyText"/>
        <w:kinsoku w:val="0"/>
        <w:overflowPunct w:val="0"/>
        <w:ind w:left="630" w:right="182" w:hanging="270"/>
        <w:rPr>
          <w:u w:val="single"/>
        </w:rPr>
      </w:pPr>
    </w:p>
    <w:p w14:paraId="0522AAFA" w14:textId="77777777" w:rsidR="008A2B37" w:rsidRDefault="008A2B37" w:rsidP="00F0324C">
      <w:pPr>
        <w:pStyle w:val="BodyText"/>
        <w:kinsoku w:val="0"/>
        <w:overflowPunct w:val="0"/>
        <w:ind w:left="630" w:right="182" w:hanging="270"/>
        <w:rPr>
          <w:u w:val="single"/>
        </w:rPr>
      </w:pPr>
    </w:p>
    <w:p w14:paraId="6546C5C5" w14:textId="77777777" w:rsidR="008A2B37" w:rsidRDefault="008A2B37" w:rsidP="00F0324C">
      <w:pPr>
        <w:pStyle w:val="BodyText"/>
        <w:kinsoku w:val="0"/>
        <w:overflowPunct w:val="0"/>
        <w:ind w:left="630" w:right="182" w:hanging="270"/>
        <w:rPr>
          <w:u w:val="single"/>
        </w:rPr>
      </w:pPr>
    </w:p>
    <w:p w14:paraId="05121B22" w14:textId="77777777" w:rsidR="008A2B37" w:rsidRDefault="008A2B37" w:rsidP="00F0324C">
      <w:pPr>
        <w:pStyle w:val="BodyText"/>
        <w:kinsoku w:val="0"/>
        <w:overflowPunct w:val="0"/>
        <w:ind w:left="630" w:right="182" w:hanging="270"/>
        <w:rPr>
          <w:u w:val="single"/>
        </w:rPr>
      </w:pPr>
    </w:p>
    <w:p w14:paraId="1594CA0A" w14:textId="77777777" w:rsidR="008A2B37" w:rsidRPr="004C156D" w:rsidRDefault="008A2B37" w:rsidP="00F0324C">
      <w:pPr>
        <w:pStyle w:val="BodyText"/>
        <w:kinsoku w:val="0"/>
        <w:overflowPunct w:val="0"/>
        <w:ind w:left="630" w:right="182" w:hanging="270"/>
        <w:rPr>
          <w:u w:val="single"/>
        </w:rPr>
      </w:pPr>
    </w:p>
    <w:p w14:paraId="4DCEBBD4" w14:textId="77777777" w:rsidR="003231EC" w:rsidRPr="004C156D" w:rsidRDefault="50A0CCFA" w:rsidP="50A0CCFA">
      <w:pPr>
        <w:ind w:left="990"/>
        <w:rPr>
          <w:b/>
          <w:bCs/>
          <w:u w:val="single"/>
        </w:rPr>
      </w:pPr>
      <w:r w:rsidRPr="004C156D">
        <w:rPr>
          <w:b/>
          <w:bCs/>
          <w:u w:val="single"/>
        </w:rPr>
        <w:t>Table 4.2.2(1c) Duct Leakage Imbalance Induced Infiltration</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150"/>
        <w:gridCol w:w="1096"/>
        <w:gridCol w:w="1099"/>
        <w:gridCol w:w="1101"/>
        <w:gridCol w:w="1096"/>
        <w:gridCol w:w="1096"/>
        <w:gridCol w:w="1096"/>
      </w:tblGrid>
      <w:tr w:rsidR="009B52D1" w:rsidRPr="004C156D" w14:paraId="5ADF469A" w14:textId="77777777" w:rsidTr="009B52D1">
        <w:trPr>
          <w:trHeight w:val="62"/>
          <w:jc w:val="center"/>
        </w:trPr>
        <w:tc>
          <w:tcPr>
            <w:tcW w:w="864" w:type="pct"/>
          </w:tcPr>
          <w:p w14:paraId="0F088BC3" w14:textId="77777777" w:rsidR="009B52D1" w:rsidRPr="004C156D" w:rsidRDefault="009B52D1" w:rsidP="009B52D1">
            <w:pPr>
              <w:rPr>
                <w:b/>
                <w:bCs/>
                <w:u w:val="single"/>
              </w:rPr>
            </w:pPr>
            <w:r w:rsidRPr="004C156D">
              <w:rPr>
                <w:b/>
                <w:bCs/>
                <w:u w:val="single"/>
              </w:rPr>
              <w:t>Leakage Imbalance</w:t>
            </w:r>
          </w:p>
        </w:tc>
        <w:tc>
          <w:tcPr>
            <w:tcW w:w="615" w:type="pct"/>
          </w:tcPr>
          <w:p w14:paraId="55E65FDA" w14:textId="77777777" w:rsidR="009B52D1" w:rsidRPr="004C156D" w:rsidRDefault="009B52D1" w:rsidP="009B52D1">
            <w:pPr>
              <w:jc w:val="right"/>
              <w:rPr>
                <w:b/>
                <w:u w:val="single"/>
              </w:rPr>
            </w:pPr>
            <w:r w:rsidRPr="004C156D">
              <w:rPr>
                <w:b/>
                <w:u w:val="single"/>
              </w:rPr>
              <w:t>Duct Space Venting</w:t>
            </w:r>
          </w:p>
        </w:tc>
        <w:tc>
          <w:tcPr>
            <w:tcW w:w="586" w:type="pct"/>
          </w:tcPr>
          <w:p w14:paraId="01F807E3" w14:textId="77777777" w:rsidR="009B52D1" w:rsidRPr="004C156D" w:rsidRDefault="009B52D1" w:rsidP="009B52D1">
            <w:pPr>
              <w:jc w:val="right"/>
              <w:rPr>
                <w:b/>
                <w:u w:val="single"/>
              </w:rPr>
            </w:pPr>
            <w:r w:rsidRPr="004C156D">
              <w:rPr>
                <w:b/>
                <w:u w:val="single"/>
              </w:rPr>
              <w:t>Fraction from outside into CSV</w:t>
            </w:r>
          </w:p>
        </w:tc>
        <w:tc>
          <w:tcPr>
            <w:tcW w:w="588" w:type="pct"/>
          </w:tcPr>
          <w:p w14:paraId="7A0E086B" w14:textId="5983E4AB" w:rsidR="009B52D1" w:rsidRPr="004C156D" w:rsidRDefault="009B52D1" w:rsidP="009B52D1">
            <w:pPr>
              <w:jc w:val="right"/>
              <w:rPr>
                <w:b/>
                <w:u w:val="single"/>
              </w:rPr>
            </w:pPr>
            <w:r w:rsidRPr="00B72638">
              <w:rPr>
                <w:b/>
                <w:color w:val="FF0000"/>
                <w:u w:val="single"/>
              </w:rPr>
              <w:t>Fraction from CSV to outside</w:t>
            </w:r>
          </w:p>
        </w:tc>
        <w:tc>
          <w:tcPr>
            <w:tcW w:w="589" w:type="pct"/>
          </w:tcPr>
          <w:p w14:paraId="23535334" w14:textId="7ACFD213" w:rsidR="009B52D1" w:rsidRPr="004C156D" w:rsidRDefault="009B52D1" w:rsidP="009B52D1">
            <w:pPr>
              <w:jc w:val="right"/>
              <w:rPr>
                <w:b/>
                <w:u w:val="single"/>
              </w:rPr>
            </w:pPr>
            <w:r w:rsidRPr="004C156D">
              <w:rPr>
                <w:b/>
                <w:u w:val="single"/>
              </w:rPr>
              <w:t>Fraction from outside into duct space</w:t>
            </w:r>
          </w:p>
        </w:tc>
        <w:tc>
          <w:tcPr>
            <w:tcW w:w="586" w:type="pct"/>
          </w:tcPr>
          <w:p w14:paraId="6D60FAF8" w14:textId="24C9B1FA" w:rsidR="009B52D1" w:rsidRPr="004C156D" w:rsidRDefault="009B52D1" w:rsidP="009B52D1">
            <w:pPr>
              <w:jc w:val="right"/>
              <w:rPr>
                <w:b/>
                <w:u w:val="single"/>
              </w:rPr>
            </w:pPr>
            <w:r w:rsidRPr="00B72638">
              <w:rPr>
                <w:b/>
                <w:color w:val="FF0000"/>
                <w:u w:val="single"/>
              </w:rPr>
              <w:t>Fraction from duct space to outside</w:t>
            </w:r>
          </w:p>
        </w:tc>
        <w:tc>
          <w:tcPr>
            <w:tcW w:w="586" w:type="pct"/>
          </w:tcPr>
          <w:p w14:paraId="4EABAD29" w14:textId="661D86BD" w:rsidR="009B52D1" w:rsidRPr="004C156D" w:rsidRDefault="009B52D1" w:rsidP="009B52D1">
            <w:pPr>
              <w:jc w:val="right"/>
              <w:rPr>
                <w:b/>
                <w:u w:val="single"/>
              </w:rPr>
            </w:pPr>
            <w:r w:rsidRPr="004C156D">
              <w:rPr>
                <w:b/>
                <w:u w:val="single"/>
              </w:rPr>
              <w:t>Fraction from duct space into CSV</w:t>
            </w:r>
          </w:p>
        </w:tc>
        <w:tc>
          <w:tcPr>
            <w:tcW w:w="586" w:type="pct"/>
          </w:tcPr>
          <w:p w14:paraId="2B1EE260" w14:textId="78111353" w:rsidR="009B52D1" w:rsidRPr="004C156D" w:rsidRDefault="009B52D1" w:rsidP="009B52D1">
            <w:pPr>
              <w:jc w:val="right"/>
              <w:rPr>
                <w:b/>
                <w:u w:val="single"/>
              </w:rPr>
            </w:pPr>
            <w:r w:rsidRPr="004C156D">
              <w:rPr>
                <w:b/>
                <w:u w:val="single"/>
              </w:rPr>
              <w:t xml:space="preserve">Fraction from CSV into duct space </w:t>
            </w:r>
          </w:p>
        </w:tc>
      </w:tr>
      <w:tr w:rsidR="009B52D1" w:rsidRPr="004C156D" w14:paraId="5A5D68D2" w14:textId="77777777" w:rsidTr="009B52D1">
        <w:trPr>
          <w:jc w:val="center"/>
        </w:trPr>
        <w:tc>
          <w:tcPr>
            <w:tcW w:w="864" w:type="pct"/>
          </w:tcPr>
          <w:p w14:paraId="42A477F5" w14:textId="77777777" w:rsidR="009B52D1" w:rsidRPr="004C156D" w:rsidRDefault="009B52D1" w:rsidP="009B52D1">
            <w:pPr>
              <w:rPr>
                <w:u w:val="single"/>
              </w:rPr>
            </w:pPr>
            <w:r w:rsidRPr="004C156D">
              <w:rPr>
                <w:u w:val="single"/>
              </w:rPr>
              <w:t>Supply &gt; Return (CSV depressurized)</w:t>
            </w:r>
          </w:p>
        </w:tc>
        <w:tc>
          <w:tcPr>
            <w:tcW w:w="615" w:type="pct"/>
          </w:tcPr>
          <w:p w14:paraId="3A9ACF11" w14:textId="77777777" w:rsidR="009B52D1" w:rsidRPr="004C156D" w:rsidRDefault="009B52D1" w:rsidP="009B52D1">
            <w:pPr>
              <w:jc w:val="right"/>
              <w:rPr>
                <w:u w:val="single"/>
              </w:rPr>
            </w:pPr>
            <w:r w:rsidRPr="004C156D">
              <w:rPr>
                <w:u w:val="single"/>
              </w:rPr>
              <w:t>Vented</w:t>
            </w:r>
          </w:p>
        </w:tc>
        <w:tc>
          <w:tcPr>
            <w:tcW w:w="586" w:type="pct"/>
          </w:tcPr>
          <w:p w14:paraId="60068994" w14:textId="77777777" w:rsidR="009B52D1" w:rsidRPr="004C156D" w:rsidRDefault="009B52D1" w:rsidP="009B52D1">
            <w:pPr>
              <w:jc w:val="right"/>
              <w:rPr>
                <w:u w:val="single"/>
              </w:rPr>
            </w:pPr>
            <w:r w:rsidRPr="004C156D">
              <w:rPr>
                <w:u w:val="single"/>
              </w:rPr>
              <w:t>1.0</w:t>
            </w:r>
          </w:p>
        </w:tc>
        <w:tc>
          <w:tcPr>
            <w:tcW w:w="588" w:type="pct"/>
          </w:tcPr>
          <w:p w14:paraId="1C6CE9FB" w14:textId="33E8523B" w:rsidR="009B52D1" w:rsidRPr="00B72638" w:rsidRDefault="009B52D1" w:rsidP="009B52D1">
            <w:pPr>
              <w:jc w:val="right"/>
              <w:rPr>
                <w:color w:val="FF0000"/>
                <w:u w:val="single"/>
              </w:rPr>
            </w:pPr>
            <w:r w:rsidRPr="00B72638">
              <w:rPr>
                <w:color w:val="FF0000"/>
                <w:u w:val="single"/>
              </w:rPr>
              <w:t>0.0</w:t>
            </w:r>
          </w:p>
        </w:tc>
        <w:tc>
          <w:tcPr>
            <w:tcW w:w="589" w:type="pct"/>
          </w:tcPr>
          <w:p w14:paraId="75D8DAC3" w14:textId="0BF8EE92" w:rsidR="009B52D1" w:rsidRPr="004C156D" w:rsidRDefault="009B52D1" w:rsidP="009B52D1">
            <w:pPr>
              <w:jc w:val="right"/>
              <w:rPr>
                <w:u w:val="single"/>
              </w:rPr>
            </w:pPr>
            <w:r w:rsidRPr="004C156D">
              <w:rPr>
                <w:u w:val="single"/>
              </w:rPr>
              <w:t>0.0</w:t>
            </w:r>
          </w:p>
        </w:tc>
        <w:tc>
          <w:tcPr>
            <w:tcW w:w="586" w:type="pct"/>
          </w:tcPr>
          <w:p w14:paraId="50A0183F" w14:textId="68BD908B" w:rsidR="009B52D1" w:rsidRPr="00B72638" w:rsidRDefault="009B52D1" w:rsidP="009B52D1">
            <w:pPr>
              <w:jc w:val="right"/>
              <w:rPr>
                <w:color w:val="FF0000"/>
                <w:u w:val="single"/>
              </w:rPr>
            </w:pPr>
            <w:r w:rsidRPr="00B72638">
              <w:rPr>
                <w:color w:val="FF0000"/>
                <w:u w:val="single"/>
              </w:rPr>
              <w:t>1.0</w:t>
            </w:r>
          </w:p>
        </w:tc>
        <w:tc>
          <w:tcPr>
            <w:tcW w:w="586" w:type="pct"/>
          </w:tcPr>
          <w:p w14:paraId="1B4D6F8A" w14:textId="01BEECAD" w:rsidR="009B52D1" w:rsidRPr="004C156D" w:rsidRDefault="009B52D1" w:rsidP="009B52D1">
            <w:pPr>
              <w:jc w:val="right"/>
              <w:rPr>
                <w:u w:val="single"/>
              </w:rPr>
            </w:pPr>
            <w:r w:rsidRPr="004C156D">
              <w:rPr>
                <w:u w:val="single"/>
              </w:rPr>
              <w:t>0.0</w:t>
            </w:r>
          </w:p>
        </w:tc>
        <w:tc>
          <w:tcPr>
            <w:tcW w:w="586" w:type="pct"/>
          </w:tcPr>
          <w:p w14:paraId="04BCCEFD" w14:textId="77777777" w:rsidR="009B52D1" w:rsidRPr="004C156D" w:rsidRDefault="009B52D1" w:rsidP="009B52D1">
            <w:pPr>
              <w:jc w:val="right"/>
              <w:rPr>
                <w:u w:val="single"/>
              </w:rPr>
            </w:pPr>
            <w:r w:rsidRPr="004C156D">
              <w:rPr>
                <w:u w:val="single"/>
              </w:rPr>
              <w:t>0.0</w:t>
            </w:r>
          </w:p>
        </w:tc>
      </w:tr>
      <w:tr w:rsidR="009B52D1" w:rsidRPr="004C156D" w14:paraId="4F13F35E" w14:textId="77777777" w:rsidTr="009B52D1">
        <w:trPr>
          <w:jc w:val="center"/>
        </w:trPr>
        <w:tc>
          <w:tcPr>
            <w:tcW w:w="864" w:type="pct"/>
          </w:tcPr>
          <w:p w14:paraId="4C8B20DF" w14:textId="77777777" w:rsidR="009B52D1" w:rsidRPr="004C156D" w:rsidRDefault="009B52D1" w:rsidP="009B52D1">
            <w:pPr>
              <w:rPr>
                <w:u w:val="single"/>
              </w:rPr>
            </w:pPr>
            <w:r w:rsidRPr="004C156D">
              <w:rPr>
                <w:u w:val="single"/>
              </w:rPr>
              <w:t>Supply &gt; Return (CSV depressurized)</w:t>
            </w:r>
          </w:p>
        </w:tc>
        <w:tc>
          <w:tcPr>
            <w:tcW w:w="615" w:type="pct"/>
          </w:tcPr>
          <w:p w14:paraId="1078EA06" w14:textId="77777777" w:rsidR="009B52D1" w:rsidRPr="004C156D" w:rsidRDefault="009B52D1" w:rsidP="009B52D1">
            <w:pPr>
              <w:jc w:val="right"/>
              <w:rPr>
                <w:u w:val="single"/>
              </w:rPr>
            </w:pPr>
            <w:r w:rsidRPr="004C156D">
              <w:rPr>
                <w:u w:val="single"/>
              </w:rPr>
              <w:t>Unvented</w:t>
            </w:r>
          </w:p>
        </w:tc>
        <w:tc>
          <w:tcPr>
            <w:tcW w:w="586" w:type="pct"/>
          </w:tcPr>
          <w:p w14:paraId="09B6A7F3" w14:textId="77777777" w:rsidR="009B52D1" w:rsidRPr="004C156D" w:rsidRDefault="009B52D1" w:rsidP="009B52D1">
            <w:pPr>
              <w:jc w:val="right"/>
              <w:rPr>
                <w:u w:val="single"/>
              </w:rPr>
            </w:pPr>
            <w:r w:rsidRPr="004C156D">
              <w:rPr>
                <w:u w:val="single"/>
              </w:rPr>
              <w:t>0.5</w:t>
            </w:r>
          </w:p>
        </w:tc>
        <w:tc>
          <w:tcPr>
            <w:tcW w:w="588" w:type="pct"/>
          </w:tcPr>
          <w:p w14:paraId="6741925A" w14:textId="72A780AA" w:rsidR="009B52D1" w:rsidRPr="00B72638" w:rsidRDefault="009B52D1" w:rsidP="009B52D1">
            <w:pPr>
              <w:jc w:val="right"/>
              <w:rPr>
                <w:color w:val="FF0000"/>
                <w:u w:val="single"/>
              </w:rPr>
            </w:pPr>
            <w:r w:rsidRPr="00B72638">
              <w:rPr>
                <w:color w:val="FF0000"/>
                <w:u w:val="single"/>
              </w:rPr>
              <w:t>0.0</w:t>
            </w:r>
          </w:p>
        </w:tc>
        <w:tc>
          <w:tcPr>
            <w:tcW w:w="589" w:type="pct"/>
          </w:tcPr>
          <w:p w14:paraId="3F55B87E" w14:textId="1E2467AA" w:rsidR="009B52D1" w:rsidRPr="004C156D" w:rsidRDefault="009B52D1" w:rsidP="009B52D1">
            <w:pPr>
              <w:jc w:val="right"/>
              <w:rPr>
                <w:u w:val="single"/>
              </w:rPr>
            </w:pPr>
            <w:r w:rsidRPr="004C156D">
              <w:rPr>
                <w:u w:val="single"/>
              </w:rPr>
              <w:t>0.0</w:t>
            </w:r>
          </w:p>
        </w:tc>
        <w:tc>
          <w:tcPr>
            <w:tcW w:w="586" w:type="pct"/>
          </w:tcPr>
          <w:p w14:paraId="0700F400" w14:textId="4B5F24B3" w:rsidR="009B52D1" w:rsidRPr="00B72638" w:rsidRDefault="009B52D1" w:rsidP="009B52D1">
            <w:pPr>
              <w:jc w:val="right"/>
              <w:rPr>
                <w:color w:val="FF0000"/>
                <w:u w:val="single"/>
              </w:rPr>
            </w:pPr>
            <w:r w:rsidRPr="00B72638">
              <w:rPr>
                <w:color w:val="FF0000"/>
                <w:u w:val="single"/>
              </w:rPr>
              <w:t>0.5</w:t>
            </w:r>
          </w:p>
        </w:tc>
        <w:tc>
          <w:tcPr>
            <w:tcW w:w="586" w:type="pct"/>
          </w:tcPr>
          <w:p w14:paraId="5693A1D9" w14:textId="788493D6" w:rsidR="009B52D1" w:rsidRPr="004C156D" w:rsidRDefault="009B52D1" w:rsidP="009B52D1">
            <w:pPr>
              <w:jc w:val="right"/>
              <w:rPr>
                <w:u w:val="single"/>
              </w:rPr>
            </w:pPr>
            <w:r w:rsidRPr="004C156D">
              <w:rPr>
                <w:u w:val="single"/>
              </w:rPr>
              <w:t>0.5</w:t>
            </w:r>
          </w:p>
        </w:tc>
        <w:tc>
          <w:tcPr>
            <w:tcW w:w="586" w:type="pct"/>
          </w:tcPr>
          <w:p w14:paraId="78B4E722" w14:textId="77777777" w:rsidR="009B52D1" w:rsidRPr="004C156D" w:rsidRDefault="009B52D1" w:rsidP="009B52D1">
            <w:pPr>
              <w:jc w:val="right"/>
              <w:rPr>
                <w:u w:val="single"/>
              </w:rPr>
            </w:pPr>
            <w:r w:rsidRPr="004C156D">
              <w:rPr>
                <w:u w:val="single"/>
              </w:rPr>
              <w:t>0.0</w:t>
            </w:r>
          </w:p>
        </w:tc>
      </w:tr>
      <w:tr w:rsidR="009B52D1" w:rsidRPr="004C156D" w14:paraId="2E8822D2" w14:textId="77777777" w:rsidTr="009B52D1">
        <w:trPr>
          <w:jc w:val="center"/>
        </w:trPr>
        <w:tc>
          <w:tcPr>
            <w:tcW w:w="864" w:type="pct"/>
          </w:tcPr>
          <w:p w14:paraId="4B6C4C44" w14:textId="77777777" w:rsidR="009B52D1" w:rsidRPr="004C156D" w:rsidRDefault="009B52D1" w:rsidP="009B52D1">
            <w:pPr>
              <w:rPr>
                <w:u w:val="single"/>
              </w:rPr>
            </w:pPr>
            <w:r w:rsidRPr="004C156D">
              <w:rPr>
                <w:u w:val="single"/>
              </w:rPr>
              <w:t>Supply &lt; Return (CSV pressurized)</w:t>
            </w:r>
          </w:p>
        </w:tc>
        <w:tc>
          <w:tcPr>
            <w:tcW w:w="615" w:type="pct"/>
          </w:tcPr>
          <w:p w14:paraId="14B6B4DB" w14:textId="77777777" w:rsidR="009B52D1" w:rsidRPr="004C156D" w:rsidRDefault="009B52D1" w:rsidP="009B52D1">
            <w:pPr>
              <w:jc w:val="right"/>
              <w:rPr>
                <w:u w:val="single"/>
              </w:rPr>
            </w:pPr>
            <w:r w:rsidRPr="004C156D">
              <w:rPr>
                <w:u w:val="single"/>
              </w:rPr>
              <w:t>Vented</w:t>
            </w:r>
          </w:p>
        </w:tc>
        <w:tc>
          <w:tcPr>
            <w:tcW w:w="586" w:type="pct"/>
          </w:tcPr>
          <w:p w14:paraId="4044FB78" w14:textId="77777777" w:rsidR="009B52D1" w:rsidRPr="004C156D" w:rsidRDefault="009B52D1" w:rsidP="009B52D1">
            <w:pPr>
              <w:jc w:val="right"/>
              <w:rPr>
                <w:u w:val="single"/>
              </w:rPr>
            </w:pPr>
            <w:r w:rsidRPr="004C156D">
              <w:rPr>
                <w:u w:val="single"/>
              </w:rPr>
              <w:t>0.0</w:t>
            </w:r>
          </w:p>
        </w:tc>
        <w:tc>
          <w:tcPr>
            <w:tcW w:w="588" w:type="pct"/>
          </w:tcPr>
          <w:p w14:paraId="761DF345" w14:textId="1EFFF4CB" w:rsidR="009B52D1" w:rsidRPr="00B72638" w:rsidRDefault="009B52D1" w:rsidP="009B52D1">
            <w:pPr>
              <w:jc w:val="right"/>
              <w:rPr>
                <w:color w:val="FF0000"/>
                <w:u w:val="single"/>
              </w:rPr>
            </w:pPr>
            <w:r w:rsidRPr="00B72638">
              <w:rPr>
                <w:color w:val="FF0000"/>
                <w:u w:val="single"/>
              </w:rPr>
              <w:t>1.0</w:t>
            </w:r>
          </w:p>
        </w:tc>
        <w:tc>
          <w:tcPr>
            <w:tcW w:w="589" w:type="pct"/>
          </w:tcPr>
          <w:p w14:paraId="316FF021" w14:textId="23666777" w:rsidR="009B52D1" w:rsidRPr="004C156D" w:rsidRDefault="009B52D1" w:rsidP="009B52D1">
            <w:pPr>
              <w:jc w:val="right"/>
              <w:rPr>
                <w:u w:val="single"/>
              </w:rPr>
            </w:pPr>
            <w:r w:rsidRPr="004C156D">
              <w:rPr>
                <w:u w:val="single"/>
              </w:rPr>
              <w:t>1.0</w:t>
            </w:r>
          </w:p>
        </w:tc>
        <w:tc>
          <w:tcPr>
            <w:tcW w:w="586" w:type="pct"/>
          </w:tcPr>
          <w:p w14:paraId="6FD7F683" w14:textId="1C0FB8B4" w:rsidR="009B52D1" w:rsidRPr="00B72638" w:rsidRDefault="009B52D1" w:rsidP="009B52D1">
            <w:pPr>
              <w:jc w:val="right"/>
              <w:rPr>
                <w:color w:val="FF0000"/>
                <w:u w:val="single"/>
              </w:rPr>
            </w:pPr>
            <w:r w:rsidRPr="00B72638">
              <w:rPr>
                <w:color w:val="FF0000"/>
                <w:u w:val="single"/>
              </w:rPr>
              <w:t>0.0</w:t>
            </w:r>
          </w:p>
        </w:tc>
        <w:tc>
          <w:tcPr>
            <w:tcW w:w="586" w:type="pct"/>
          </w:tcPr>
          <w:p w14:paraId="2E5BEB0B" w14:textId="29BF836E" w:rsidR="009B52D1" w:rsidRPr="004C156D" w:rsidRDefault="009B52D1" w:rsidP="009B52D1">
            <w:pPr>
              <w:jc w:val="right"/>
              <w:rPr>
                <w:u w:val="single"/>
              </w:rPr>
            </w:pPr>
            <w:r w:rsidRPr="004C156D">
              <w:rPr>
                <w:u w:val="single"/>
              </w:rPr>
              <w:t>0.0</w:t>
            </w:r>
          </w:p>
        </w:tc>
        <w:tc>
          <w:tcPr>
            <w:tcW w:w="586" w:type="pct"/>
          </w:tcPr>
          <w:p w14:paraId="1754E2A9" w14:textId="77777777" w:rsidR="009B52D1" w:rsidRPr="004C156D" w:rsidRDefault="009B52D1" w:rsidP="009B52D1">
            <w:pPr>
              <w:jc w:val="right"/>
              <w:rPr>
                <w:u w:val="single"/>
              </w:rPr>
            </w:pPr>
            <w:r w:rsidRPr="004C156D">
              <w:rPr>
                <w:u w:val="single"/>
              </w:rPr>
              <w:t>0.0</w:t>
            </w:r>
          </w:p>
        </w:tc>
      </w:tr>
      <w:tr w:rsidR="009B52D1" w:rsidRPr="004C156D" w14:paraId="683661FF" w14:textId="77777777" w:rsidTr="009B52D1">
        <w:trPr>
          <w:jc w:val="center"/>
        </w:trPr>
        <w:tc>
          <w:tcPr>
            <w:tcW w:w="864" w:type="pct"/>
          </w:tcPr>
          <w:p w14:paraId="37AC9952" w14:textId="77777777" w:rsidR="009B52D1" w:rsidRPr="004C156D" w:rsidRDefault="009B52D1" w:rsidP="009B52D1">
            <w:pPr>
              <w:rPr>
                <w:u w:val="single"/>
              </w:rPr>
            </w:pPr>
            <w:r w:rsidRPr="004C156D">
              <w:rPr>
                <w:u w:val="single"/>
              </w:rPr>
              <w:t>Supply &lt; Return</w:t>
            </w:r>
            <w:r w:rsidRPr="004C156D">
              <w:rPr>
                <w:u w:val="single"/>
              </w:rPr>
              <w:br/>
              <w:t>(CSV pressurized)</w:t>
            </w:r>
          </w:p>
        </w:tc>
        <w:tc>
          <w:tcPr>
            <w:tcW w:w="615" w:type="pct"/>
          </w:tcPr>
          <w:p w14:paraId="7382C01E" w14:textId="77777777" w:rsidR="009B52D1" w:rsidRPr="004C156D" w:rsidRDefault="009B52D1" w:rsidP="009B52D1">
            <w:pPr>
              <w:jc w:val="right"/>
              <w:rPr>
                <w:u w:val="single"/>
              </w:rPr>
            </w:pPr>
            <w:r w:rsidRPr="004C156D">
              <w:rPr>
                <w:u w:val="single"/>
              </w:rPr>
              <w:t>Unvented</w:t>
            </w:r>
          </w:p>
        </w:tc>
        <w:tc>
          <w:tcPr>
            <w:tcW w:w="586" w:type="pct"/>
          </w:tcPr>
          <w:p w14:paraId="7A113D39" w14:textId="77777777" w:rsidR="009B52D1" w:rsidRPr="004C156D" w:rsidRDefault="009B52D1" w:rsidP="009B52D1">
            <w:pPr>
              <w:jc w:val="right"/>
              <w:rPr>
                <w:u w:val="single"/>
              </w:rPr>
            </w:pPr>
            <w:r w:rsidRPr="004C156D">
              <w:rPr>
                <w:u w:val="single"/>
              </w:rPr>
              <w:t>0.0</w:t>
            </w:r>
          </w:p>
        </w:tc>
        <w:tc>
          <w:tcPr>
            <w:tcW w:w="588" w:type="pct"/>
          </w:tcPr>
          <w:p w14:paraId="4E11919D" w14:textId="5C5ECD1C" w:rsidR="009B52D1" w:rsidRPr="00B72638" w:rsidRDefault="009B52D1" w:rsidP="009B52D1">
            <w:pPr>
              <w:jc w:val="right"/>
              <w:rPr>
                <w:color w:val="FF0000"/>
                <w:u w:val="single"/>
              </w:rPr>
            </w:pPr>
            <w:r w:rsidRPr="00B72638">
              <w:rPr>
                <w:color w:val="FF0000"/>
                <w:u w:val="single"/>
              </w:rPr>
              <w:t>0.5</w:t>
            </w:r>
          </w:p>
        </w:tc>
        <w:tc>
          <w:tcPr>
            <w:tcW w:w="589" w:type="pct"/>
          </w:tcPr>
          <w:p w14:paraId="0266BD81" w14:textId="5E230D1A" w:rsidR="009B52D1" w:rsidRPr="004C156D" w:rsidRDefault="009B52D1" w:rsidP="009B52D1">
            <w:pPr>
              <w:jc w:val="right"/>
              <w:rPr>
                <w:u w:val="single"/>
              </w:rPr>
            </w:pPr>
            <w:r w:rsidRPr="004C156D">
              <w:rPr>
                <w:u w:val="single"/>
              </w:rPr>
              <w:t>0.5</w:t>
            </w:r>
          </w:p>
        </w:tc>
        <w:tc>
          <w:tcPr>
            <w:tcW w:w="586" w:type="pct"/>
          </w:tcPr>
          <w:p w14:paraId="2447BE01" w14:textId="222D846B" w:rsidR="009B52D1" w:rsidRPr="00B72638" w:rsidRDefault="009B52D1" w:rsidP="009B52D1">
            <w:pPr>
              <w:jc w:val="right"/>
              <w:rPr>
                <w:color w:val="FF0000"/>
                <w:u w:val="single"/>
              </w:rPr>
            </w:pPr>
            <w:r w:rsidRPr="00B72638">
              <w:rPr>
                <w:color w:val="FF0000"/>
                <w:u w:val="single"/>
              </w:rPr>
              <w:t>0.0</w:t>
            </w:r>
          </w:p>
        </w:tc>
        <w:tc>
          <w:tcPr>
            <w:tcW w:w="586" w:type="pct"/>
          </w:tcPr>
          <w:p w14:paraId="3A80B2D7" w14:textId="28C8F5BA" w:rsidR="009B52D1" w:rsidRPr="004C156D" w:rsidRDefault="009B52D1" w:rsidP="009B52D1">
            <w:pPr>
              <w:jc w:val="right"/>
              <w:rPr>
                <w:u w:val="single"/>
              </w:rPr>
            </w:pPr>
            <w:r w:rsidRPr="004C156D">
              <w:rPr>
                <w:u w:val="single"/>
              </w:rPr>
              <w:t>0.0</w:t>
            </w:r>
          </w:p>
        </w:tc>
        <w:tc>
          <w:tcPr>
            <w:tcW w:w="586" w:type="pct"/>
          </w:tcPr>
          <w:p w14:paraId="7659A5B1" w14:textId="77777777" w:rsidR="009B52D1" w:rsidRPr="004C156D" w:rsidRDefault="009B52D1" w:rsidP="009B52D1">
            <w:pPr>
              <w:jc w:val="right"/>
              <w:rPr>
                <w:u w:val="single"/>
              </w:rPr>
            </w:pPr>
            <w:r w:rsidRPr="004C156D">
              <w:rPr>
                <w:u w:val="single"/>
              </w:rPr>
              <w:t>0.5</w:t>
            </w:r>
          </w:p>
        </w:tc>
      </w:tr>
    </w:tbl>
    <w:p w14:paraId="4B0040F7" w14:textId="095A66A8" w:rsidR="00271CC9" w:rsidRPr="00FA69E8" w:rsidRDefault="00271CC9" w:rsidP="00A0784D">
      <w:pPr>
        <w:ind w:left="630"/>
        <w:rPr>
          <w:w w:val="105"/>
        </w:rPr>
      </w:pPr>
    </w:p>
    <w:bookmarkEnd w:id="53"/>
    <w:p w14:paraId="38041EBE" w14:textId="77777777" w:rsidR="00271CC9" w:rsidRDefault="00271CC9" w:rsidP="00A0784D">
      <w:pPr>
        <w:ind w:left="630"/>
        <w:rPr>
          <w:w w:val="105"/>
        </w:rPr>
      </w:pPr>
    </w:p>
    <w:p w14:paraId="1A5582AE" w14:textId="77777777" w:rsidR="00CD4FDA" w:rsidRPr="00FA69E8" w:rsidRDefault="00CD4FDA" w:rsidP="00A0784D">
      <w:pPr>
        <w:ind w:left="630"/>
        <w:rPr>
          <w:w w:val="105"/>
        </w:rPr>
      </w:pPr>
    </w:p>
    <w:p w14:paraId="7D575430" w14:textId="63C92E5A" w:rsidR="000F5318" w:rsidRPr="004C156D" w:rsidRDefault="000F5318" w:rsidP="00F0324C">
      <w:pPr>
        <w:ind w:left="630" w:hanging="270"/>
      </w:pPr>
      <w:proofErr w:type="spellStart"/>
      <w:r w:rsidRPr="004C156D">
        <w:t>zz</w:t>
      </w:r>
      <w:proofErr w:type="spellEnd"/>
      <w:r w:rsidRPr="004C156D">
        <w:t xml:space="preserve">. Minimum continuous mechanical ventilation system requirements for the Rated Home shall be equal to </w:t>
      </w:r>
      <w:proofErr w:type="spellStart"/>
      <w:r w:rsidRPr="004C156D">
        <w:t>Qfan_max</w:t>
      </w:r>
      <w:proofErr w:type="spellEnd"/>
      <w:r w:rsidRPr="004C156D">
        <w:t>, which shall be calculated as follows:</w:t>
      </w:r>
    </w:p>
    <w:p w14:paraId="1A45BC9C" w14:textId="77777777" w:rsidR="000F5318" w:rsidRPr="004C156D" w:rsidRDefault="000F5318" w:rsidP="000F5318">
      <w:pPr>
        <w:spacing w:before="120"/>
        <w:ind w:left="900"/>
      </w:pPr>
      <w:r w:rsidRPr="004C156D">
        <w:lastRenderedPageBreak/>
        <w:t xml:space="preserve">IF </w:t>
      </w:r>
      <w:proofErr w:type="spellStart"/>
      <w:r w:rsidRPr="004C156D">
        <w:t>FracImbal</w:t>
      </w:r>
      <w:proofErr w:type="spellEnd"/>
      <w:r w:rsidRPr="004C156D">
        <w:t xml:space="preserve"> = 0</w:t>
      </w:r>
    </w:p>
    <w:p w14:paraId="00617A3A" w14:textId="151AFC72" w:rsidR="000F5318" w:rsidRPr="004C156D" w:rsidRDefault="000F5318" w:rsidP="000F5318">
      <w:pPr>
        <w:ind w:left="1170"/>
      </w:pPr>
      <w:proofErr w:type="spellStart"/>
      <w:r w:rsidRPr="004C156D">
        <w:t>Qfan_max</w:t>
      </w:r>
      <w:proofErr w:type="spellEnd"/>
      <w:r w:rsidRPr="004C156D">
        <w:t xml:space="preserve"> = </w:t>
      </w:r>
      <w:proofErr w:type="spellStart"/>
      <w:r w:rsidRPr="004C156D">
        <w:t>Qtot</w:t>
      </w:r>
      <w:proofErr w:type="spellEnd"/>
      <w:r w:rsidRPr="004C156D">
        <w:t xml:space="preserve"> – </w:t>
      </w:r>
      <w:proofErr w:type="spellStart"/>
      <w:r w:rsidRPr="004C156D">
        <w:t>Qinf</w:t>
      </w:r>
      <w:r w:rsidR="00880A04" w:rsidRPr="004C156D">
        <w:rPr>
          <w:u w:val="single"/>
        </w:rPr>
        <w:t>_</w:t>
      </w:r>
      <w:proofErr w:type="gramStart"/>
      <w:r w:rsidR="00880A04" w:rsidRPr="004C156D">
        <w:rPr>
          <w:u w:val="single"/>
        </w:rPr>
        <w:t>eff</w:t>
      </w:r>
      <w:proofErr w:type="spellEnd"/>
      <w:proofErr w:type="gramEnd"/>
    </w:p>
    <w:p w14:paraId="369AB679" w14:textId="77777777" w:rsidR="000F5318" w:rsidRPr="004C156D" w:rsidRDefault="000F5318" w:rsidP="000F5318">
      <w:pPr>
        <w:spacing w:before="120"/>
        <w:ind w:left="900"/>
      </w:pPr>
      <w:r w:rsidRPr="004C156D">
        <w:t>ELSE</w:t>
      </w:r>
    </w:p>
    <w:p w14:paraId="68570AA9" w14:textId="639727CA" w:rsidR="000F5318" w:rsidRPr="004C156D" w:rsidRDefault="000F5318" w:rsidP="000F5318">
      <w:pPr>
        <w:ind w:left="2430" w:hanging="1260"/>
      </w:pPr>
      <w:proofErr w:type="spellStart"/>
      <w:r w:rsidRPr="004C156D">
        <w:t>Qfan_max</w:t>
      </w:r>
      <w:proofErr w:type="spellEnd"/>
      <w:r w:rsidRPr="004C156D">
        <w:t xml:space="preserve"> = </w:t>
      </w:r>
      <w:r w:rsidR="002C3F08" w:rsidRPr="004C156D">
        <w:t>(</w:t>
      </w:r>
      <w:proofErr w:type="gramStart"/>
      <w:r w:rsidRPr="004C156D">
        <w:t>SQRT(</w:t>
      </w:r>
      <w:proofErr w:type="gramEnd"/>
      <w:r w:rsidRPr="004C156D">
        <w:t>FracImbal^2*Qtot^2 – 4*</w:t>
      </w:r>
      <w:proofErr w:type="spellStart"/>
      <w:r w:rsidRPr="004C156D">
        <w:t>FracImbal</w:t>
      </w:r>
      <w:proofErr w:type="spellEnd"/>
      <w:r w:rsidRPr="004C156D">
        <w:t>*Qinf</w:t>
      </w:r>
      <w:r w:rsidR="00880A04" w:rsidRPr="004C156D">
        <w:rPr>
          <w:u w:val="single"/>
        </w:rPr>
        <w:t>_eff</w:t>
      </w:r>
      <w:r w:rsidRPr="004C156D">
        <w:t>^2 +</w:t>
      </w:r>
      <w:r w:rsidRPr="004C156D">
        <w:br/>
        <w:t>2*</w:t>
      </w:r>
      <w:proofErr w:type="spellStart"/>
      <w:r w:rsidRPr="004C156D">
        <w:t>FracImbal</w:t>
      </w:r>
      <w:proofErr w:type="spellEnd"/>
      <w:r w:rsidRPr="004C156D">
        <w:t>*</w:t>
      </w:r>
      <w:proofErr w:type="spellStart"/>
      <w:r w:rsidRPr="004C156D">
        <w:t>Qinf</w:t>
      </w:r>
      <w:r w:rsidR="00880A04" w:rsidRPr="004C156D">
        <w:rPr>
          <w:u w:val="single"/>
        </w:rPr>
        <w:t>_eff</w:t>
      </w:r>
      <w:proofErr w:type="spellEnd"/>
      <w:r w:rsidRPr="004C156D">
        <w:t>*</w:t>
      </w:r>
      <w:proofErr w:type="spellStart"/>
      <w:r w:rsidRPr="004C156D">
        <w:t>Qtot</w:t>
      </w:r>
      <w:proofErr w:type="spellEnd"/>
      <w:r w:rsidRPr="004C156D">
        <w:t xml:space="preserve"> + Qinf</w:t>
      </w:r>
      <w:r w:rsidR="00880A04" w:rsidRPr="004C156D">
        <w:rPr>
          <w:u w:val="single"/>
        </w:rPr>
        <w:t>_eff</w:t>
      </w:r>
      <w:r w:rsidRPr="004C156D">
        <w:t xml:space="preserve">^2) + </w:t>
      </w:r>
      <w:proofErr w:type="spellStart"/>
      <w:r w:rsidRPr="004C156D">
        <w:t>FracImbal</w:t>
      </w:r>
      <w:proofErr w:type="spellEnd"/>
      <w:r w:rsidRPr="004C156D">
        <w:t>*</w:t>
      </w:r>
      <w:proofErr w:type="spellStart"/>
      <w:r w:rsidRPr="004C156D">
        <w:t>Qtot</w:t>
      </w:r>
      <w:proofErr w:type="spellEnd"/>
      <w:r w:rsidRPr="004C156D">
        <w:t xml:space="preserve"> -</w:t>
      </w:r>
      <w:r w:rsidRPr="004C156D">
        <w:br/>
      </w:r>
      <w:proofErr w:type="spellStart"/>
      <w:r w:rsidRPr="004C156D">
        <w:t>Qinf</w:t>
      </w:r>
      <w:r w:rsidR="00880A04" w:rsidRPr="004C156D">
        <w:rPr>
          <w:u w:val="single"/>
        </w:rPr>
        <w:t>_eff</w:t>
      </w:r>
      <w:proofErr w:type="spellEnd"/>
      <w:r w:rsidR="002C3F08" w:rsidRPr="004C156D">
        <w:t>)</w:t>
      </w:r>
      <w:r w:rsidRPr="004C156D">
        <w:t xml:space="preserve"> / (2*</w:t>
      </w:r>
      <w:proofErr w:type="spellStart"/>
      <w:r w:rsidRPr="004C156D">
        <w:t>FracImbal</w:t>
      </w:r>
      <w:proofErr w:type="spellEnd"/>
      <w:r w:rsidRPr="004C156D">
        <w:t>)</w:t>
      </w:r>
    </w:p>
    <w:p w14:paraId="6E40E14A" w14:textId="77777777" w:rsidR="000F5318" w:rsidRPr="004C156D" w:rsidRDefault="000F5318" w:rsidP="000F5318">
      <w:pPr>
        <w:tabs>
          <w:tab w:val="left" w:pos="1080"/>
        </w:tabs>
        <w:ind w:left="2347" w:hanging="1447"/>
      </w:pPr>
      <w:r w:rsidRPr="004C156D">
        <w:t>where:</w:t>
      </w:r>
    </w:p>
    <w:p w14:paraId="4A0FC34D" w14:textId="56A05327" w:rsidR="000F5318" w:rsidRPr="004C156D" w:rsidRDefault="000F5318" w:rsidP="000F5318">
      <w:pPr>
        <w:ind w:left="2347" w:hanging="1177"/>
      </w:pPr>
      <w:proofErr w:type="spellStart"/>
      <w:r w:rsidRPr="004C156D">
        <w:t>Qfan_max</w:t>
      </w:r>
      <w:proofErr w:type="spellEnd"/>
      <w:r w:rsidRPr="004C156D">
        <w:t xml:space="preserve"> </w:t>
      </w:r>
      <w:r w:rsidRPr="004C156D">
        <w:tab/>
        <w:t>= larger of Rated Home supply fan and exhaust fan air flows, cfm</w:t>
      </w:r>
    </w:p>
    <w:p w14:paraId="59C43EB5" w14:textId="5FA2E957" w:rsidR="000F5318" w:rsidRPr="004C156D" w:rsidRDefault="000F5318" w:rsidP="000F5318">
      <w:pPr>
        <w:ind w:left="2347" w:hanging="1177"/>
        <w:rPr>
          <w:u w:val="single"/>
        </w:rPr>
      </w:pPr>
      <w:proofErr w:type="spellStart"/>
      <w:r w:rsidRPr="004C156D">
        <w:t>FracImbal</w:t>
      </w:r>
      <w:proofErr w:type="spellEnd"/>
      <w:r w:rsidRPr="004C156D">
        <w:t xml:space="preserve"> </w:t>
      </w:r>
      <w:r w:rsidRPr="004C156D">
        <w:tab/>
        <w:t xml:space="preserve">= </w:t>
      </w:r>
      <w:proofErr w:type="gramStart"/>
      <w:r w:rsidRPr="004C156D">
        <w:t>ABS(</w:t>
      </w:r>
      <w:proofErr w:type="spellStart"/>
      <w:proofErr w:type="gramEnd"/>
      <w:r w:rsidRPr="004C156D">
        <w:t>Qfan_sup</w:t>
      </w:r>
      <w:proofErr w:type="spellEnd"/>
      <w:r w:rsidRPr="004C156D">
        <w:t xml:space="preserve"> – </w:t>
      </w:r>
      <w:proofErr w:type="spellStart"/>
      <w:r w:rsidRPr="004C156D">
        <w:t>Qfan_exh</w:t>
      </w:r>
      <w:proofErr w:type="spellEnd"/>
      <w:r w:rsidRPr="004C156D">
        <w:t>) / MAX (</w:t>
      </w:r>
      <w:proofErr w:type="spellStart"/>
      <w:r w:rsidRPr="004C156D">
        <w:t>Qfan_sup</w:t>
      </w:r>
      <w:proofErr w:type="spellEnd"/>
      <w:r w:rsidRPr="004C156D">
        <w:t xml:space="preserve">, </w:t>
      </w:r>
      <w:proofErr w:type="spellStart"/>
      <w:r w:rsidRPr="004C156D">
        <w:t>Qfan_exh</w:t>
      </w:r>
      <w:proofErr w:type="spellEnd"/>
      <w:r w:rsidRPr="004C156D">
        <w:t>)</w:t>
      </w:r>
    </w:p>
    <w:p w14:paraId="33FCA3BA" w14:textId="77777777" w:rsidR="008040A1" w:rsidRPr="004C156D" w:rsidRDefault="008040A1" w:rsidP="008040A1">
      <w:pPr>
        <w:ind w:left="2347" w:hanging="907"/>
        <w:rPr>
          <w:u w:val="single"/>
        </w:rPr>
      </w:pPr>
      <w:r w:rsidRPr="004C156D">
        <w:rPr>
          <w:u w:val="single"/>
        </w:rPr>
        <w:t>Exception:</w:t>
      </w:r>
    </w:p>
    <w:p w14:paraId="7E21D595" w14:textId="77777777" w:rsidR="008040A1" w:rsidRPr="004C156D" w:rsidRDefault="008040A1" w:rsidP="008040A1">
      <w:pPr>
        <w:ind w:left="1800"/>
        <w:rPr>
          <w:u w:val="single"/>
        </w:rPr>
      </w:pPr>
      <w:proofErr w:type="spellStart"/>
      <w:r w:rsidRPr="004C156D">
        <w:rPr>
          <w:u w:val="single"/>
        </w:rPr>
        <w:t>FracImbal</w:t>
      </w:r>
      <w:proofErr w:type="spellEnd"/>
      <w:r w:rsidRPr="004C156D">
        <w:rPr>
          <w:u w:val="single"/>
        </w:rPr>
        <w:t xml:space="preserve"> = 1 where:</w:t>
      </w:r>
    </w:p>
    <w:p w14:paraId="730BAC1D" w14:textId="77777777" w:rsidR="008040A1" w:rsidRPr="004C156D" w:rsidRDefault="008040A1" w:rsidP="008040A1">
      <w:pPr>
        <w:ind w:left="2160"/>
        <w:rPr>
          <w:u w:val="single"/>
        </w:rPr>
      </w:pPr>
      <w:r w:rsidRPr="004C156D">
        <w:rPr>
          <w:u w:val="single"/>
        </w:rPr>
        <w:t>Multiple, intermittent, unbalanced Dwelling Unit Mechanical Ventilation Systems are present.</w:t>
      </w:r>
    </w:p>
    <w:p w14:paraId="263FCDB8" w14:textId="77777777" w:rsidR="008040A1" w:rsidRPr="004C156D" w:rsidRDefault="008040A1" w:rsidP="000F5318">
      <w:pPr>
        <w:ind w:left="2347" w:hanging="1177"/>
      </w:pPr>
    </w:p>
    <w:p w14:paraId="58A68882" w14:textId="5A1408C2" w:rsidR="000F5318" w:rsidRPr="004C156D" w:rsidRDefault="000F5318" w:rsidP="000F5318">
      <w:pPr>
        <w:ind w:left="2347" w:hanging="1177"/>
      </w:pPr>
      <w:proofErr w:type="spellStart"/>
      <w:r w:rsidRPr="004C156D">
        <w:t>Qfan_sup</w:t>
      </w:r>
      <w:proofErr w:type="spellEnd"/>
      <w:r w:rsidRPr="004C156D">
        <w:t xml:space="preserve"> </w:t>
      </w:r>
      <w:r w:rsidRPr="004C156D">
        <w:tab/>
        <w:t xml:space="preserve">= Rated Home supply fan </w:t>
      </w:r>
      <w:r w:rsidR="008040A1" w:rsidRPr="004C156D">
        <w:rPr>
          <w:u w:val="single"/>
        </w:rPr>
        <w:t xml:space="preserve">continuous-equivalent </w:t>
      </w:r>
      <w:r w:rsidRPr="004C156D">
        <w:t>air flow, cfm</w:t>
      </w:r>
    </w:p>
    <w:p w14:paraId="07CFCC81" w14:textId="6CB971C1" w:rsidR="000F5318" w:rsidRPr="004C156D" w:rsidRDefault="000F5318" w:rsidP="000F5318">
      <w:pPr>
        <w:ind w:left="2347" w:hanging="1177"/>
      </w:pPr>
      <w:proofErr w:type="spellStart"/>
      <w:r w:rsidRPr="004C156D">
        <w:t>Qfan_exh</w:t>
      </w:r>
      <w:proofErr w:type="spellEnd"/>
      <w:r w:rsidRPr="004C156D">
        <w:tab/>
        <w:t xml:space="preserve">= Rated Home exhaust fan </w:t>
      </w:r>
      <w:r w:rsidR="008040A1" w:rsidRPr="004C156D">
        <w:rPr>
          <w:u w:val="single"/>
        </w:rPr>
        <w:t xml:space="preserve">continuous-equivalent </w:t>
      </w:r>
      <w:r w:rsidRPr="004C156D">
        <w:t>air flow, cfm</w:t>
      </w:r>
    </w:p>
    <w:p w14:paraId="49E52C35" w14:textId="2FCEADC6" w:rsidR="000F5318" w:rsidRPr="004C156D" w:rsidRDefault="000F5318" w:rsidP="000F5318">
      <w:pPr>
        <w:ind w:left="2347" w:hanging="1177"/>
        <w:rPr>
          <w:u w:val="single"/>
        </w:rPr>
      </w:pPr>
      <w:proofErr w:type="spellStart"/>
      <w:r w:rsidRPr="004C156D">
        <w:t>Qtot</w:t>
      </w:r>
      <w:proofErr w:type="spellEnd"/>
      <w:r w:rsidRPr="004C156D">
        <w:t xml:space="preserve"> </w:t>
      </w:r>
      <w:r w:rsidRPr="004C156D">
        <w:tab/>
        <w:t>= 0.03*CFA + 7.5*(Nbr+1)</w:t>
      </w:r>
    </w:p>
    <w:p w14:paraId="67708BE7" w14:textId="77777777" w:rsidR="008040A1" w:rsidRPr="004C156D" w:rsidRDefault="008040A1" w:rsidP="008040A1">
      <w:pPr>
        <w:ind w:left="2347" w:hanging="1177"/>
        <w:rPr>
          <w:u w:val="single"/>
        </w:rPr>
      </w:pPr>
      <w:proofErr w:type="spellStart"/>
      <w:r w:rsidRPr="004C156D">
        <w:rPr>
          <w:u w:val="single"/>
        </w:rPr>
        <w:t>Qinf_</w:t>
      </w:r>
      <w:proofErr w:type="gramStart"/>
      <w:r w:rsidRPr="004C156D">
        <w:rPr>
          <w:u w:val="single"/>
        </w:rPr>
        <w:t>eff</w:t>
      </w:r>
      <w:proofErr w:type="spellEnd"/>
      <w:proofErr w:type="gramEnd"/>
      <w:r w:rsidRPr="004C156D">
        <w:rPr>
          <w:u w:val="single"/>
        </w:rPr>
        <w:t xml:space="preserve"> </w:t>
      </w:r>
      <w:r w:rsidRPr="004C156D">
        <w:rPr>
          <w:u w:val="single"/>
        </w:rPr>
        <w:tab/>
        <w:t xml:space="preserve">= </w:t>
      </w:r>
      <w:proofErr w:type="spellStart"/>
      <w:r w:rsidRPr="004C156D">
        <w:rPr>
          <w:u w:val="single"/>
        </w:rPr>
        <w:t>Qinf</w:t>
      </w:r>
      <w:proofErr w:type="spellEnd"/>
      <w:r w:rsidRPr="004C156D">
        <w:rPr>
          <w:u w:val="single"/>
        </w:rPr>
        <w:t xml:space="preserve"> </w:t>
      </w:r>
      <w:r w:rsidRPr="004C156D">
        <w:rPr>
          <w:b/>
          <w:u w:val="single"/>
        </w:rPr>
        <w:t>×</w:t>
      </w:r>
      <w:r w:rsidRPr="004C156D">
        <w:rPr>
          <w:b/>
          <w:spacing w:val="-1"/>
          <w:u w:val="single"/>
        </w:rPr>
        <w:t xml:space="preserve"> </w:t>
      </w:r>
      <w:r w:rsidRPr="0070590D">
        <w:rPr>
          <w:bCs/>
          <w:i/>
          <w:iCs/>
          <w:u w:val="single"/>
        </w:rPr>
        <w:t>A</w:t>
      </w:r>
      <w:proofErr w:type="spellStart"/>
      <w:r w:rsidRPr="0070590D">
        <w:rPr>
          <w:bCs/>
          <w:i/>
          <w:iCs/>
          <w:position w:val="-5"/>
          <w:u w:val="single"/>
        </w:rPr>
        <w:t>ext</w:t>
      </w:r>
      <w:proofErr w:type="spellEnd"/>
    </w:p>
    <w:p w14:paraId="63B416F9" w14:textId="77777777" w:rsidR="008040A1" w:rsidRPr="004C156D" w:rsidRDefault="008040A1" w:rsidP="008040A1">
      <w:pPr>
        <w:ind w:left="1170"/>
        <w:rPr>
          <w:rFonts w:eastAsiaTheme="minorHAnsi"/>
          <w:u w:val="single"/>
        </w:rPr>
      </w:pPr>
      <w:proofErr w:type="spellStart"/>
      <w:r w:rsidRPr="004C156D">
        <w:rPr>
          <w:i/>
          <w:u w:val="single"/>
        </w:rPr>
        <w:t>A</w:t>
      </w:r>
      <w:r w:rsidRPr="004C156D">
        <w:rPr>
          <w:i/>
          <w:u w:val="single"/>
          <w:vertAlign w:val="subscript"/>
        </w:rPr>
        <w:t>ext</w:t>
      </w:r>
      <w:proofErr w:type="spellEnd"/>
      <w:r w:rsidRPr="004C156D">
        <w:rPr>
          <w:i/>
          <w:u w:val="single"/>
        </w:rPr>
        <w:tab/>
      </w:r>
      <w:r w:rsidRPr="004C156D">
        <w:rPr>
          <w:u w:val="single"/>
        </w:rPr>
        <w:t>= 1</w:t>
      </w:r>
      <w:r w:rsidRPr="004C156D">
        <w:rPr>
          <w:spacing w:val="-1"/>
          <w:u w:val="single"/>
        </w:rPr>
        <w:t xml:space="preserve"> </w:t>
      </w:r>
      <w:r w:rsidRPr="004C156D">
        <w:rPr>
          <w:spacing w:val="-2"/>
          <w:u w:val="single"/>
        </w:rPr>
        <w:t>for</w:t>
      </w:r>
      <w:r w:rsidRPr="004C156D">
        <w:rPr>
          <w:spacing w:val="-1"/>
          <w:u w:val="single"/>
        </w:rPr>
        <w:t xml:space="preserve"> Detached </w:t>
      </w:r>
      <w:r w:rsidRPr="004C156D">
        <w:rPr>
          <w:i/>
          <w:iCs/>
          <w:spacing w:val="-1"/>
          <w:u w:val="single"/>
        </w:rPr>
        <w:t>Dwelling</w:t>
      </w:r>
      <w:r w:rsidRPr="004C156D">
        <w:rPr>
          <w:spacing w:val="-1"/>
          <w:u w:val="single"/>
        </w:rPr>
        <w:t xml:space="preserve"> Units</w:t>
      </w:r>
      <w:r w:rsidRPr="004C156D">
        <w:rPr>
          <w:spacing w:val="-3"/>
          <w:u w:val="single"/>
        </w:rPr>
        <w:t>,</w:t>
      </w:r>
      <w:r w:rsidRPr="004C156D">
        <w:rPr>
          <w:spacing w:val="-1"/>
          <w:u w:val="single"/>
        </w:rPr>
        <w:t xml:space="preserve"> </w:t>
      </w:r>
      <w:r w:rsidRPr="004C156D">
        <w:rPr>
          <w:spacing w:val="-2"/>
          <w:u w:val="single"/>
        </w:rPr>
        <w:t>or</w:t>
      </w:r>
      <w:r w:rsidRPr="004C156D">
        <w:rPr>
          <w:spacing w:val="-1"/>
          <w:u w:val="single"/>
        </w:rPr>
        <w:t xml:space="preserve"> for </w:t>
      </w:r>
      <w:r w:rsidRPr="004C156D">
        <w:rPr>
          <w:u w:val="single"/>
        </w:rPr>
        <w:t>Attached Dwelling Units with airtightness test results &gt; 0.30 cfm50 per ft</w:t>
      </w:r>
      <w:r w:rsidRPr="004C156D">
        <w:rPr>
          <w:u w:val="single"/>
          <w:vertAlign w:val="superscript"/>
        </w:rPr>
        <w:t>2</w:t>
      </w:r>
      <w:r w:rsidRPr="004C156D">
        <w:rPr>
          <w:u w:val="single"/>
        </w:rPr>
        <w:t xml:space="preserve"> of Compartmentalization Boundary.  For Attached Dwelling Units with airtightness test results &lt;= 0.30 cfm50 per ft</w:t>
      </w:r>
      <w:r w:rsidRPr="004C156D">
        <w:rPr>
          <w:u w:val="single"/>
          <w:vertAlign w:val="superscript"/>
        </w:rPr>
        <w:t>2</w:t>
      </w:r>
      <w:r w:rsidRPr="004C156D">
        <w:rPr>
          <w:u w:val="single"/>
        </w:rPr>
        <w:t xml:space="preserve"> of Compartmentalization Boundary, </w:t>
      </w:r>
      <w:r w:rsidRPr="004C156D">
        <w:rPr>
          <w:spacing w:val="-2"/>
          <w:u w:val="single"/>
        </w:rPr>
        <w:t xml:space="preserve">the </w:t>
      </w:r>
      <w:r w:rsidRPr="004C156D">
        <w:rPr>
          <w:spacing w:val="-3"/>
          <w:u w:val="single"/>
        </w:rPr>
        <w:t>ratio</w:t>
      </w:r>
      <w:r w:rsidRPr="004C156D">
        <w:rPr>
          <w:spacing w:val="26"/>
          <w:w w:val="99"/>
          <w:u w:val="single"/>
        </w:rPr>
        <w:t xml:space="preserve"> </w:t>
      </w:r>
      <w:r w:rsidRPr="004C156D">
        <w:rPr>
          <w:spacing w:val="-2"/>
          <w:u w:val="single"/>
        </w:rPr>
        <w:t>of</w:t>
      </w:r>
      <w:r w:rsidRPr="004C156D">
        <w:rPr>
          <w:spacing w:val="45"/>
          <w:u w:val="single"/>
        </w:rPr>
        <w:t xml:space="preserve"> </w:t>
      </w:r>
      <w:r w:rsidRPr="004C156D">
        <w:rPr>
          <w:spacing w:val="-3"/>
          <w:u w:val="single"/>
        </w:rPr>
        <w:t>exterior</w:t>
      </w:r>
      <w:r w:rsidRPr="004C156D">
        <w:rPr>
          <w:spacing w:val="45"/>
          <w:u w:val="single"/>
        </w:rPr>
        <w:t xml:space="preserve"> </w:t>
      </w:r>
      <w:r w:rsidRPr="004C156D">
        <w:rPr>
          <w:spacing w:val="-3"/>
          <w:u w:val="single"/>
        </w:rPr>
        <w:t xml:space="preserve">enclosure </w:t>
      </w:r>
      <w:r w:rsidRPr="004C156D">
        <w:rPr>
          <w:spacing w:val="-5"/>
          <w:u w:val="single"/>
        </w:rPr>
        <w:t>surface</w:t>
      </w:r>
      <w:r w:rsidRPr="004C156D">
        <w:rPr>
          <w:spacing w:val="46"/>
          <w:u w:val="single"/>
        </w:rPr>
        <w:t xml:space="preserve"> </w:t>
      </w:r>
      <w:r w:rsidRPr="004C156D">
        <w:rPr>
          <w:spacing w:val="-3"/>
          <w:u w:val="single"/>
        </w:rPr>
        <w:t>area</w:t>
      </w:r>
      <w:r w:rsidRPr="004C156D">
        <w:rPr>
          <w:spacing w:val="45"/>
          <w:u w:val="single"/>
        </w:rPr>
        <w:t xml:space="preserve"> </w:t>
      </w:r>
      <w:r w:rsidRPr="004C156D">
        <w:rPr>
          <w:spacing w:val="-3"/>
          <w:u w:val="single"/>
        </w:rPr>
        <w:t>that</w:t>
      </w:r>
      <w:r w:rsidRPr="004C156D">
        <w:rPr>
          <w:spacing w:val="45"/>
          <w:u w:val="single"/>
        </w:rPr>
        <w:t xml:space="preserve"> </w:t>
      </w:r>
      <w:r w:rsidRPr="004C156D">
        <w:rPr>
          <w:spacing w:val="-2"/>
          <w:u w:val="single"/>
        </w:rPr>
        <w:t>is</w:t>
      </w:r>
      <w:r w:rsidRPr="004C156D">
        <w:rPr>
          <w:spacing w:val="45"/>
          <w:u w:val="single"/>
        </w:rPr>
        <w:t xml:space="preserve"> </w:t>
      </w:r>
      <w:r w:rsidRPr="004C156D">
        <w:rPr>
          <w:spacing w:val="-3"/>
          <w:u w:val="single"/>
        </w:rPr>
        <w:t>not</w:t>
      </w:r>
      <w:r w:rsidRPr="004C156D">
        <w:rPr>
          <w:spacing w:val="34"/>
          <w:w w:val="99"/>
          <w:u w:val="single"/>
        </w:rPr>
        <w:t xml:space="preserve"> </w:t>
      </w:r>
      <w:r w:rsidRPr="004C156D">
        <w:rPr>
          <w:spacing w:val="-3"/>
          <w:u w:val="single"/>
        </w:rPr>
        <w:t>attached</w:t>
      </w:r>
      <w:r w:rsidRPr="004C156D">
        <w:rPr>
          <w:spacing w:val="23"/>
          <w:u w:val="single"/>
        </w:rPr>
        <w:t xml:space="preserve"> </w:t>
      </w:r>
      <w:r w:rsidRPr="004C156D">
        <w:rPr>
          <w:spacing w:val="-2"/>
          <w:u w:val="single"/>
        </w:rPr>
        <w:t>to</w:t>
      </w:r>
      <w:r w:rsidRPr="004C156D">
        <w:rPr>
          <w:spacing w:val="24"/>
          <w:u w:val="single"/>
        </w:rPr>
        <w:t xml:space="preserve"> </w:t>
      </w:r>
      <w:r w:rsidRPr="004C156D">
        <w:rPr>
          <w:spacing w:val="-3"/>
          <w:u w:val="single"/>
        </w:rPr>
        <w:t>garages</w:t>
      </w:r>
      <w:r w:rsidRPr="004C156D">
        <w:rPr>
          <w:spacing w:val="24"/>
          <w:u w:val="single"/>
        </w:rPr>
        <w:t xml:space="preserve"> </w:t>
      </w:r>
      <w:r w:rsidRPr="004C156D">
        <w:rPr>
          <w:spacing w:val="-2"/>
          <w:u w:val="single"/>
        </w:rPr>
        <w:t>or</w:t>
      </w:r>
      <w:r w:rsidRPr="004C156D">
        <w:rPr>
          <w:spacing w:val="24"/>
          <w:u w:val="single"/>
        </w:rPr>
        <w:t xml:space="preserve"> </w:t>
      </w:r>
      <w:r w:rsidRPr="004C156D">
        <w:rPr>
          <w:spacing w:val="-3"/>
          <w:u w:val="single"/>
        </w:rPr>
        <w:t>other</w:t>
      </w:r>
      <w:r w:rsidRPr="004C156D">
        <w:rPr>
          <w:spacing w:val="24"/>
          <w:u w:val="single"/>
        </w:rPr>
        <w:t xml:space="preserve"> </w:t>
      </w:r>
      <w:r w:rsidRPr="004C156D">
        <w:rPr>
          <w:rFonts w:eastAsia="Calibri"/>
          <w:i/>
          <w:iCs/>
          <w:u w:val="single"/>
        </w:rPr>
        <w:t>Dwelling</w:t>
      </w:r>
      <w:r w:rsidRPr="004C156D">
        <w:rPr>
          <w:spacing w:val="24"/>
          <w:u w:val="single"/>
        </w:rPr>
        <w:t xml:space="preserve"> </w:t>
      </w:r>
      <w:r w:rsidRPr="004C156D">
        <w:rPr>
          <w:spacing w:val="-3"/>
          <w:u w:val="single"/>
        </w:rPr>
        <w:t>Units</w:t>
      </w:r>
      <w:r w:rsidRPr="004C156D">
        <w:rPr>
          <w:spacing w:val="24"/>
          <w:u w:val="single"/>
        </w:rPr>
        <w:t xml:space="preserve"> </w:t>
      </w:r>
      <w:r w:rsidRPr="004C156D">
        <w:rPr>
          <w:spacing w:val="-3"/>
          <w:u w:val="single"/>
        </w:rPr>
        <w:t>to</w:t>
      </w:r>
      <w:r w:rsidRPr="004C156D">
        <w:rPr>
          <w:spacing w:val="32"/>
          <w:w w:val="99"/>
          <w:u w:val="single"/>
        </w:rPr>
        <w:t xml:space="preserve"> </w:t>
      </w:r>
      <w:r w:rsidRPr="004C156D">
        <w:rPr>
          <w:spacing w:val="-2"/>
          <w:u w:val="single"/>
        </w:rPr>
        <w:t xml:space="preserve">the </w:t>
      </w:r>
      <w:r w:rsidRPr="004C156D">
        <w:rPr>
          <w:spacing w:val="-3"/>
          <w:u w:val="single"/>
        </w:rPr>
        <w:t>Compartmentalization Boundary for Attached Dwelling Units</w:t>
      </w:r>
      <w:r w:rsidRPr="004C156D">
        <w:rPr>
          <w:rFonts w:eastAsiaTheme="minorHAnsi"/>
          <w:u w:val="single"/>
        </w:rPr>
        <w:t xml:space="preserve"> </w:t>
      </w:r>
    </w:p>
    <w:p w14:paraId="70D03718" w14:textId="77777777" w:rsidR="008040A1" w:rsidRPr="004C156D" w:rsidRDefault="008040A1" w:rsidP="000F5318">
      <w:pPr>
        <w:ind w:left="2347" w:hanging="1177"/>
      </w:pPr>
    </w:p>
    <w:p w14:paraId="77DDC1B2" w14:textId="26ED58F7" w:rsidR="000F5318" w:rsidRPr="004C156D" w:rsidRDefault="000F5318" w:rsidP="000F5318">
      <w:pPr>
        <w:ind w:left="2347" w:hanging="1177"/>
      </w:pPr>
      <w:proofErr w:type="spellStart"/>
      <w:r w:rsidRPr="004C156D">
        <w:t>Qinf</w:t>
      </w:r>
      <w:proofErr w:type="spellEnd"/>
      <w:r w:rsidRPr="004C156D">
        <w:t xml:space="preserve"> </w:t>
      </w:r>
      <w:r w:rsidRPr="004C156D">
        <w:tab/>
        <w:t xml:space="preserve">= NL * </w:t>
      </w:r>
      <w:proofErr w:type="spellStart"/>
      <w:r w:rsidRPr="004C156D">
        <w:t>wsf</w:t>
      </w:r>
      <w:proofErr w:type="spellEnd"/>
      <w:r w:rsidRPr="004C156D">
        <w:t xml:space="preserve"> * CFA * </w:t>
      </w:r>
      <w:proofErr w:type="spellStart"/>
      <w:r w:rsidRPr="004C156D">
        <w:t>Hr</w:t>
      </w:r>
      <w:proofErr w:type="spellEnd"/>
      <w:r w:rsidRPr="004C156D">
        <w:t xml:space="preserve"> / 60 </w:t>
      </w:r>
    </w:p>
    <w:p w14:paraId="115CBEB5" w14:textId="77777777" w:rsidR="000F5318" w:rsidRPr="004C156D" w:rsidRDefault="000F5318" w:rsidP="000F5318">
      <w:pPr>
        <w:ind w:left="2347" w:hanging="1177"/>
      </w:pPr>
      <w:r w:rsidRPr="004C156D">
        <w:t>where:</w:t>
      </w:r>
    </w:p>
    <w:p w14:paraId="2E0CCEBE" w14:textId="2533BC46" w:rsidR="000F5318" w:rsidRPr="004C156D" w:rsidRDefault="000F5318" w:rsidP="000F5318">
      <w:pPr>
        <w:tabs>
          <w:tab w:val="left" w:pos="2160"/>
          <w:tab w:val="left" w:pos="2430"/>
        </w:tabs>
        <w:ind w:left="2430" w:hanging="810"/>
      </w:pPr>
      <w:r w:rsidRPr="004C156D">
        <w:t>NL</w:t>
      </w:r>
      <w:r w:rsidRPr="004C156D">
        <w:tab/>
        <w:t xml:space="preserve">= </w:t>
      </w:r>
      <w:r w:rsidRPr="004C156D">
        <w:tab/>
        <w:t>normalized leakage</w:t>
      </w:r>
      <w:r w:rsidR="00223B1A" w:rsidRPr="004C156D">
        <w:rPr>
          <w:u w:val="single"/>
        </w:rPr>
        <w:t xml:space="preserve">, as defined in </w:t>
      </w:r>
      <w:r w:rsidR="009A4DB6" w:rsidRPr="004C156D">
        <w:rPr>
          <w:u w:val="single"/>
        </w:rPr>
        <w:t xml:space="preserve">Normative </w:t>
      </w:r>
      <w:r w:rsidR="00223B1A" w:rsidRPr="004C156D">
        <w:rPr>
          <w:u w:val="single"/>
        </w:rPr>
        <w:t>Appendix C</w:t>
      </w:r>
      <w:r w:rsidR="009A4DB6" w:rsidRPr="004C156D">
        <w:rPr>
          <w:u w:val="single"/>
        </w:rPr>
        <w:t>2.2</w:t>
      </w:r>
      <w:r w:rsidR="007463C1" w:rsidRPr="004C156D">
        <w:rPr>
          <w:u w:val="single"/>
        </w:rPr>
        <w:t>, Equation 1</w:t>
      </w:r>
      <w:r w:rsidRPr="004C156D">
        <w:rPr>
          <w:strike/>
        </w:rPr>
        <w:t xml:space="preserve"> = 1000 * (ELA / CFA) * [H / </w:t>
      </w:r>
      <w:proofErr w:type="spellStart"/>
      <w:proofErr w:type="gramStart"/>
      <w:r w:rsidRPr="004C156D">
        <w:rPr>
          <w:strike/>
        </w:rPr>
        <w:t>Hr</w:t>
      </w:r>
      <w:proofErr w:type="spellEnd"/>
      <w:r w:rsidRPr="004C156D">
        <w:rPr>
          <w:strike/>
        </w:rPr>
        <w:t>]^</w:t>
      </w:r>
      <w:proofErr w:type="gramEnd"/>
      <w:r w:rsidRPr="004C156D">
        <w:rPr>
          <w:strike/>
        </w:rPr>
        <w:t>0.4 (where both ELA and CFA are in square inches)</w:t>
      </w:r>
      <w:r w:rsidR="008040A1" w:rsidRPr="004C156D">
        <w:rPr>
          <w:u w:val="single"/>
        </w:rPr>
        <w:t xml:space="preserve"> except where the Rated Home air exchange rate is specified as ACH (at 4 Pa) in which case NL shall be determined using Equation 21.</w:t>
      </w:r>
    </w:p>
    <w:p w14:paraId="3C641036" w14:textId="2259C04F" w:rsidR="000F5318" w:rsidRPr="004C156D" w:rsidRDefault="000F5318" w:rsidP="000F5318">
      <w:pPr>
        <w:tabs>
          <w:tab w:val="left" w:pos="2160"/>
          <w:tab w:val="left" w:pos="2430"/>
        </w:tabs>
        <w:ind w:left="2430" w:hanging="810"/>
      </w:pPr>
      <w:proofErr w:type="spellStart"/>
      <w:r w:rsidRPr="004C156D">
        <w:t>wsf</w:t>
      </w:r>
      <w:proofErr w:type="spellEnd"/>
      <w:r w:rsidR="004131B0" w:rsidRPr="004C156D">
        <w:tab/>
      </w:r>
      <w:r w:rsidRPr="004C156D">
        <w:t xml:space="preserve">= </w:t>
      </w:r>
      <w:r w:rsidRPr="004C156D">
        <w:tab/>
        <w:t>weather and shielding factor from ASHRAE Standard 62.2, Normative Appendix B</w:t>
      </w:r>
    </w:p>
    <w:p w14:paraId="65CEC281" w14:textId="07228060" w:rsidR="000F5318" w:rsidRPr="004C156D" w:rsidRDefault="000F5318" w:rsidP="000F5318">
      <w:pPr>
        <w:tabs>
          <w:tab w:val="left" w:pos="2160"/>
          <w:tab w:val="left" w:pos="2430"/>
        </w:tabs>
        <w:ind w:left="2430" w:hanging="810"/>
        <w:rPr>
          <w:strike/>
        </w:rPr>
      </w:pPr>
      <w:r w:rsidRPr="004C156D">
        <w:rPr>
          <w:strike/>
        </w:rPr>
        <w:t>ELA</w:t>
      </w:r>
      <w:r w:rsidR="004131B0" w:rsidRPr="004C156D">
        <w:rPr>
          <w:strike/>
        </w:rPr>
        <w:tab/>
      </w:r>
      <w:r w:rsidRPr="004C156D">
        <w:rPr>
          <w:strike/>
        </w:rPr>
        <w:t xml:space="preserve">= </w:t>
      </w:r>
      <w:r w:rsidRPr="004C156D">
        <w:rPr>
          <w:strike/>
        </w:rPr>
        <w:tab/>
        <w:t>cfm50 * 0.054863 (in2)</w:t>
      </w:r>
    </w:p>
    <w:p w14:paraId="4808B55D" w14:textId="3136E09D" w:rsidR="000F5318" w:rsidRPr="004C156D" w:rsidRDefault="000F5318" w:rsidP="000F5318">
      <w:pPr>
        <w:tabs>
          <w:tab w:val="left" w:pos="2160"/>
          <w:tab w:val="left" w:pos="2430"/>
        </w:tabs>
        <w:ind w:left="2430" w:hanging="810"/>
        <w:rPr>
          <w:strike/>
        </w:rPr>
      </w:pPr>
      <w:r w:rsidRPr="004C156D">
        <w:rPr>
          <w:strike/>
        </w:rPr>
        <w:t>H</w:t>
      </w:r>
      <w:r w:rsidR="004131B0" w:rsidRPr="004C156D">
        <w:rPr>
          <w:strike/>
        </w:rPr>
        <w:tab/>
      </w:r>
      <w:r w:rsidRPr="004C156D">
        <w:rPr>
          <w:strike/>
        </w:rPr>
        <w:t xml:space="preserve">= </w:t>
      </w:r>
      <w:r w:rsidRPr="004C156D">
        <w:rPr>
          <w:strike/>
        </w:rPr>
        <w:tab/>
        <w:t>vertical distance between lowest and highest above-grade points within the pressure boundary (ft.)</w:t>
      </w:r>
    </w:p>
    <w:p w14:paraId="11229D36" w14:textId="7425E753" w:rsidR="000F5318" w:rsidRPr="004C156D" w:rsidRDefault="000F5318" w:rsidP="000F5318">
      <w:pPr>
        <w:tabs>
          <w:tab w:val="left" w:pos="2160"/>
          <w:tab w:val="left" w:pos="2430"/>
        </w:tabs>
        <w:ind w:left="2430" w:hanging="810"/>
      </w:pPr>
      <w:proofErr w:type="spellStart"/>
      <w:r w:rsidRPr="004C156D">
        <w:t>Hr</w:t>
      </w:r>
      <w:proofErr w:type="spellEnd"/>
      <w:r w:rsidR="004131B0" w:rsidRPr="004C156D">
        <w:tab/>
      </w:r>
      <w:r w:rsidRPr="004C156D">
        <w:t xml:space="preserve">= </w:t>
      </w:r>
      <w:r w:rsidRPr="004C156D">
        <w:tab/>
        <w:t>reference height = 8.202 ft.</w:t>
      </w:r>
    </w:p>
    <w:p w14:paraId="77F5CDB9" w14:textId="1847F647" w:rsidR="000F5318" w:rsidRPr="004C156D" w:rsidRDefault="000F5318" w:rsidP="000F5318">
      <w:pPr>
        <w:spacing w:before="120"/>
        <w:ind w:left="630"/>
      </w:pPr>
      <w:r w:rsidRPr="004C156D">
        <w:t xml:space="preserve">Where </w:t>
      </w:r>
      <w:proofErr w:type="spellStart"/>
      <w:r w:rsidRPr="004C156D">
        <w:t>Qfan_max</w:t>
      </w:r>
      <w:proofErr w:type="spellEnd"/>
      <w:r w:rsidRPr="004C156D">
        <w:t xml:space="preserve"> as calculated above is </w:t>
      </w:r>
      <w:r w:rsidR="3B3824E4" w:rsidRPr="004C156D">
        <w:t>greater</w:t>
      </w:r>
      <w:r w:rsidRPr="004C156D">
        <w:t xml:space="preserve"> than both </w:t>
      </w:r>
      <w:proofErr w:type="spellStart"/>
      <w:r w:rsidRPr="004C156D">
        <w:t>Qfan_sup</w:t>
      </w:r>
      <w:proofErr w:type="spellEnd"/>
      <w:r w:rsidRPr="004C156D">
        <w:t xml:space="preserve"> and </w:t>
      </w:r>
      <w:proofErr w:type="spellStart"/>
      <w:r w:rsidRPr="004C156D">
        <w:t>Qfan_exh</w:t>
      </w:r>
      <w:proofErr w:type="spellEnd"/>
      <w:r w:rsidRPr="004C156D">
        <w:t xml:space="preserve">, the Rated Home </w:t>
      </w:r>
      <w:proofErr w:type="spellStart"/>
      <w:r w:rsidRPr="004C156D">
        <w:t>Qfan_sup</w:t>
      </w:r>
      <w:proofErr w:type="spellEnd"/>
      <w:r w:rsidRPr="004C156D">
        <w:t xml:space="preserve"> and </w:t>
      </w:r>
      <w:proofErr w:type="spellStart"/>
      <w:r w:rsidRPr="004C156D">
        <w:t>Qfan_exh</w:t>
      </w:r>
      <w:proofErr w:type="spellEnd"/>
      <w:r w:rsidRPr="004C156D">
        <w:t xml:space="preserve"> shall be increased using the Rated Home </w:t>
      </w:r>
      <w:proofErr w:type="spellStart"/>
      <w:r w:rsidRPr="004C156D">
        <w:t>FracImbal</w:t>
      </w:r>
      <w:proofErr w:type="spellEnd"/>
      <w:r w:rsidRPr="004C156D">
        <w:t xml:space="preserve"> such that the larger of </w:t>
      </w:r>
      <w:proofErr w:type="spellStart"/>
      <w:r w:rsidRPr="004C156D">
        <w:t>Qfan_sup</w:t>
      </w:r>
      <w:proofErr w:type="spellEnd"/>
      <w:r w:rsidRPr="004C156D">
        <w:t xml:space="preserve"> and </w:t>
      </w:r>
      <w:proofErr w:type="spellStart"/>
      <w:r w:rsidRPr="004C156D">
        <w:t>Qfan_exh</w:t>
      </w:r>
      <w:proofErr w:type="spellEnd"/>
      <w:r w:rsidRPr="004C156D">
        <w:t xml:space="preserve"> equals </w:t>
      </w:r>
      <w:proofErr w:type="spellStart"/>
      <w:r w:rsidRPr="004C156D">
        <w:t>Qfan_max</w:t>
      </w:r>
      <w:proofErr w:type="spellEnd"/>
      <w:r w:rsidRPr="004C156D">
        <w:t>.</w:t>
      </w:r>
    </w:p>
    <w:p w14:paraId="7B3B7323" w14:textId="2BE21963" w:rsidR="00B244C2" w:rsidRPr="004C156D" w:rsidRDefault="000F5318" w:rsidP="00A0784D">
      <w:pPr>
        <w:pStyle w:val="ListParagraph"/>
        <w:ind w:left="630"/>
      </w:pPr>
      <w:r w:rsidRPr="004C156D">
        <w:t xml:space="preserve">Where this requires the Rated Home mechanical Ventilation rate to be adjusted in the simulation, and where the Ventilation air is pre-conditioned as part of a shared Ventilation system shared by multiple Dwelling Units, the software shall make corresponding </w:t>
      </w:r>
      <w:r w:rsidRPr="004C156D">
        <w:lastRenderedPageBreak/>
        <w:t>adjustments to the shared preconditioning equipment energy consumption assigned to the Rated Home.</w:t>
      </w:r>
    </w:p>
    <w:p w14:paraId="032F8348" w14:textId="77777777" w:rsidR="00016FEC" w:rsidRPr="004C156D" w:rsidRDefault="00016FEC" w:rsidP="00926B97">
      <w:pPr>
        <w:pStyle w:val="ListParagraph"/>
        <w:rPr>
          <w:u w:val="single"/>
        </w:rPr>
      </w:pPr>
    </w:p>
    <w:p w14:paraId="6D566C2F" w14:textId="40122801" w:rsidR="00FD0E57" w:rsidRDefault="00FD0E57" w:rsidP="008F1DC1">
      <w:pPr>
        <w:ind w:left="288"/>
      </w:pPr>
      <w:r>
        <w:br w:type="page"/>
      </w:r>
    </w:p>
    <w:p w14:paraId="13959132" w14:textId="77777777" w:rsidR="008F1DC1" w:rsidRPr="004C156D" w:rsidRDefault="008F1DC1" w:rsidP="008F1DC1">
      <w:pPr>
        <w:ind w:left="288"/>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4C156D" w:rsidRPr="004C156D" w14:paraId="6D9212A3" w14:textId="77777777" w:rsidTr="00A4451A">
        <w:trPr>
          <w:cantSplit/>
          <w:trHeight w:val="521"/>
          <w:tblHeader/>
          <w:jc w:val="center"/>
        </w:trPr>
        <w:tc>
          <w:tcPr>
            <w:tcW w:w="9771" w:type="dxa"/>
            <w:gridSpan w:val="8"/>
            <w:tcBorders>
              <w:top w:val="nil"/>
              <w:left w:val="nil"/>
              <w:bottom w:val="single" w:sz="4" w:space="0" w:color="auto"/>
              <w:right w:val="nil"/>
            </w:tcBorders>
            <w:vAlign w:val="center"/>
          </w:tcPr>
          <w:bookmarkEnd w:id="52"/>
          <w:p w14:paraId="6E41CE3E" w14:textId="6746FA3D" w:rsidR="008F1DC1" w:rsidRPr="004C156D" w:rsidRDefault="00ED6062" w:rsidP="009B7F59">
            <w:pPr>
              <w:jc w:val="center"/>
              <w:rPr>
                <w:b/>
              </w:rPr>
            </w:pPr>
            <w:r w:rsidRPr="004C156D" w:rsidDel="00ED6062">
              <w:t xml:space="preserve"> </w:t>
            </w:r>
            <w:bookmarkStart w:id="54" w:name="_Toc132541321"/>
            <w:bookmarkStart w:id="55" w:name="_Toc132549154"/>
            <w:r w:rsidR="008F1DC1" w:rsidRPr="004C156D">
              <w:rPr>
                <w:b/>
              </w:rPr>
              <w:t xml:space="preserve">Table 4.2.2(2) Component Heat Transfer Characteristics </w:t>
            </w:r>
            <w:r w:rsidR="006D2D8F" w:rsidRPr="004C156D">
              <w:rPr>
                <w:b/>
              </w:rPr>
              <w:br/>
            </w:r>
            <w:r w:rsidR="008F1DC1" w:rsidRPr="004C156D">
              <w:rPr>
                <w:b/>
              </w:rPr>
              <w:t>for Energy Rating Reference Home</w:t>
            </w:r>
            <w:bookmarkEnd w:id="54"/>
            <w:bookmarkEnd w:id="55"/>
            <w:r w:rsidR="009B7F59" w:rsidRPr="004C156D">
              <w:rPr>
                <w:b/>
                <w:vertAlign w:val="superscript"/>
              </w:rPr>
              <w:t>a</w:t>
            </w:r>
          </w:p>
        </w:tc>
      </w:tr>
      <w:tr w:rsidR="004C156D" w:rsidRPr="004C156D" w14:paraId="620F6A3D" w14:textId="77777777" w:rsidTr="00A4451A">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7E1E9A2" w14:textId="291223DC" w:rsidR="008F1DC1" w:rsidRPr="004C156D" w:rsidRDefault="008F1DC1" w:rsidP="009B7F59">
            <w:pPr>
              <w:rPr>
                <w:b/>
                <w:vertAlign w:val="superscript"/>
              </w:rPr>
            </w:pPr>
            <w:r w:rsidRPr="004C156D">
              <w:rPr>
                <w:b/>
                <w:sz w:val="22"/>
                <w:szCs w:val="22"/>
              </w:rPr>
              <w:t xml:space="preserve">Climate </w:t>
            </w:r>
            <w:proofErr w:type="spellStart"/>
            <w:r w:rsidRPr="004C156D">
              <w:rPr>
                <w:b/>
                <w:sz w:val="22"/>
                <w:szCs w:val="22"/>
              </w:rPr>
              <w:t>Zone</w:t>
            </w:r>
            <w:r w:rsidR="009B7F59" w:rsidRPr="004C156D">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50CCAD6A" w14:textId="3ED812F8" w:rsidR="008F1DC1" w:rsidRPr="004C156D" w:rsidRDefault="005E0E8F" w:rsidP="00B82EFA">
            <w:pPr>
              <w:rPr>
                <w:b/>
              </w:rPr>
            </w:pPr>
            <w:r w:rsidRPr="004C156D">
              <w:rPr>
                <w:b/>
                <w:bCs/>
                <w:sz w:val="22"/>
                <w:szCs w:val="22"/>
              </w:rPr>
              <w:t>Glazing</w:t>
            </w:r>
            <w:r w:rsidR="008F1DC1" w:rsidRPr="004C156D">
              <w:rPr>
                <w:b/>
                <w:sz w:val="22"/>
                <w:szCs w:val="22"/>
              </w:rPr>
              <w:t xml:space="preserve"> and Opaque Door </w:t>
            </w:r>
            <w:r w:rsidR="008F1DC1" w:rsidRPr="004C156D">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572592E0" w14:textId="77777777" w:rsidR="008F1DC1" w:rsidRPr="004C156D" w:rsidRDefault="008F1DC1" w:rsidP="00B82EFA">
            <w:pPr>
              <w:rPr>
                <w:b/>
              </w:rPr>
            </w:pPr>
            <w:r w:rsidRPr="004C156D">
              <w:rPr>
                <w:b/>
                <w:sz w:val="22"/>
                <w:szCs w:val="22"/>
              </w:rPr>
              <w:t>Glazed Fene-</w:t>
            </w:r>
            <w:proofErr w:type="spellStart"/>
            <w:r w:rsidRPr="004C156D">
              <w:rPr>
                <w:b/>
                <w:sz w:val="22"/>
                <w:szCs w:val="22"/>
              </w:rPr>
              <w:t>stration</w:t>
            </w:r>
            <w:proofErr w:type="spellEnd"/>
            <w:r w:rsidRPr="004C156D">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57806D45" w14:textId="77777777" w:rsidR="008F1DC1" w:rsidRPr="004C156D" w:rsidRDefault="008F1DC1" w:rsidP="00B82EFA">
            <w:pPr>
              <w:rPr>
                <w:b/>
              </w:rPr>
            </w:pPr>
            <w:r w:rsidRPr="004C156D">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74ECDE5C" w14:textId="77777777" w:rsidR="008F1DC1" w:rsidRPr="004C156D" w:rsidRDefault="008F1DC1" w:rsidP="00B82EFA">
            <w:pPr>
              <w:rPr>
                <w:b/>
              </w:rPr>
            </w:pPr>
            <w:r w:rsidRPr="004C156D">
              <w:rPr>
                <w:b/>
                <w:sz w:val="22"/>
                <w:szCs w:val="22"/>
              </w:rPr>
              <w:t xml:space="preserve">Frame Wall </w:t>
            </w:r>
          </w:p>
          <w:p w14:paraId="3E1B57A6" w14:textId="77777777" w:rsidR="008F1DC1" w:rsidRPr="004C156D" w:rsidRDefault="008F1DC1" w:rsidP="00B82EFA">
            <w:pPr>
              <w:rPr>
                <w:b/>
              </w:rPr>
            </w:pPr>
            <w:r w:rsidRPr="004C156D">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9FE4842" w14:textId="77777777" w:rsidR="008F1DC1" w:rsidRPr="004C156D" w:rsidRDefault="008F1DC1" w:rsidP="00B82EFA">
            <w:pPr>
              <w:rPr>
                <w:b/>
              </w:rPr>
            </w:pPr>
            <w:r w:rsidRPr="004C156D">
              <w:rPr>
                <w:b/>
                <w:sz w:val="22"/>
                <w:szCs w:val="22"/>
              </w:rPr>
              <w:t xml:space="preserve">Floor Over </w:t>
            </w:r>
            <w:proofErr w:type="spellStart"/>
            <w:r w:rsidRPr="004C156D">
              <w:rPr>
                <w:b/>
                <w:sz w:val="22"/>
                <w:szCs w:val="22"/>
              </w:rPr>
              <w:t>Uncond-itioned</w:t>
            </w:r>
            <w:proofErr w:type="spellEnd"/>
            <w:r w:rsidRPr="004C156D">
              <w:rPr>
                <w:b/>
                <w:sz w:val="22"/>
                <w:szCs w:val="22"/>
              </w:rPr>
              <w:t xml:space="preserve"> Space </w:t>
            </w:r>
          </w:p>
          <w:p w14:paraId="6B26D45B" w14:textId="77777777" w:rsidR="008F1DC1" w:rsidRPr="004C156D" w:rsidRDefault="008F1DC1" w:rsidP="00B82EFA">
            <w:pPr>
              <w:rPr>
                <w:b/>
              </w:rPr>
            </w:pPr>
            <w:r w:rsidRPr="004C156D">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4BAD92BB" w14:textId="37873B35" w:rsidR="008F1DC1" w:rsidRPr="004C156D" w:rsidRDefault="008F1DC1" w:rsidP="009B7F59">
            <w:pPr>
              <w:rPr>
                <w:b/>
              </w:rPr>
            </w:pPr>
            <w:r w:rsidRPr="004C156D">
              <w:rPr>
                <w:b/>
                <w:sz w:val="22"/>
                <w:szCs w:val="22"/>
              </w:rPr>
              <w:t xml:space="preserve">Basement Wall </w:t>
            </w:r>
            <w:r w:rsidR="00E41CB3" w:rsidRPr="004C156D">
              <w:rPr>
                <w:b/>
                <w:sz w:val="22"/>
                <w:szCs w:val="22"/>
              </w:rPr>
              <w:t xml:space="preserve">Interior </w:t>
            </w:r>
            <w:r w:rsidR="00D60D9C" w:rsidRPr="004C156D">
              <w:rPr>
                <w:b/>
                <w:sz w:val="22"/>
                <w:szCs w:val="22"/>
              </w:rPr>
              <w:t>Insulation</w:t>
            </w:r>
            <w:r w:rsidRPr="004C156D">
              <w:rPr>
                <w:b/>
                <w:sz w:val="22"/>
                <w:szCs w:val="22"/>
              </w:rPr>
              <w:br/>
            </w:r>
            <w:r w:rsidR="00D60D9C" w:rsidRPr="004C156D">
              <w:rPr>
                <w:b/>
                <w:sz w:val="22"/>
                <w:szCs w:val="22"/>
              </w:rPr>
              <w:t>R-Value</w:t>
            </w:r>
            <w:r w:rsidR="009B7F59" w:rsidRPr="004C156D">
              <w:rPr>
                <w:b/>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tcPr>
          <w:p w14:paraId="5CE2EA85" w14:textId="073BA15B" w:rsidR="008F1DC1" w:rsidRPr="004C156D" w:rsidRDefault="008F1DC1" w:rsidP="00B82EFA">
            <w:pPr>
              <w:rPr>
                <w:b/>
              </w:rPr>
            </w:pPr>
            <w:r w:rsidRPr="004C156D">
              <w:rPr>
                <w:b/>
                <w:sz w:val="22"/>
                <w:szCs w:val="22"/>
              </w:rPr>
              <w:t xml:space="preserve">Slab-on-Grade </w:t>
            </w:r>
            <w:r w:rsidRPr="004C156D">
              <w:rPr>
                <w:b/>
                <w:sz w:val="22"/>
                <w:szCs w:val="22"/>
              </w:rPr>
              <w:br/>
              <w:t xml:space="preserve">R-Value &amp; </w:t>
            </w:r>
            <w:proofErr w:type="spellStart"/>
            <w:proofErr w:type="gramStart"/>
            <w:r w:rsidRPr="004C156D">
              <w:rPr>
                <w:b/>
                <w:sz w:val="22"/>
                <w:szCs w:val="22"/>
              </w:rPr>
              <w:t>Depth</w:t>
            </w:r>
            <w:r w:rsidR="009B7F59" w:rsidRPr="004C156D">
              <w:rPr>
                <w:b/>
                <w:sz w:val="22"/>
                <w:szCs w:val="22"/>
                <w:vertAlign w:val="superscript"/>
              </w:rPr>
              <w:t>d,e</w:t>
            </w:r>
            <w:proofErr w:type="spellEnd"/>
            <w:proofErr w:type="gramEnd"/>
          </w:p>
          <w:p w14:paraId="084BE150" w14:textId="42E4C82D" w:rsidR="008F1DC1" w:rsidRPr="004C156D" w:rsidRDefault="008F1DC1" w:rsidP="00B82EFA">
            <w:pPr>
              <w:rPr>
                <w:b/>
              </w:rPr>
            </w:pPr>
          </w:p>
        </w:tc>
      </w:tr>
      <w:tr w:rsidR="004C156D" w:rsidRPr="004C156D" w14:paraId="2BF87F0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46B9E80" w14:textId="77777777" w:rsidR="008F1DC1" w:rsidRPr="004C156D" w:rsidRDefault="008F1DC1" w:rsidP="00B82EFA">
            <w:pPr>
              <w:jc w:val="center"/>
            </w:pPr>
            <w:r w:rsidRPr="004C156D">
              <w:t>1</w:t>
            </w:r>
          </w:p>
        </w:tc>
        <w:tc>
          <w:tcPr>
            <w:tcW w:w="1440" w:type="dxa"/>
            <w:tcBorders>
              <w:top w:val="single" w:sz="4" w:space="0" w:color="auto"/>
              <w:left w:val="single" w:sz="4" w:space="0" w:color="auto"/>
              <w:bottom w:val="single" w:sz="4" w:space="0" w:color="auto"/>
              <w:right w:val="single" w:sz="4" w:space="0" w:color="auto"/>
            </w:tcBorders>
            <w:vAlign w:val="center"/>
          </w:tcPr>
          <w:p w14:paraId="2FAC3D0A" w14:textId="77777777" w:rsidR="008F1DC1" w:rsidRPr="004C156D" w:rsidRDefault="008F1DC1" w:rsidP="00B82EFA">
            <w:pPr>
              <w:jc w:val="center"/>
            </w:pPr>
            <w:r w:rsidRPr="004C156D">
              <w:t>1.20</w:t>
            </w:r>
          </w:p>
        </w:tc>
        <w:tc>
          <w:tcPr>
            <w:tcW w:w="1170" w:type="dxa"/>
            <w:tcBorders>
              <w:top w:val="single" w:sz="4" w:space="0" w:color="auto"/>
              <w:left w:val="single" w:sz="4" w:space="0" w:color="auto"/>
              <w:bottom w:val="single" w:sz="4" w:space="0" w:color="auto"/>
              <w:right w:val="single" w:sz="4" w:space="0" w:color="auto"/>
            </w:tcBorders>
            <w:vAlign w:val="center"/>
          </w:tcPr>
          <w:p w14:paraId="7DAE665F"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269A3E21" w14:textId="77777777" w:rsidR="008F1DC1" w:rsidRPr="004C156D" w:rsidRDefault="008F1DC1" w:rsidP="00B82EFA">
            <w:pPr>
              <w:jc w:val="center"/>
            </w:pPr>
            <w:r w:rsidRPr="004C156D">
              <w:t>0.035</w:t>
            </w:r>
          </w:p>
        </w:tc>
        <w:tc>
          <w:tcPr>
            <w:tcW w:w="1170" w:type="dxa"/>
            <w:tcBorders>
              <w:top w:val="single" w:sz="4" w:space="0" w:color="auto"/>
              <w:left w:val="single" w:sz="4" w:space="0" w:color="auto"/>
              <w:bottom w:val="single" w:sz="4" w:space="0" w:color="auto"/>
              <w:right w:val="single" w:sz="4" w:space="0" w:color="auto"/>
            </w:tcBorders>
            <w:vAlign w:val="center"/>
          </w:tcPr>
          <w:p w14:paraId="064E35F5" w14:textId="77777777" w:rsidR="008F1DC1" w:rsidRPr="004C156D" w:rsidRDefault="008F1DC1" w:rsidP="00B82EFA">
            <w:pPr>
              <w:jc w:val="center"/>
            </w:pPr>
            <w:r w:rsidRPr="004C156D">
              <w:t>0.082</w:t>
            </w:r>
          </w:p>
        </w:tc>
        <w:tc>
          <w:tcPr>
            <w:tcW w:w="1170" w:type="dxa"/>
            <w:tcBorders>
              <w:top w:val="single" w:sz="4" w:space="0" w:color="auto"/>
              <w:left w:val="single" w:sz="4" w:space="0" w:color="auto"/>
              <w:bottom w:val="single" w:sz="4" w:space="0" w:color="auto"/>
              <w:right w:val="single" w:sz="4" w:space="0" w:color="auto"/>
            </w:tcBorders>
            <w:vAlign w:val="center"/>
          </w:tcPr>
          <w:p w14:paraId="0178B3CD" w14:textId="77777777" w:rsidR="008F1DC1" w:rsidRPr="004C156D" w:rsidRDefault="008F1DC1" w:rsidP="00B82EFA">
            <w:pPr>
              <w:jc w:val="center"/>
            </w:pPr>
            <w:r w:rsidRPr="004C156D">
              <w:t>0.064</w:t>
            </w:r>
          </w:p>
        </w:tc>
        <w:tc>
          <w:tcPr>
            <w:tcW w:w="1350" w:type="dxa"/>
            <w:tcBorders>
              <w:top w:val="single" w:sz="4" w:space="0" w:color="auto"/>
              <w:left w:val="single" w:sz="4" w:space="0" w:color="auto"/>
              <w:bottom w:val="single" w:sz="4" w:space="0" w:color="auto"/>
              <w:right w:val="single" w:sz="4" w:space="0" w:color="auto"/>
            </w:tcBorders>
            <w:vAlign w:val="center"/>
          </w:tcPr>
          <w:p w14:paraId="0E967101" w14:textId="4EB2684F" w:rsidR="008F1DC1" w:rsidRPr="004C156D" w:rsidRDefault="00D60D9C" w:rsidP="00B82EFA">
            <w:pPr>
              <w:jc w:val="center"/>
            </w:pPr>
            <w:r w:rsidRPr="004C156D">
              <w:t>0</w:t>
            </w:r>
          </w:p>
        </w:tc>
        <w:tc>
          <w:tcPr>
            <w:tcW w:w="1080" w:type="dxa"/>
            <w:tcBorders>
              <w:top w:val="single" w:sz="4" w:space="0" w:color="auto"/>
              <w:left w:val="single" w:sz="4" w:space="0" w:color="auto"/>
              <w:bottom w:val="single" w:sz="4" w:space="0" w:color="auto"/>
              <w:right w:val="single" w:sz="4" w:space="0" w:color="auto"/>
            </w:tcBorders>
            <w:vAlign w:val="center"/>
          </w:tcPr>
          <w:p w14:paraId="3C79E950" w14:textId="77777777" w:rsidR="008F1DC1" w:rsidRPr="004C156D" w:rsidRDefault="008F1DC1" w:rsidP="00B82EFA">
            <w:pPr>
              <w:jc w:val="center"/>
            </w:pPr>
            <w:r w:rsidRPr="004C156D">
              <w:t>0</w:t>
            </w:r>
          </w:p>
        </w:tc>
      </w:tr>
      <w:tr w:rsidR="004C156D" w:rsidRPr="004C156D" w14:paraId="79E22574"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72D6942" w14:textId="77777777" w:rsidR="008F1DC1" w:rsidRPr="004C156D" w:rsidRDefault="008F1DC1" w:rsidP="00B82EFA">
            <w:pPr>
              <w:jc w:val="center"/>
            </w:pPr>
            <w:r w:rsidRPr="004C156D">
              <w:t>2</w:t>
            </w:r>
          </w:p>
        </w:tc>
        <w:tc>
          <w:tcPr>
            <w:tcW w:w="1440" w:type="dxa"/>
            <w:tcBorders>
              <w:top w:val="single" w:sz="4" w:space="0" w:color="auto"/>
              <w:left w:val="single" w:sz="4" w:space="0" w:color="auto"/>
              <w:bottom w:val="single" w:sz="4" w:space="0" w:color="auto"/>
              <w:right w:val="single" w:sz="4" w:space="0" w:color="auto"/>
            </w:tcBorders>
            <w:vAlign w:val="center"/>
          </w:tcPr>
          <w:p w14:paraId="242BFAA5" w14:textId="77777777" w:rsidR="008F1DC1" w:rsidRPr="004C156D" w:rsidRDefault="008F1DC1" w:rsidP="00B82EFA">
            <w:pPr>
              <w:jc w:val="center"/>
            </w:pPr>
            <w:r w:rsidRPr="004C156D">
              <w:t>0.75</w:t>
            </w:r>
          </w:p>
        </w:tc>
        <w:tc>
          <w:tcPr>
            <w:tcW w:w="1170" w:type="dxa"/>
            <w:tcBorders>
              <w:top w:val="single" w:sz="4" w:space="0" w:color="auto"/>
              <w:left w:val="single" w:sz="4" w:space="0" w:color="auto"/>
              <w:bottom w:val="single" w:sz="4" w:space="0" w:color="auto"/>
              <w:right w:val="single" w:sz="4" w:space="0" w:color="auto"/>
            </w:tcBorders>
            <w:vAlign w:val="center"/>
          </w:tcPr>
          <w:p w14:paraId="463B548C"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6D275912" w14:textId="77777777" w:rsidR="008F1DC1" w:rsidRPr="004C156D" w:rsidRDefault="008F1DC1" w:rsidP="00B82EFA">
            <w:pPr>
              <w:jc w:val="center"/>
            </w:pPr>
            <w:r w:rsidRPr="004C156D">
              <w:t>0.035</w:t>
            </w:r>
          </w:p>
        </w:tc>
        <w:tc>
          <w:tcPr>
            <w:tcW w:w="1170" w:type="dxa"/>
            <w:tcBorders>
              <w:top w:val="single" w:sz="4" w:space="0" w:color="auto"/>
              <w:left w:val="single" w:sz="4" w:space="0" w:color="auto"/>
              <w:bottom w:val="single" w:sz="4" w:space="0" w:color="auto"/>
              <w:right w:val="single" w:sz="4" w:space="0" w:color="auto"/>
            </w:tcBorders>
            <w:vAlign w:val="center"/>
          </w:tcPr>
          <w:p w14:paraId="1990FC0E" w14:textId="77777777" w:rsidR="008F1DC1" w:rsidRPr="004C156D" w:rsidRDefault="008F1DC1" w:rsidP="00B82EFA">
            <w:pPr>
              <w:jc w:val="center"/>
            </w:pPr>
            <w:r w:rsidRPr="004C156D">
              <w:t>0.082</w:t>
            </w:r>
          </w:p>
        </w:tc>
        <w:tc>
          <w:tcPr>
            <w:tcW w:w="1170" w:type="dxa"/>
            <w:tcBorders>
              <w:top w:val="single" w:sz="4" w:space="0" w:color="auto"/>
              <w:left w:val="single" w:sz="4" w:space="0" w:color="auto"/>
              <w:bottom w:val="single" w:sz="4" w:space="0" w:color="auto"/>
              <w:right w:val="single" w:sz="4" w:space="0" w:color="auto"/>
            </w:tcBorders>
            <w:vAlign w:val="center"/>
          </w:tcPr>
          <w:p w14:paraId="6A2269F1" w14:textId="77777777" w:rsidR="008F1DC1" w:rsidRPr="004C156D" w:rsidRDefault="008F1DC1" w:rsidP="00B82EFA">
            <w:pPr>
              <w:jc w:val="center"/>
            </w:pPr>
            <w:r w:rsidRPr="004C156D">
              <w:t>0.064</w:t>
            </w:r>
          </w:p>
        </w:tc>
        <w:tc>
          <w:tcPr>
            <w:tcW w:w="1350" w:type="dxa"/>
            <w:tcBorders>
              <w:top w:val="single" w:sz="4" w:space="0" w:color="auto"/>
              <w:left w:val="single" w:sz="4" w:space="0" w:color="auto"/>
              <w:bottom w:val="single" w:sz="4" w:space="0" w:color="auto"/>
              <w:right w:val="single" w:sz="4" w:space="0" w:color="auto"/>
            </w:tcBorders>
            <w:vAlign w:val="center"/>
          </w:tcPr>
          <w:p w14:paraId="45473FFB" w14:textId="29B66F35" w:rsidR="008F1DC1" w:rsidRPr="004C156D" w:rsidRDefault="00D60D9C" w:rsidP="00B82EFA">
            <w:pPr>
              <w:jc w:val="center"/>
            </w:pPr>
            <w:r w:rsidRPr="004C156D">
              <w:t>0</w:t>
            </w:r>
          </w:p>
        </w:tc>
        <w:tc>
          <w:tcPr>
            <w:tcW w:w="1080" w:type="dxa"/>
            <w:tcBorders>
              <w:top w:val="single" w:sz="4" w:space="0" w:color="auto"/>
              <w:left w:val="single" w:sz="4" w:space="0" w:color="auto"/>
              <w:bottom w:val="single" w:sz="4" w:space="0" w:color="auto"/>
              <w:right w:val="single" w:sz="4" w:space="0" w:color="auto"/>
            </w:tcBorders>
            <w:vAlign w:val="center"/>
          </w:tcPr>
          <w:p w14:paraId="596E5C92" w14:textId="77777777" w:rsidR="008F1DC1" w:rsidRPr="004C156D" w:rsidRDefault="008F1DC1" w:rsidP="00B82EFA">
            <w:pPr>
              <w:jc w:val="center"/>
            </w:pPr>
            <w:r w:rsidRPr="004C156D">
              <w:t>0</w:t>
            </w:r>
          </w:p>
        </w:tc>
      </w:tr>
      <w:tr w:rsidR="004C156D" w:rsidRPr="004C156D" w14:paraId="062C78CA"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C3B9DD" w14:textId="77777777" w:rsidR="008F1DC1" w:rsidRPr="004C156D" w:rsidRDefault="008F1DC1" w:rsidP="00B82EFA">
            <w:pPr>
              <w:jc w:val="center"/>
            </w:pPr>
            <w:r w:rsidRPr="004C156D">
              <w:t>3</w:t>
            </w:r>
          </w:p>
        </w:tc>
        <w:tc>
          <w:tcPr>
            <w:tcW w:w="1440" w:type="dxa"/>
            <w:tcBorders>
              <w:top w:val="single" w:sz="4" w:space="0" w:color="auto"/>
              <w:left w:val="single" w:sz="4" w:space="0" w:color="auto"/>
              <w:bottom w:val="single" w:sz="4" w:space="0" w:color="auto"/>
              <w:right w:val="single" w:sz="4" w:space="0" w:color="auto"/>
            </w:tcBorders>
            <w:vAlign w:val="center"/>
          </w:tcPr>
          <w:p w14:paraId="36BE54B0" w14:textId="77777777" w:rsidR="008F1DC1" w:rsidRPr="004C156D" w:rsidRDefault="008F1DC1" w:rsidP="00B82EFA">
            <w:pPr>
              <w:jc w:val="center"/>
            </w:pPr>
            <w:r w:rsidRPr="004C156D">
              <w:t>0.65</w:t>
            </w:r>
          </w:p>
        </w:tc>
        <w:tc>
          <w:tcPr>
            <w:tcW w:w="1170" w:type="dxa"/>
            <w:tcBorders>
              <w:top w:val="single" w:sz="4" w:space="0" w:color="auto"/>
              <w:left w:val="single" w:sz="4" w:space="0" w:color="auto"/>
              <w:bottom w:val="single" w:sz="4" w:space="0" w:color="auto"/>
              <w:right w:val="single" w:sz="4" w:space="0" w:color="auto"/>
            </w:tcBorders>
            <w:vAlign w:val="center"/>
          </w:tcPr>
          <w:p w14:paraId="3EC3B217"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7493E123" w14:textId="77777777" w:rsidR="008F1DC1" w:rsidRPr="004C156D" w:rsidRDefault="008F1DC1" w:rsidP="00B82EFA">
            <w:pPr>
              <w:jc w:val="center"/>
            </w:pPr>
            <w:r w:rsidRPr="004C156D">
              <w:t>0.035</w:t>
            </w:r>
          </w:p>
        </w:tc>
        <w:tc>
          <w:tcPr>
            <w:tcW w:w="1170" w:type="dxa"/>
            <w:tcBorders>
              <w:top w:val="single" w:sz="4" w:space="0" w:color="auto"/>
              <w:left w:val="single" w:sz="4" w:space="0" w:color="auto"/>
              <w:bottom w:val="single" w:sz="4" w:space="0" w:color="auto"/>
              <w:right w:val="single" w:sz="4" w:space="0" w:color="auto"/>
            </w:tcBorders>
            <w:vAlign w:val="center"/>
          </w:tcPr>
          <w:p w14:paraId="6830F22D" w14:textId="77777777" w:rsidR="008F1DC1" w:rsidRPr="004C156D" w:rsidRDefault="008F1DC1" w:rsidP="00B82EFA">
            <w:pPr>
              <w:jc w:val="center"/>
            </w:pPr>
            <w:r w:rsidRPr="004C156D">
              <w:t>0.082</w:t>
            </w:r>
          </w:p>
        </w:tc>
        <w:tc>
          <w:tcPr>
            <w:tcW w:w="1170" w:type="dxa"/>
            <w:tcBorders>
              <w:top w:val="single" w:sz="4" w:space="0" w:color="auto"/>
              <w:left w:val="single" w:sz="4" w:space="0" w:color="auto"/>
              <w:bottom w:val="single" w:sz="4" w:space="0" w:color="auto"/>
              <w:right w:val="single" w:sz="4" w:space="0" w:color="auto"/>
            </w:tcBorders>
            <w:vAlign w:val="center"/>
          </w:tcPr>
          <w:p w14:paraId="38C788EE" w14:textId="77777777" w:rsidR="008F1DC1" w:rsidRPr="004C156D" w:rsidRDefault="008F1DC1" w:rsidP="00B82EFA">
            <w:pPr>
              <w:jc w:val="center"/>
            </w:pPr>
            <w:r w:rsidRPr="004C156D">
              <w:t>0.047</w:t>
            </w:r>
          </w:p>
        </w:tc>
        <w:tc>
          <w:tcPr>
            <w:tcW w:w="1350" w:type="dxa"/>
            <w:tcBorders>
              <w:top w:val="single" w:sz="4" w:space="0" w:color="auto"/>
              <w:left w:val="single" w:sz="4" w:space="0" w:color="auto"/>
              <w:bottom w:val="single" w:sz="4" w:space="0" w:color="auto"/>
              <w:right w:val="single" w:sz="4" w:space="0" w:color="auto"/>
            </w:tcBorders>
            <w:vAlign w:val="center"/>
          </w:tcPr>
          <w:p w14:paraId="59DCF178" w14:textId="52499345" w:rsidR="008F1DC1" w:rsidRPr="004C156D" w:rsidRDefault="00D60D9C" w:rsidP="00B82EFA">
            <w:pPr>
              <w:jc w:val="center"/>
            </w:pPr>
            <w:r w:rsidRPr="004C156D">
              <w:t>0</w:t>
            </w:r>
          </w:p>
        </w:tc>
        <w:tc>
          <w:tcPr>
            <w:tcW w:w="1080" w:type="dxa"/>
            <w:tcBorders>
              <w:top w:val="single" w:sz="4" w:space="0" w:color="auto"/>
              <w:left w:val="single" w:sz="4" w:space="0" w:color="auto"/>
              <w:bottom w:val="single" w:sz="4" w:space="0" w:color="auto"/>
              <w:right w:val="single" w:sz="4" w:space="0" w:color="auto"/>
            </w:tcBorders>
            <w:vAlign w:val="center"/>
          </w:tcPr>
          <w:p w14:paraId="0C286EB9" w14:textId="77777777" w:rsidR="008F1DC1" w:rsidRPr="004C156D" w:rsidRDefault="008F1DC1" w:rsidP="00B82EFA">
            <w:pPr>
              <w:jc w:val="center"/>
            </w:pPr>
            <w:r w:rsidRPr="004C156D">
              <w:t>0</w:t>
            </w:r>
          </w:p>
        </w:tc>
      </w:tr>
      <w:tr w:rsidR="004C156D" w:rsidRPr="004C156D" w14:paraId="23B1BB1C"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3229F18" w14:textId="77777777" w:rsidR="008F1DC1" w:rsidRPr="004C156D" w:rsidRDefault="008F1DC1" w:rsidP="00B82EFA">
            <w:pPr>
              <w:jc w:val="center"/>
            </w:pPr>
            <w:r w:rsidRPr="004C156D">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123E4106"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79514CD5"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3EFD766C" w14:textId="77777777" w:rsidR="008F1DC1" w:rsidRPr="004C156D" w:rsidRDefault="008F1DC1" w:rsidP="00B82EFA">
            <w:pPr>
              <w:jc w:val="center"/>
            </w:pPr>
            <w:r w:rsidRPr="004C156D">
              <w:t>0.030</w:t>
            </w:r>
          </w:p>
        </w:tc>
        <w:tc>
          <w:tcPr>
            <w:tcW w:w="1170" w:type="dxa"/>
            <w:tcBorders>
              <w:top w:val="single" w:sz="4" w:space="0" w:color="auto"/>
              <w:left w:val="single" w:sz="4" w:space="0" w:color="auto"/>
              <w:bottom w:val="single" w:sz="4" w:space="0" w:color="auto"/>
              <w:right w:val="single" w:sz="4" w:space="0" w:color="auto"/>
            </w:tcBorders>
            <w:vAlign w:val="center"/>
          </w:tcPr>
          <w:p w14:paraId="1CB4EE92" w14:textId="77777777" w:rsidR="008F1DC1" w:rsidRPr="004C156D" w:rsidRDefault="008F1DC1" w:rsidP="00B82EFA">
            <w:pPr>
              <w:jc w:val="center"/>
            </w:pPr>
            <w:r w:rsidRPr="004C156D">
              <w:t>0.082</w:t>
            </w:r>
          </w:p>
        </w:tc>
        <w:tc>
          <w:tcPr>
            <w:tcW w:w="1170" w:type="dxa"/>
            <w:tcBorders>
              <w:top w:val="single" w:sz="4" w:space="0" w:color="auto"/>
              <w:left w:val="single" w:sz="4" w:space="0" w:color="auto"/>
              <w:bottom w:val="single" w:sz="4" w:space="0" w:color="auto"/>
              <w:right w:val="single" w:sz="4" w:space="0" w:color="auto"/>
            </w:tcBorders>
            <w:vAlign w:val="center"/>
          </w:tcPr>
          <w:p w14:paraId="643108A4" w14:textId="77777777" w:rsidR="008F1DC1" w:rsidRPr="004C156D" w:rsidRDefault="008F1DC1" w:rsidP="00B82EFA">
            <w:pPr>
              <w:jc w:val="center"/>
            </w:pPr>
            <w:r w:rsidRPr="004C156D">
              <w:t>0.047</w:t>
            </w:r>
          </w:p>
        </w:tc>
        <w:tc>
          <w:tcPr>
            <w:tcW w:w="1350" w:type="dxa"/>
            <w:tcBorders>
              <w:top w:val="single" w:sz="4" w:space="0" w:color="auto"/>
              <w:left w:val="single" w:sz="4" w:space="0" w:color="auto"/>
              <w:bottom w:val="single" w:sz="4" w:space="0" w:color="auto"/>
              <w:right w:val="single" w:sz="4" w:space="0" w:color="auto"/>
            </w:tcBorders>
            <w:vAlign w:val="center"/>
          </w:tcPr>
          <w:p w14:paraId="48255EDC" w14:textId="74950579" w:rsidR="008F1DC1" w:rsidRPr="004C156D" w:rsidRDefault="00D60D9C" w:rsidP="00B82EFA">
            <w:pPr>
              <w:jc w:val="center"/>
            </w:pPr>
            <w:r w:rsidRPr="004C156D">
              <w:t>10</w:t>
            </w:r>
          </w:p>
        </w:tc>
        <w:tc>
          <w:tcPr>
            <w:tcW w:w="1080" w:type="dxa"/>
            <w:tcBorders>
              <w:top w:val="single" w:sz="4" w:space="0" w:color="auto"/>
              <w:left w:val="single" w:sz="4" w:space="0" w:color="auto"/>
              <w:bottom w:val="single" w:sz="4" w:space="0" w:color="auto"/>
              <w:right w:val="single" w:sz="4" w:space="0" w:color="auto"/>
            </w:tcBorders>
            <w:vAlign w:val="center"/>
          </w:tcPr>
          <w:p w14:paraId="5CB4EB3F" w14:textId="77777777" w:rsidR="008F1DC1" w:rsidRPr="004C156D" w:rsidRDefault="008F1DC1" w:rsidP="00B82EFA">
            <w:pPr>
              <w:jc w:val="center"/>
            </w:pPr>
            <w:r w:rsidRPr="004C156D">
              <w:t>10, 2 ft.</w:t>
            </w:r>
          </w:p>
        </w:tc>
      </w:tr>
      <w:tr w:rsidR="004C156D" w:rsidRPr="004C156D" w14:paraId="16DB2B3F"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463F83C" w14:textId="77777777" w:rsidR="008F1DC1" w:rsidRPr="004C156D" w:rsidRDefault="008F1DC1" w:rsidP="00B82EFA">
            <w:pPr>
              <w:jc w:val="center"/>
            </w:pPr>
            <w:r w:rsidRPr="004C156D">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3A37188C" w14:textId="77777777" w:rsidR="008F1DC1" w:rsidRPr="004C156D" w:rsidRDefault="008F1DC1" w:rsidP="00B82EFA">
            <w:pPr>
              <w:jc w:val="center"/>
            </w:pPr>
            <w:r w:rsidRPr="004C156D">
              <w:t>0.35</w:t>
            </w:r>
          </w:p>
        </w:tc>
        <w:tc>
          <w:tcPr>
            <w:tcW w:w="1170" w:type="dxa"/>
            <w:tcBorders>
              <w:top w:val="single" w:sz="4" w:space="0" w:color="auto"/>
              <w:left w:val="single" w:sz="4" w:space="0" w:color="auto"/>
              <w:bottom w:val="single" w:sz="4" w:space="0" w:color="auto"/>
              <w:right w:val="single" w:sz="4" w:space="0" w:color="auto"/>
            </w:tcBorders>
            <w:vAlign w:val="center"/>
          </w:tcPr>
          <w:p w14:paraId="6EB58B59"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45AFC307" w14:textId="77777777" w:rsidR="008F1DC1" w:rsidRPr="004C156D" w:rsidRDefault="008F1DC1" w:rsidP="00B82EFA">
            <w:pPr>
              <w:jc w:val="center"/>
            </w:pPr>
            <w:r w:rsidRPr="004C156D">
              <w:t>0.030</w:t>
            </w:r>
          </w:p>
        </w:tc>
        <w:tc>
          <w:tcPr>
            <w:tcW w:w="1170" w:type="dxa"/>
            <w:tcBorders>
              <w:top w:val="single" w:sz="4" w:space="0" w:color="auto"/>
              <w:left w:val="single" w:sz="4" w:space="0" w:color="auto"/>
              <w:bottom w:val="single" w:sz="4" w:space="0" w:color="auto"/>
              <w:right w:val="single" w:sz="4" w:space="0" w:color="auto"/>
            </w:tcBorders>
            <w:vAlign w:val="center"/>
          </w:tcPr>
          <w:p w14:paraId="02D9BA64" w14:textId="77777777" w:rsidR="008F1DC1" w:rsidRPr="004C156D" w:rsidRDefault="008F1DC1" w:rsidP="00B82EFA">
            <w:pPr>
              <w:jc w:val="center"/>
            </w:pPr>
            <w:r w:rsidRPr="004C156D">
              <w:t>0.060</w:t>
            </w:r>
          </w:p>
        </w:tc>
        <w:tc>
          <w:tcPr>
            <w:tcW w:w="1170" w:type="dxa"/>
            <w:tcBorders>
              <w:top w:val="single" w:sz="4" w:space="0" w:color="auto"/>
              <w:left w:val="single" w:sz="4" w:space="0" w:color="auto"/>
              <w:bottom w:val="single" w:sz="4" w:space="0" w:color="auto"/>
              <w:right w:val="single" w:sz="4" w:space="0" w:color="auto"/>
            </w:tcBorders>
            <w:vAlign w:val="center"/>
          </w:tcPr>
          <w:p w14:paraId="75D02F72" w14:textId="77777777" w:rsidR="008F1DC1" w:rsidRPr="004C156D" w:rsidRDefault="008F1DC1" w:rsidP="00B82EFA">
            <w:pPr>
              <w:jc w:val="center"/>
            </w:pPr>
            <w:r w:rsidRPr="004C156D">
              <w:t>0.033</w:t>
            </w:r>
          </w:p>
        </w:tc>
        <w:tc>
          <w:tcPr>
            <w:tcW w:w="1350" w:type="dxa"/>
            <w:tcBorders>
              <w:top w:val="single" w:sz="4" w:space="0" w:color="auto"/>
              <w:left w:val="single" w:sz="4" w:space="0" w:color="auto"/>
              <w:bottom w:val="single" w:sz="4" w:space="0" w:color="auto"/>
              <w:right w:val="single" w:sz="4" w:space="0" w:color="auto"/>
            </w:tcBorders>
            <w:vAlign w:val="center"/>
          </w:tcPr>
          <w:p w14:paraId="4EB90D32" w14:textId="0E941C06" w:rsidR="008F1DC1" w:rsidRPr="004C156D" w:rsidRDefault="00D60D9C" w:rsidP="00B82EFA">
            <w:pPr>
              <w:jc w:val="center"/>
            </w:pPr>
            <w:r w:rsidRPr="004C156D">
              <w:t>10</w:t>
            </w:r>
          </w:p>
        </w:tc>
        <w:tc>
          <w:tcPr>
            <w:tcW w:w="1080" w:type="dxa"/>
            <w:tcBorders>
              <w:top w:val="single" w:sz="4" w:space="0" w:color="auto"/>
              <w:left w:val="single" w:sz="4" w:space="0" w:color="auto"/>
              <w:bottom w:val="single" w:sz="4" w:space="0" w:color="auto"/>
              <w:right w:val="single" w:sz="4" w:space="0" w:color="auto"/>
            </w:tcBorders>
            <w:vAlign w:val="center"/>
          </w:tcPr>
          <w:p w14:paraId="2C3C0D68" w14:textId="77777777" w:rsidR="008F1DC1" w:rsidRPr="004C156D" w:rsidRDefault="008F1DC1" w:rsidP="00B82EFA">
            <w:pPr>
              <w:jc w:val="center"/>
            </w:pPr>
            <w:r w:rsidRPr="004C156D">
              <w:t>10, 2 ft.</w:t>
            </w:r>
          </w:p>
        </w:tc>
      </w:tr>
      <w:tr w:rsidR="004C156D" w:rsidRPr="004C156D" w14:paraId="7B6186F3"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7116C8E8" w14:textId="77777777" w:rsidR="008F1DC1" w:rsidRPr="004C156D" w:rsidRDefault="008F1DC1" w:rsidP="00B82EFA">
            <w:pPr>
              <w:jc w:val="center"/>
            </w:pPr>
            <w:r w:rsidRPr="004C156D">
              <w:t>6</w:t>
            </w:r>
          </w:p>
        </w:tc>
        <w:tc>
          <w:tcPr>
            <w:tcW w:w="1440" w:type="dxa"/>
            <w:tcBorders>
              <w:top w:val="single" w:sz="4" w:space="0" w:color="auto"/>
              <w:left w:val="single" w:sz="4" w:space="0" w:color="auto"/>
              <w:bottom w:val="single" w:sz="4" w:space="0" w:color="auto"/>
              <w:right w:val="single" w:sz="4" w:space="0" w:color="auto"/>
            </w:tcBorders>
            <w:vAlign w:val="center"/>
          </w:tcPr>
          <w:p w14:paraId="12264EE4" w14:textId="77777777" w:rsidR="008F1DC1" w:rsidRPr="004C156D" w:rsidRDefault="008F1DC1" w:rsidP="00B82EFA">
            <w:pPr>
              <w:jc w:val="center"/>
            </w:pPr>
            <w:r w:rsidRPr="004C156D">
              <w:t>0.35</w:t>
            </w:r>
          </w:p>
        </w:tc>
        <w:tc>
          <w:tcPr>
            <w:tcW w:w="1170" w:type="dxa"/>
            <w:tcBorders>
              <w:top w:val="single" w:sz="4" w:space="0" w:color="auto"/>
              <w:left w:val="single" w:sz="4" w:space="0" w:color="auto"/>
              <w:bottom w:val="single" w:sz="4" w:space="0" w:color="auto"/>
              <w:right w:val="single" w:sz="4" w:space="0" w:color="auto"/>
            </w:tcBorders>
            <w:vAlign w:val="center"/>
          </w:tcPr>
          <w:p w14:paraId="62AD35CD"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29F5E36C" w14:textId="77777777" w:rsidR="008F1DC1" w:rsidRPr="004C156D" w:rsidRDefault="008F1DC1" w:rsidP="00B82EFA">
            <w:pPr>
              <w:jc w:val="center"/>
            </w:pPr>
            <w:r w:rsidRPr="004C156D">
              <w:t>0.026</w:t>
            </w:r>
          </w:p>
        </w:tc>
        <w:tc>
          <w:tcPr>
            <w:tcW w:w="1170" w:type="dxa"/>
            <w:tcBorders>
              <w:top w:val="single" w:sz="4" w:space="0" w:color="auto"/>
              <w:left w:val="single" w:sz="4" w:space="0" w:color="auto"/>
              <w:bottom w:val="single" w:sz="4" w:space="0" w:color="auto"/>
              <w:right w:val="single" w:sz="4" w:space="0" w:color="auto"/>
            </w:tcBorders>
            <w:vAlign w:val="center"/>
          </w:tcPr>
          <w:p w14:paraId="592279EE" w14:textId="77777777" w:rsidR="008F1DC1" w:rsidRPr="004C156D" w:rsidRDefault="008F1DC1" w:rsidP="00B82EFA">
            <w:pPr>
              <w:jc w:val="center"/>
            </w:pPr>
            <w:r w:rsidRPr="004C156D">
              <w:t>0.060</w:t>
            </w:r>
          </w:p>
        </w:tc>
        <w:tc>
          <w:tcPr>
            <w:tcW w:w="1170" w:type="dxa"/>
            <w:tcBorders>
              <w:top w:val="single" w:sz="4" w:space="0" w:color="auto"/>
              <w:left w:val="single" w:sz="4" w:space="0" w:color="auto"/>
              <w:bottom w:val="single" w:sz="4" w:space="0" w:color="auto"/>
              <w:right w:val="single" w:sz="4" w:space="0" w:color="auto"/>
            </w:tcBorders>
            <w:vAlign w:val="center"/>
          </w:tcPr>
          <w:p w14:paraId="1AAC752E" w14:textId="77777777" w:rsidR="008F1DC1" w:rsidRPr="004C156D" w:rsidRDefault="008F1DC1" w:rsidP="00B82EFA">
            <w:pPr>
              <w:jc w:val="center"/>
            </w:pPr>
            <w:r w:rsidRPr="004C156D">
              <w:t>0.033</w:t>
            </w:r>
          </w:p>
        </w:tc>
        <w:tc>
          <w:tcPr>
            <w:tcW w:w="1350" w:type="dxa"/>
            <w:tcBorders>
              <w:top w:val="single" w:sz="4" w:space="0" w:color="auto"/>
              <w:left w:val="single" w:sz="4" w:space="0" w:color="auto"/>
              <w:bottom w:val="single" w:sz="4" w:space="0" w:color="auto"/>
              <w:right w:val="single" w:sz="4" w:space="0" w:color="auto"/>
            </w:tcBorders>
            <w:vAlign w:val="center"/>
          </w:tcPr>
          <w:p w14:paraId="651837C1" w14:textId="442A57B1" w:rsidR="008F1DC1" w:rsidRPr="004C156D" w:rsidRDefault="00D60D9C" w:rsidP="00B82EFA">
            <w:pPr>
              <w:jc w:val="center"/>
            </w:pPr>
            <w:r w:rsidRPr="004C156D">
              <w:t>10</w:t>
            </w:r>
          </w:p>
        </w:tc>
        <w:tc>
          <w:tcPr>
            <w:tcW w:w="1080" w:type="dxa"/>
            <w:tcBorders>
              <w:top w:val="single" w:sz="4" w:space="0" w:color="auto"/>
              <w:left w:val="single" w:sz="4" w:space="0" w:color="auto"/>
              <w:bottom w:val="single" w:sz="4" w:space="0" w:color="auto"/>
              <w:right w:val="single" w:sz="4" w:space="0" w:color="auto"/>
            </w:tcBorders>
            <w:vAlign w:val="center"/>
          </w:tcPr>
          <w:p w14:paraId="6D1FE358" w14:textId="77777777" w:rsidR="008F1DC1" w:rsidRPr="004C156D" w:rsidRDefault="008F1DC1" w:rsidP="00B82EFA">
            <w:pPr>
              <w:jc w:val="center"/>
            </w:pPr>
            <w:r w:rsidRPr="004C156D">
              <w:t>10, 4 ft.</w:t>
            </w:r>
          </w:p>
        </w:tc>
      </w:tr>
      <w:tr w:rsidR="004C156D" w:rsidRPr="004C156D" w14:paraId="6C2E3387" w14:textId="77777777" w:rsidTr="00A4451A">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830C57" w14:textId="77777777" w:rsidR="008F1DC1" w:rsidRPr="004C156D" w:rsidRDefault="008F1DC1" w:rsidP="00B82EFA">
            <w:pPr>
              <w:jc w:val="center"/>
            </w:pPr>
            <w:r w:rsidRPr="004C156D">
              <w:t>7 and 8</w:t>
            </w:r>
          </w:p>
        </w:tc>
        <w:tc>
          <w:tcPr>
            <w:tcW w:w="1440" w:type="dxa"/>
            <w:tcBorders>
              <w:top w:val="single" w:sz="4" w:space="0" w:color="auto"/>
              <w:left w:val="single" w:sz="4" w:space="0" w:color="auto"/>
              <w:bottom w:val="single" w:sz="4" w:space="0" w:color="auto"/>
              <w:right w:val="single" w:sz="4" w:space="0" w:color="auto"/>
            </w:tcBorders>
            <w:vAlign w:val="center"/>
          </w:tcPr>
          <w:p w14:paraId="297D4D62" w14:textId="77777777" w:rsidR="008F1DC1" w:rsidRPr="004C156D" w:rsidRDefault="008F1DC1" w:rsidP="00B82EFA">
            <w:pPr>
              <w:jc w:val="center"/>
            </w:pPr>
            <w:r w:rsidRPr="004C156D">
              <w:t>0.35</w:t>
            </w:r>
          </w:p>
        </w:tc>
        <w:tc>
          <w:tcPr>
            <w:tcW w:w="1170" w:type="dxa"/>
            <w:tcBorders>
              <w:top w:val="single" w:sz="4" w:space="0" w:color="auto"/>
              <w:left w:val="single" w:sz="4" w:space="0" w:color="auto"/>
              <w:bottom w:val="single" w:sz="4" w:space="0" w:color="auto"/>
              <w:right w:val="single" w:sz="4" w:space="0" w:color="auto"/>
            </w:tcBorders>
            <w:vAlign w:val="center"/>
          </w:tcPr>
          <w:p w14:paraId="470E7208" w14:textId="77777777" w:rsidR="008F1DC1" w:rsidRPr="004C156D" w:rsidRDefault="008F1DC1" w:rsidP="00B82EFA">
            <w:pPr>
              <w:jc w:val="center"/>
            </w:pPr>
            <w:r w:rsidRPr="004C156D">
              <w:t>0.40</w:t>
            </w:r>
          </w:p>
        </w:tc>
        <w:tc>
          <w:tcPr>
            <w:tcW w:w="1170" w:type="dxa"/>
            <w:tcBorders>
              <w:top w:val="single" w:sz="4" w:space="0" w:color="auto"/>
              <w:left w:val="single" w:sz="4" w:space="0" w:color="auto"/>
              <w:bottom w:val="single" w:sz="4" w:space="0" w:color="auto"/>
              <w:right w:val="single" w:sz="4" w:space="0" w:color="auto"/>
            </w:tcBorders>
            <w:vAlign w:val="center"/>
          </w:tcPr>
          <w:p w14:paraId="1039770C" w14:textId="77777777" w:rsidR="008F1DC1" w:rsidRPr="004C156D" w:rsidRDefault="008F1DC1" w:rsidP="00B82EFA">
            <w:pPr>
              <w:jc w:val="center"/>
            </w:pPr>
            <w:r w:rsidRPr="004C156D">
              <w:t>0.026</w:t>
            </w:r>
          </w:p>
        </w:tc>
        <w:tc>
          <w:tcPr>
            <w:tcW w:w="1170" w:type="dxa"/>
            <w:tcBorders>
              <w:top w:val="single" w:sz="4" w:space="0" w:color="auto"/>
              <w:left w:val="single" w:sz="4" w:space="0" w:color="auto"/>
              <w:bottom w:val="single" w:sz="4" w:space="0" w:color="auto"/>
              <w:right w:val="single" w:sz="4" w:space="0" w:color="auto"/>
            </w:tcBorders>
            <w:vAlign w:val="center"/>
          </w:tcPr>
          <w:p w14:paraId="0798CE8C" w14:textId="77777777" w:rsidR="008F1DC1" w:rsidRPr="004C156D" w:rsidRDefault="008F1DC1" w:rsidP="00B82EFA">
            <w:pPr>
              <w:jc w:val="center"/>
            </w:pPr>
            <w:r w:rsidRPr="004C156D">
              <w:t>0.057</w:t>
            </w:r>
          </w:p>
        </w:tc>
        <w:tc>
          <w:tcPr>
            <w:tcW w:w="1170" w:type="dxa"/>
            <w:tcBorders>
              <w:top w:val="single" w:sz="4" w:space="0" w:color="auto"/>
              <w:left w:val="single" w:sz="4" w:space="0" w:color="auto"/>
              <w:bottom w:val="single" w:sz="4" w:space="0" w:color="auto"/>
              <w:right w:val="single" w:sz="4" w:space="0" w:color="auto"/>
            </w:tcBorders>
            <w:vAlign w:val="center"/>
          </w:tcPr>
          <w:p w14:paraId="0C387368" w14:textId="77777777" w:rsidR="008F1DC1" w:rsidRPr="004C156D" w:rsidRDefault="008F1DC1" w:rsidP="00B82EFA">
            <w:pPr>
              <w:jc w:val="center"/>
            </w:pPr>
            <w:r w:rsidRPr="004C156D">
              <w:t>0.033</w:t>
            </w:r>
          </w:p>
        </w:tc>
        <w:tc>
          <w:tcPr>
            <w:tcW w:w="1350" w:type="dxa"/>
            <w:tcBorders>
              <w:top w:val="single" w:sz="4" w:space="0" w:color="auto"/>
              <w:left w:val="single" w:sz="4" w:space="0" w:color="auto"/>
              <w:bottom w:val="single" w:sz="4" w:space="0" w:color="auto"/>
              <w:right w:val="single" w:sz="4" w:space="0" w:color="auto"/>
            </w:tcBorders>
            <w:vAlign w:val="center"/>
          </w:tcPr>
          <w:p w14:paraId="6CB00624" w14:textId="174740D5" w:rsidR="008F1DC1" w:rsidRPr="004C156D" w:rsidRDefault="00D60D9C" w:rsidP="00B82EFA">
            <w:pPr>
              <w:jc w:val="center"/>
            </w:pPr>
            <w:r w:rsidRPr="004C156D">
              <w:t>10</w:t>
            </w:r>
          </w:p>
        </w:tc>
        <w:tc>
          <w:tcPr>
            <w:tcW w:w="1080" w:type="dxa"/>
            <w:tcBorders>
              <w:top w:val="single" w:sz="4" w:space="0" w:color="auto"/>
              <w:left w:val="single" w:sz="4" w:space="0" w:color="auto"/>
              <w:bottom w:val="single" w:sz="4" w:space="0" w:color="auto"/>
              <w:right w:val="single" w:sz="4" w:space="0" w:color="auto"/>
            </w:tcBorders>
            <w:vAlign w:val="center"/>
          </w:tcPr>
          <w:p w14:paraId="37E8771C" w14:textId="77777777" w:rsidR="008F1DC1" w:rsidRPr="004C156D" w:rsidRDefault="008F1DC1" w:rsidP="00B82EFA">
            <w:pPr>
              <w:jc w:val="center"/>
            </w:pPr>
            <w:r w:rsidRPr="004C156D">
              <w:t>10, 4 ft.</w:t>
            </w:r>
          </w:p>
        </w:tc>
      </w:tr>
      <w:tr w:rsidR="004C156D" w:rsidRPr="004C156D" w14:paraId="47E5DDC1" w14:textId="77777777" w:rsidTr="00A4451A">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437BB163" w14:textId="77777777" w:rsidR="008F1DC1" w:rsidRPr="004C156D" w:rsidRDefault="008F1DC1" w:rsidP="00B82EFA">
            <w:pPr>
              <w:rPr>
                <w:b/>
              </w:rPr>
            </w:pPr>
            <w:r w:rsidRPr="004C156D">
              <w:rPr>
                <w:b/>
              </w:rPr>
              <w:t>Notes:</w:t>
            </w:r>
          </w:p>
          <w:p w14:paraId="7B50F9CE" w14:textId="6303C581" w:rsidR="008F1DC1" w:rsidRPr="004C156D" w:rsidRDefault="009B7F59" w:rsidP="00B82EFA">
            <w:pPr>
              <w:tabs>
                <w:tab w:val="left" w:pos="374"/>
              </w:tabs>
              <w:ind w:left="374" w:hanging="374"/>
            </w:pPr>
            <w:r w:rsidRPr="004C156D">
              <w:t>a.</w:t>
            </w:r>
            <w:r w:rsidR="008F1DC1" w:rsidRPr="004C156D">
              <w:tab/>
            </w:r>
            <w:r w:rsidR="274A5D51" w:rsidRPr="004C156D">
              <w:t>U-Factor values are from 2006 IECC, Table 402.1.3 and R-Values are from 2006 IECC, Table 402.1.1.</w:t>
            </w:r>
          </w:p>
          <w:p w14:paraId="6C8C41AE" w14:textId="7B29E502" w:rsidR="008F1DC1" w:rsidRPr="004C156D" w:rsidRDefault="009B7F59" w:rsidP="00B82EFA">
            <w:pPr>
              <w:tabs>
                <w:tab w:val="left" w:pos="374"/>
              </w:tabs>
              <w:ind w:left="374" w:hanging="374"/>
            </w:pPr>
            <w:r w:rsidRPr="004C156D">
              <w:t>b.</w:t>
            </w:r>
            <w:r w:rsidR="008F1DC1" w:rsidRPr="004C156D">
              <w:tab/>
              <w:t>Climates zones shall be as specified by the 20</w:t>
            </w:r>
            <w:r w:rsidR="00693913" w:rsidRPr="004C156D">
              <w:t>06</w:t>
            </w:r>
            <w:r w:rsidR="008F1DC1" w:rsidRPr="004C156D">
              <w:t xml:space="preserve"> IECC.</w:t>
            </w:r>
          </w:p>
          <w:p w14:paraId="5BC09523" w14:textId="7A8AB779" w:rsidR="008F1DC1" w:rsidRPr="004C156D" w:rsidRDefault="009B7F59" w:rsidP="00B82EFA">
            <w:pPr>
              <w:tabs>
                <w:tab w:val="left" w:pos="374"/>
              </w:tabs>
              <w:ind w:left="374" w:hanging="374"/>
            </w:pPr>
            <w:r w:rsidRPr="004C156D">
              <w:t>c.</w:t>
            </w:r>
            <w:r w:rsidR="008F1DC1" w:rsidRPr="004C156D">
              <w:tab/>
              <w:t xml:space="preserve">For basements </w:t>
            </w:r>
            <w:r w:rsidR="00C52AF8" w:rsidRPr="004C156D">
              <w:t xml:space="preserve">that are within the </w:t>
            </w:r>
            <w:r w:rsidR="008F1DC1" w:rsidRPr="004C156D">
              <w:t xml:space="preserve">Conditioned Space </w:t>
            </w:r>
            <w:r w:rsidR="00C52AF8" w:rsidRPr="004C156D">
              <w:t>Volume</w:t>
            </w:r>
            <w:r w:rsidR="11DAF3C4" w:rsidRPr="004C156D">
              <w:t>,</w:t>
            </w:r>
            <w:r w:rsidR="00554802" w:rsidRPr="004C156D">
              <w:t xml:space="preserve"> </w:t>
            </w:r>
            <w:r w:rsidR="11DAF3C4" w:rsidRPr="004C156D">
              <w:t>basement</w:t>
            </w:r>
            <w:r w:rsidR="00D60D9C" w:rsidRPr="004C156D">
              <w:t xml:space="preserve"> wall</w:t>
            </w:r>
            <w:r w:rsidR="00F054EA" w:rsidRPr="004C156D">
              <w:t xml:space="preserve"> insulation</w:t>
            </w:r>
            <w:r w:rsidR="00D60D9C" w:rsidRPr="004C156D">
              <w:t xml:space="preserve"> shall be continuous</w:t>
            </w:r>
            <w:r w:rsidR="00033630" w:rsidRPr="004C156D">
              <w:t xml:space="preserve"> across the entire </w:t>
            </w:r>
            <w:r w:rsidR="00A830C6" w:rsidRPr="004C156D">
              <w:t>area</w:t>
            </w:r>
            <w:r w:rsidR="00033630" w:rsidRPr="004C156D">
              <w:t xml:space="preserve"> of the wall</w:t>
            </w:r>
            <w:r w:rsidR="00D60D9C" w:rsidRPr="004C156D">
              <w:t>.</w:t>
            </w:r>
          </w:p>
          <w:p w14:paraId="06265355" w14:textId="70DEA2F5" w:rsidR="008F1DC1" w:rsidRPr="004C156D" w:rsidRDefault="009B7F59" w:rsidP="00B82EFA">
            <w:pPr>
              <w:tabs>
                <w:tab w:val="left" w:pos="374"/>
              </w:tabs>
              <w:ind w:left="374" w:hanging="374"/>
            </w:pPr>
            <w:r w:rsidRPr="004C156D">
              <w:t>d.</w:t>
            </w:r>
            <w:r w:rsidR="008F1DC1" w:rsidRPr="004C156D">
              <w:tab/>
              <w:t>R-5 shall be added to the required R-</w:t>
            </w:r>
            <w:r w:rsidR="00D05497" w:rsidRPr="004C156D">
              <w:t>V</w:t>
            </w:r>
            <w:r w:rsidR="008F1DC1" w:rsidRPr="004C156D">
              <w:t>alue for slabs with embedded heating.</w:t>
            </w:r>
          </w:p>
          <w:p w14:paraId="0757A1C6" w14:textId="6601F0E4" w:rsidR="008F1DC1" w:rsidRPr="004C156D" w:rsidRDefault="009B7F59" w:rsidP="00B82EFA">
            <w:pPr>
              <w:tabs>
                <w:tab w:val="left" w:pos="374"/>
              </w:tabs>
              <w:ind w:left="374" w:hanging="374"/>
            </w:pPr>
            <w:r w:rsidRPr="004C156D">
              <w:t>e.</w:t>
            </w:r>
            <w:r w:rsidR="008F1DC1" w:rsidRPr="004C156D">
              <w:tab/>
              <w:t>Insulation shall extend downward from the top of the slab vertically to the depth indicated.</w:t>
            </w:r>
          </w:p>
        </w:tc>
      </w:tr>
    </w:tbl>
    <w:p w14:paraId="58791120" w14:textId="77777777" w:rsidR="008F1DC1" w:rsidRDefault="008F1DC1" w:rsidP="008F1DC1">
      <w:pPr>
        <w:tabs>
          <w:tab w:val="left" w:pos="374"/>
        </w:tabs>
      </w:pPr>
    </w:p>
    <w:p w14:paraId="0112CCE8" w14:textId="494BA01F" w:rsidR="00F0324C" w:rsidRDefault="00F0324C">
      <w:pPr>
        <w:spacing w:after="200" w:line="276" w:lineRule="auto"/>
      </w:pPr>
      <w:r>
        <w:br w:type="page"/>
      </w:r>
    </w:p>
    <w:p w14:paraId="754A95CF" w14:textId="77777777" w:rsidR="00F0324C" w:rsidRPr="00FA69E8" w:rsidRDefault="00F0324C" w:rsidP="008F1DC1">
      <w:pPr>
        <w:tabs>
          <w:tab w:val="left" w:pos="374"/>
        </w:tabs>
      </w:pPr>
    </w:p>
    <w:p w14:paraId="16F16D49" w14:textId="68233D6D" w:rsidR="008F1DC1" w:rsidRPr="003C228B" w:rsidRDefault="003C228B" w:rsidP="00EB0CF2">
      <w:pPr>
        <w:rPr>
          <w:b/>
          <w:i/>
          <w:iCs/>
          <w:color w:val="0070C0"/>
        </w:rPr>
      </w:pPr>
      <w:r w:rsidRPr="003C228B">
        <w:rPr>
          <w:b/>
          <w:i/>
          <w:iCs/>
          <w:color w:val="0070C0"/>
        </w:rPr>
        <w:t xml:space="preserve">Delete Table 4.2.2(3) and renumber </w:t>
      </w:r>
      <w:r w:rsidR="004E0118">
        <w:rPr>
          <w:b/>
          <w:i/>
          <w:iCs/>
          <w:color w:val="0070C0"/>
        </w:rPr>
        <w:t xml:space="preserve">the </w:t>
      </w:r>
      <w:r w:rsidRPr="003C228B">
        <w:rPr>
          <w:b/>
          <w:i/>
          <w:iCs/>
          <w:color w:val="0070C0"/>
        </w:rPr>
        <w:t>following tables accordingly:</w:t>
      </w:r>
    </w:p>
    <w:p w14:paraId="009FBFAB" w14:textId="77777777" w:rsidR="003C228B" w:rsidRPr="003C228B" w:rsidRDefault="003C228B" w:rsidP="00EB0CF2">
      <w:pPr>
        <w:rPr>
          <w:bCs/>
          <w:i/>
          <w:iCs/>
          <w:color w:val="0070C0"/>
        </w:rPr>
      </w:pPr>
    </w:p>
    <w:p w14:paraId="46FA3C3F" w14:textId="2EAA2F67" w:rsidR="008F1DC1" w:rsidRPr="004C156D" w:rsidRDefault="008F1DC1" w:rsidP="008F1DC1">
      <w:pPr>
        <w:tabs>
          <w:tab w:val="left" w:pos="561"/>
        </w:tabs>
        <w:jc w:val="center"/>
        <w:rPr>
          <w:b/>
          <w:vertAlign w:val="superscript"/>
        </w:rPr>
      </w:pPr>
      <w:r w:rsidRPr="004C156D">
        <w:rPr>
          <w:b/>
          <w:strike/>
        </w:rPr>
        <w:t>Table 4.2.2(3</w:t>
      </w:r>
      <w:proofErr w:type="gramStart"/>
      <w:r w:rsidRPr="004C156D">
        <w:rPr>
          <w:b/>
          <w:strike/>
        </w:rPr>
        <w:t>)  Internal</w:t>
      </w:r>
      <w:proofErr w:type="gramEnd"/>
      <w:r w:rsidRPr="004C156D">
        <w:rPr>
          <w:b/>
          <w:strike/>
        </w:rPr>
        <w:t xml:space="preserve"> Gains fo</w:t>
      </w:r>
      <w:r w:rsidR="006D2D8F" w:rsidRPr="004C156D">
        <w:rPr>
          <w:b/>
          <w:strike/>
        </w:rPr>
        <w:t>r Energy Rating Reference Homes</w:t>
      </w:r>
      <w:r w:rsidRPr="004C156D">
        <w:rPr>
          <w:b/>
          <w:strike/>
          <w:vertAlign w:val="superscript"/>
        </w:rPr>
        <w:t>(a)</w:t>
      </w:r>
      <w:r w:rsidR="003C228B" w:rsidRPr="004C156D">
        <w:rPr>
          <w:b/>
          <w:strike/>
          <w:vertAlign w:val="superscript"/>
        </w:rPr>
        <w:t xml:space="preserve"> </w:t>
      </w:r>
      <w:r w:rsidR="00774A0C" w:rsidRPr="00DC54A7">
        <w:rPr>
          <w:b/>
          <w:color w:val="0070C0"/>
          <w:vertAlign w:val="superscript"/>
        </w:rPr>
        <w:t>(1)</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899"/>
        <w:gridCol w:w="756"/>
        <w:gridCol w:w="1212"/>
        <w:gridCol w:w="876"/>
        <w:gridCol w:w="744"/>
        <w:gridCol w:w="990"/>
      </w:tblGrid>
      <w:tr w:rsidR="004C156D" w:rsidRPr="004C156D" w14:paraId="06424A58" w14:textId="5A7BF139" w:rsidTr="00581A21">
        <w:trPr>
          <w:trHeight w:val="305"/>
          <w:jc w:val="center"/>
        </w:trPr>
        <w:tc>
          <w:tcPr>
            <w:tcW w:w="3528" w:type="dxa"/>
            <w:vMerge w:val="restart"/>
          </w:tcPr>
          <w:p w14:paraId="08E6159B" w14:textId="6A43DF5A" w:rsidR="008F1DC1" w:rsidRPr="004C156D" w:rsidRDefault="008F1DC1" w:rsidP="00B82EFA">
            <w:pPr>
              <w:rPr>
                <w:b/>
                <w:bCs/>
                <w:strike/>
              </w:rPr>
            </w:pPr>
            <w:r w:rsidRPr="004C156D">
              <w:rPr>
                <w:b/>
                <w:bCs/>
                <w:strike/>
              </w:rPr>
              <w:t xml:space="preserve">End Use </w:t>
            </w:r>
            <w:r w:rsidRPr="004C156D">
              <w:rPr>
                <w:b/>
                <w:bCs/>
                <w:strike/>
              </w:rPr>
              <w:br/>
              <w:t>Component</w:t>
            </w:r>
          </w:p>
        </w:tc>
        <w:tc>
          <w:tcPr>
            <w:tcW w:w="2867" w:type="dxa"/>
            <w:gridSpan w:val="3"/>
            <w:noWrap/>
          </w:tcPr>
          <w:p w14:paraId="7DD7912E" w14:textId="4B54CC8F" w:rsidR="008F1DC1" w:rsidRPr="004C156D" w:rsidRDefault="008F1DC1" w:rsidP="00B82EFA">
            <w:pPr>
              <w:jc w:val="center"/>
              <w:rPr>
                <w:b/>
                <w:bCs/>
                <w:strike/>
              </w:rPr>
            </w:pPr>
            <w:r w:rsidRPr="004C156D">
              <w:rPr>
                <w:b/>
                <w:bCs/>
                <w:strike/>
              </w:rPr>
              <w:t>Sensible Gains (Btu/day)</w:t>
            </w:r>
          </w:p>
        </w:tc>
        <w:tc>
          <w:tcPr>
            <w:tcW w:w="2610" w:type="dxa"/>
            <w:gridSpan w:val="3"/>
            <w:noWrap/>
          </w:tcPr>
          <w:p w14:paraId="51E9828D" w14:textId="00731868" w:rsidR="008F1DC1" w:rsidRPr="004C156D" w:rsidRDefault="008F1DC1" w:rsidP="00B82EFA">
            <w:pPr>
              <w:jc w:val="center"/>
              <w:rPr>
                <w:b/>
                <w:bCs/>
                <w:strike/>
              </w:rPr>
            </w:pPr>
            <w:r w:rsidRPr="004C156D">
              <w:rPr>
                <w:b/>
                <w:bCs/>
                <w:strike/>
              </w:rPr>
              <w:t>Latent Gains (Btu/day)</w:t>
            </w:r>
          </w:p>
        </w:tc>
      </w:tr>
      <w:tr w:rsidR="004C156D" w:rsidRPr="004C156D" w14:paraId="24129212" w14:textId="6DAA7B1C" w:rsidTr="00581A21">
        <w:trPr>
          <w:trHeight w:val="20"/>
          <w:jc w:val="center"/>
        </w:trPr>
        <w:tc>
          <w:tcPr>
            <w:tcW w:w="3528" w:type="dxa"/>
            <w:vMerge/>
          </w:tcPr>
          <w:p w14:paraId="382AD3C2" w14:textId="5FE1EE53" w:rsidR="008F1DC1" w:rsidRPr="004C156D" w:rsidRDefault="008F1DC1" w:rsidP="00B82EFA">
            <w:pPr>
              <w:rPr>
                <w:b/>
                <w:bCs/>
                <w:strike/>
              </w:rPr>
            </w:pPr>
          </w:p>
        </w:tc>
        <w:tc>
          <w:tcPr>
            <w:tcW w:w="899" w:type="dxa"/>
            <w:noWrap/>
          </w:tcPr>
          <w:p w14:paraId="5E0A7F62" w14:textId="5CE792B5" w:rsidR="008F1DC1" w:rsidRPr="004C156D" w:rsidRDefault="008F1DC1" w:rsidP="00B82EFA">
            <w:pPr>
              <w:jc w:val="right"/>
              <w:rPr>
                <w:b/>
                <w:bCs/>
                <w:strike/>
              </w:rPr>
            </w:pPr>
            <w:r w:rsidRPr="004C156D">
              <w:rPr>
                <w:b/>
                <w:bCs/>
                <w:strike/>
              </w:rPr>
              <w:t>a</w:t>
            </w:r>
          </w:p>
        </w:tc>
        <w:tc>
          <w:tcPr>
            <w:tcW w:w="756" w:type="dxa"/>
            <w:noWrap/>
          </w:tcPr>
          <w:p w14:paraId="53C5BE7F" w14:textId="43147806" w:rsidR="008F1DC1" w:rsidRPr="004C156D" w:rsidRDefault="008F1DC1" w:rsidP="00B82EFA">
            <w:pPr>
              <w:jc w:val="right"/>
              <w:rPr>
                <w:b/>
                <w:bCs/>
                <w:strike/>
              </w:rPr>
            </w:pPr>
            <w:r w:rsidRPr="004C156D">
              <w:rPr>
                <w:b/>
                <w:bCs/>
                <w:strike/>
              </w:rPr>
              <w:t>b</w:t>
            </w:r>
          </w:p>
        </w:tc>
        <w:tc>
          <w:tcPr>
            <w:tcW w:w="1212" w:type="dxa"/>
            <w:noWrap/>
          </w:tcPr>
          <w:p w14:paraId="6429FD8E" w14:textId="46CF652A" w:rsidR="008F1DC1" w:rsidRPr="004C156D" w:rsidRDefault="008F1DC1" w:rsidP="00B82EFA">
            <w:pPr>
              <w:jc w:val="right"/>
              <w:rPr>
                <w:b/>
                <w:bCs/>
                <w:strike/>
              </w:rPr>
            </w:pPr>
            <w:r w:rsidRPr="004C156D">
              <w:rPr>
                <w:b/>
                <w:bCs/>
                <w:strike/>
              </w:rPr>
              <w:t>c</w:t>
            </w:r>
          </w:p>
        </w:tc>
        <w:tc>
          <w:tcPr>
            <w:tcW w:w="876" w:type="dxa"/>
            <w:noWrap/>
          </w:tcPr>
          <w:p w14:paraId="39F10E3F" w14:textId="59C7E74F" w:rsidR="008F1DC1" w:rsidRPr="004C156D" w:rsidRDefault="008F1DC1" w:rsidP="00B82EFA">
            <w:pPr>
              <w:jc w:val="right"/>
              <w:rPr>
                <w:b/>
                <w:bCs/>
                <w:strike/>
              </w:rPr>
            </w:pPr>
            <w:r w:rsidRPr="004C156D">
              <w:rPr>
                <w:b/>
                <w:bCs/>
                <w:strike/>
              </w:rPr>
              <w:t>a</w:t>
            </w:r>
          </w:p>
        </w:tc>
        <w:tc>
          <w:tcPr>
            <w:tcW w:w="744" w:type="dxa"/>
            <w:noWrap/>
          </w:tcPr>
          <w:p w14:paraId="6FBC62AC" w14:textId="09F52C18" w:rsidR="008F1DC1" w:rsidRPr="004C156D" w:rsidRDefault="008F1DC1" w:rsidP="00B82EFA">
            <w:pPr>
              <w:jc w:val="right"/>
              <w:rPr>
                <w:b/>
                <w:bCs/>
                <w:strike/>
              </w:rPr>
            </w:pPr>
            <w:r w:rsidRPr="004C156D">
              <w:rPr>
                <w:b/>
                <w:bCs/>
                <w:strike/>
              </w:rPr>
              <w:t>b</w:t>
            </w:r>
          </w:p>
        </w:tc>
        <w:tc>
          <w:tcPr>
            <w:tcW w:w="990" w:type="dxa"/>
            <w:noWrap/>
          </w:tcPr>
          <w:p w14:paraId="29224DE2" w14:textId="00B9A98F" w:rsidR="008F1DC1" w:rsidRPr="004C156D" w:rsidRDefault="008F1DC1" w:rsidP="00B82EFA">
            <w:pPr>
              <w:jc w:val="right"/>
              <w:rPr>
                <w:b/>
                <w:bCs/>
                <w:strike/>
              </w:rPr>
            </w:pPr>
            <w:r w:rsidRPr="004C156D">
              <w:rPr>
                <w:b/>
                <w:bCs/>
                <w:strike/>
              </w:rPr>
              <w:t>c</w:t>
            </w:r>
          </w:p>
        </w:tc>
      </w:tr>
      <w:tr w:rsidR="004C156D" w:rsidRPr="004C156D" w14:paraId="28C4D232" w14:textId="34827641" w:rsidTr="00581A21">
        <w:trPr>
          <w:trHeight w:val="20"/>
          <w:jc w:val="center"/>
        </w:trPr>
        <w:tc>
          <w:tcPr>
            <w:tcW w:w="3528" w:type="dxa"/>
            <w:noWrap/>
          </w:tcPr>
          <w:p w14:paraId="777A9480" w14:textId="36C12795" w:rsidR="008F1DC1" w:rsidRPr="004C156D" w:rsidRDefault="008F1DC1" w:rsidP="00B82EFA">
            <w:pPr>
              <w:rPr>
                <w:strike/>
              </w:rPr>
            </w:pPr>
            <w:r w:rsidRPr="004C156D">
              <w:rPr>
                <w:strike/>
              </w:rPr>
              <w:t>Residual MELs</w:t>
            </w:r>
          </w:p>
        </w:tc>
        <w:tc>
          <w:tcPr>
            <w:tcW w:w="899" w:type="dxa"/>
            <w:noWrap/>
          </w:tcPr>
          <w:p w14:paraId="349FFC25" w14:textId="2B184111" w:rsidR="008F1DC1" w:rsidRPr="004C156D" w:rsidRDefault="008F1DC1" w:rsidP="00B82EFA">
            <w:pPr>
              <w:jc w:val="right"/>
              <w:rPr>
                <w:strike/>
              </w:rPr>
            </w:pPr>
          </w:p>
        </w:tc>
        <w:tc>
          <w:tcPr>
            <w:tcW w:w="756" w:type="dxa"/>
            <w:noWrap/>
          </w:tcPr>
          <w:p w14:paraId="7898E4D7" w14:textId="74EB8C78" w:rsidR="008F1DC1" w:rsidRPr="004C156D" w:rsidRDefault="008F1DC1" w:rsidP="00B82EFA">
            <w:pPr>
              <w:jc w:val="right"/>
              <w:rPr>
                <w:strike/>
              </w:rPr>
            </w:pPr>
            <w:r w:rsidRPr="004C156D">
              <w:rPr>
                <w:strike/>
              </w:rPr>
              <w:t>7.27</w:t>
            </w:r>
          </w:p>
        </w:tc>
        <w:tc>
          <w:tcPr>
            <w:tcW w:w="1212" w:type="dxa"/>
            <w:noWrap/>
          </w:tcPr>
          <w:p w14:paraId="1C8FFE4C" w14:textId="0B78C7C4" w:rsidR="008F1DC1" w:rsidRPr="004C156D" w:rsidRDefault="008F1DC1" w:rsidP="00B82EFA">
            <w:pPr>
              <w:jc w:val="right"/>
              <w:rPr>
                <w:strike/>
              </w:rPr>
            </w:pPr>
          </w:p>
        </w:tc>
        <w:tc>
          <w:tcPr>
            <w:tcW w:w="876" w:type="dxa"/>
            <w:noWrap/>
          </w:tcPr>
          <w:p w14:paraId="5B1B7C8E" w14:textId="33945A88" w:rsidR="008F1DC1" w:rsidRPr="004C156D" w:rsidRDefault="008F1DC1" w:rsidP="00B82EFA">
            <w:pPr>
              <w:jc w:val="right"/>
              <w:rPr>
                <w:strike/>
              </w:rPr>
            </w:pPr>
          </w:p>
        </w:tc>
        <w:tc>
          <w:tcPr>
            <w:tcW w:w="744" w:type="dxa"/>
            <w:noWrap/>
          </w:tcPr>
          <w:p w14:paraId="48863059" w14:textId="11C03116" w:rsidR="008F1DC1" w:rsidRPr="004C156D" w:rsidRDefault="008F1DC1" w:rsidP="00B82EFA">
            <w:pPr>
              <w:jc w:val="right"/>
              <w:rPr>
                <w:strike/>
              </w:rPr>
            </w:pPr>
            <w:r w:rsidRPr="004C156D">
              <w:rPr>
                <w:strike/>
              </w:rPr>
              <w:t>0.38</w:t>
            </w:r>
          </w:p>
        </w:tc>
        <w:tc>
          <w:tcPr>
            <w:tcW w:w="990" w:type="dxa"/>
            <w:noWrap/>
          </w:tcPr>
          <w:p w14:paraId="5EF99B39" w14:textId="1527D77C" w:rsidR="008F1DC1" w:rsidRPr="004C156D" w:rsidRDefault="008F1DC1" w:rsidP="00B82EFA">
            <w:pPr>
              <w:jc w:val="right"/>
              <w:rPr>
                <w:strike/>
              </w:rPr>
            </w:pPr>
          </w:p>
        </w:tc>
      </w:tr>
      <w:tr w:rsidR="004C156D" w:rsidRPr="004C156D" w14:paraId="5BF5CA27" w14:textId="59E8BB55" w:rsidTr="00581A21">
        <w:trPr>
          <w:trHeight w:val="20"/>
          <w:jc w:val="center"/>
        </w:trPr>
        <w:tc>
          <w:tcPr>
            <w:tcW w:w="3528" w:type="dxa"/>
            <w:noWrap/>
          </w:tcPr>
          <w:p w14:paraId="21C07EA4" w14:textId="636C07C0" w:rsidR="008F1DC1" w:rsidRPr="004C156D" w:rsidRDefault="008F1DC1" w:rsidP="00B82EFA">
            <w:pPr>
              <w:rPr>
                <w:strike/>
              </w:rPr>
            </w:pPr>
            <w:r w:rsidRPr="004C156D">
              <w:rPr>
                <w:strike/>
              </w:rPr>
              <w:t xml:space="preserve">Interior lighting </w:t>
            </w:r>
          </w:p>
        </w:tc>
        <w:tc>
          <w:tcPr>
            <w:tcW w:w="899" w:type="dxa"/>
            <w:noWrap/>
          </w:tcPr>
          <w:p w14:paraId="70C70F13" w14:textId="31A4CB59" w:rsidR="008F1DC1" w:rsidRPr="004C156D" w:rsidRDefault="008F1DC1" w:rsidP="00B82EFA">
            <w:pPr>
              <w:jc w:val="right"/>
              <w:rPr>
                <w:strike/>
              </w:rPr>
            </w:pPr>
            <w:r w:rsidRPr="004C156D">
              <w:rPr>
                <w:strike/>
              </w:rPr>
              <w:t>4,253</w:t>
            </w:r>
          </w:p>
        </w:tc>
        <w:tc>
          <w:tcPr>
            <w:tcW w:w="756" w:type="dxa"/>
            <w:noWrap/>
          </w:tcPr>
          <w:p w14:paraId="1F9A4045" w14:textId="6C4D46F2" w:rsidR="008F1DC1" w:rsidRPr="004C156D" w:rsidRDefault="008F1DC1" w:rsidP="00B82EFA">
            <w:pPr>
              <w:jc w:val="right"/>
              <w:rPr>
                <w:strike/>
              </w:rPr>
            </w:pPr>
            <w:r w:rsidRPr="004C156D">
              <w:rPr>
                <w:strike/>
              </w:rPr>
              <w:t>7.48</w:t>
            </w:r>
          </w:p>
        </w:tc>
        <w:tc>
          <w:tcPr>
            <w:tcW w:w="1212" w:type="dxa"/>
            <w:noWrap/>
          </w:tcPr>
          <w:p w14:paraId="7BA04DFC" w14:textId="6BA7902C" w:rsidR="008F1DC1" w:rsidRPr="004C156D" w:rsidRDefault="008F1DC1" w:rsidP="00B82EFA">
            <w:pPr>
              <w:jc w:val="right"/>
              <w:rPr>
                <w:strike/>
              </w:rPr>
            </w:pPr>
          </w:p>
        </w:tc>
        <w:tc>
          <w:tcPr>
            <w:tcW w:w="876" w:type="dxa"/>
            <w:noWrap/>
          </w:tcPr>
          <w:p w14:paraId="4FDCC238" w14:textId="1652D54F" w:rsidR="008F1DC1" w:rsidRPr="004C156D" w:rsidRDefault="008F1DC1" w:rsidP="00B82EFA">
            <w:pPr>
              <w:jc w:val="right"/>
              <w:rPr>
                <w:strike/>
              </w:rPr>
            </w:pPr>
          </w:p>
        </w:tc>
        <w:tc>
          <w:tcPr>
            <w:tcW w:w="744" w:type="dxa"/>
            <w:noWrap/>
          </w:tcPr>
          <w:p w14:paraId="6313B9FB" w14:textId="02CDEBC7" w:rsidR="008F1DC1" w:rsidRPr="004C156D" w:rsidRDefault="008F1DC1" w:rsidP="00B82EFA">
            <w:pPr>
              <w:jc w:val="right"/>
              <w:rPr>
                <w:strike/>
              </w:rPr>
            </w:pPr>
          </w:p>
        </w:tc>
        <w:tc>
          <w:tcPr>
            <w:tcW w:w="990" w:type="dxa"/>
            <w:noWrap/>
          </w:tcPr>
          <w:p w14:paraId="06D2B1A5" w14:textId="30DAEDFC" w:rsidR="008F1DC1" w:rsidRPr="004C156D" w:rsidRDefault="008F1DC1" w:rsidP="00B82EFA">
            <w:pPr>
              <w:jc w:val="right"/>
              <w:rPr>
                <w:strike/>
              </w:rPr>
            </w:pPr>
          </w:p>
        </w:tc>
      </w:tr>
      <w:tr w:rsidR="004C156D" w:rsidRPr="004C156D" w14:paraId="2845AE93" w14:textId="451F4BDC" w:rsidTr="00581A21">
        <w:trPr>
          <w:trHeight w:val="323"/>
          <w:jc w:val="center"/>
        </w:trPr>
        <w:tc>
          <w:tcPr>
            <w:tcW w:w="3528" w:type="dxa"/>
            <w:noWrap/>
          </w:tcPr>
          <w:p w14:paraId="7F591162" w14:textId="75ECCD59" w:rsidR="008F1DC1" w:rsidRPr="004C156D" w:rsidRDefault="008F1DC1" w:rsidP="00B82EFA">
            <w:pPr>
              <w:rPr>
                <w:strike/>
              </w:rPr>
            </w:pPr>
            <w:r w:rsidRPr="004C156D">
              <w:rPr>
                <w:strike/>
              </w:rPr>
              <w:t xml:space="preserve">Refrigerator </w:t>
            </w:r>
            <w:r w:rsidRPr="004C156D">
              <w:rPr>
                <w:strike/>
                <w:vertAlign w:val="superscript"/>
              </w:rPr>
              <w:t>(d)</w:t>
            </w:r>
          </w:p>
        </w:tc>
        <w:tc>
          <w:tcPr>
            <w:tcW w:w="899" w:type="dxa"/>
            <w:noWrap/>
          </w:tcPr>
          <w:p w14:paraId="16FCC6ED" w14:textId="374708C4" w:rsidR="008F1DC1" w:rsidRPr="004C156D" w:rsidRDefault="008F1DC1" w:rsidP="00B82EFA">
            <w:pPr>
              <w:jc w:val="right"/>
              <w:rPr>
                <w:strike/>
              </w:rPr>
            </w:pPr>
            <w:r w:rsidRPr="004C156D">
              <w:rPr>
                <w:strike/>
              </w:rPr>
              <w:t>5,955</w:t>
            </w:r>
          </w:p>
        </w:tc>
        <w:tc>
          <w:tcPr>
            <w:tcW w:w="756" w:type="dxa"/>
            <w:noWrap/>
          </w:tcPr>
          <w:p w14:paraId="7A684258" w14:textId="3B280E63" w:rsidR="008F1DC1" w:rsidRPr="004C156D" w:rsidRDefault="008F1DC1" w:rsidP="00B82EFA">
            <w:pPr>
              <w:jc w:val="right"/>
              <w:rPr>
                <w:strike/>
              </w:rPr>
            </w:pPr>
          </w:p>
        </w:tc>
        <w:tc>
          <w:tcPr>
            <w:tcW w:w="1212" w:type="dxa"/>
            <w:noWrap/>
          </w:tcPr>
          <w:p w14:paraId="0CC6186B" w14:textId="04739EBD" w:rsidR="008F1DC1" w:rsidRPr="004C156D" w:rsidRDefault="008F1DC1" w:rsidP="00B82EFA">
            <w:pPr>
              <w:jc w:val="right"/>
              <w:rPr>
                <w:strike/>
              </w:rPr>
            </w:pPr>
            <w:r w:rsidRPr="004C156D">
              <w:rPr>
                <w:strike/>
              </w:rPr>
              <w:t>168</w:t>
            </w:r>
          </w:p>
        </w:tc>
        <w:tc>
          <w:tcPr>
            <w:tcW w:w="876" w:type="dxa"/>
            <w:noWrap/>
          </w:tcPr>
          <w:p w14:paraId="26A36A75" w14:textId="629D7653" w:rsidR="008F1DC1" w:rsidRPr="004C156D" w:rsidRDefault="008F1DC1" w:rsidP="00B82EFA">
            <w:pPr>
              <w:jc w:val="right"/>
              <w:rPr>
                <w:strike/>
              </w:rPr>
            </w:pPr>
          </w:p>
        </w:tc>
        <w:tc>
          <w:tcPr>
            <w:tcW w:w="744" w:type="dxa"/>
            <w:noWrap/>
          </w:tcPr>
          <w:p w14:paraId="6637DD13" w14:textId="4DD13ACC" w:rsidR="008F1DC1" w:rsidRPr="004C156D" w:rsidRDefault="008F1DC1" w:rsidP="00B82EFA">
            <w:pPr>
              <w:jc w:val="right"/>
              <w:rPr>
                <w:strike/>
              </w:rPr>
            </w:pPr>
          </w:p>
        </w:tc>
        <w:tc>
          <w:tcPr>
            <w:tcW w:w="990" w:type="dxa"/>
            <w:noWrap/>
          </w:tcPr>
          <w:p w14:paraId="08290230" w14:textId="6EC98C7B" w:rsidR="008F1DC1" w:rsidRPr="004C156D" w:rsidRDefault="008F1DC1" w:rsidP="00B82EFA">
            <w:pPr>
              <w:jc w:val="right"/>
              <w:rPr>
                <w:strike/>
              </w:rPr>
            </w:pPr>
          </w:p>
        </w:tc>
      </w:tr>
      <w:tr w:rsidR="004C156D" w:rsidRPr="004C156D" w14:paraId="791AC155" w14:textId="15F7B049" w:rsidTr="00581A21">
        <w:trPr>
          <w:trHeight w:val="20"/>
          <w:jc w:val="center"/>
        </w:trPr>
        <w:tc>
          <w:tcPr>
            <w:tcW w:w="3528" w:type="dxa"/>
            <w:noWrap/>
          </w:tcPr>
          <w:p w14:paraId="14470DA7" w14:textId="1DA050AF" w:rsidR="008F1DC1" w:rsidRPr="004C156D" w:rsidRDefault="008F1DC1" w:rsidP="00B82EFA">
            <w:pPr>
              <w:rPr>
                <w:strike/>
              </w:rPr>
            </w:pPr>
            <w:r w:rsidRPr="004C156D">
              <w:rPr>
                <w:strike/>
              </w:rPr>
              <w:t>TVs</w:t>
            </w:r>
          </w:p>
        </w:tc>
        <w:tc>
          <w:tcPr>
            <w:tcW w:w="899" w:type="dxa"/>
            <w:noWrap/>
          </w:tcPr>
          <w:p w14:paraId="04E387C1" w14:textId="120CB6D2" w:rsidR="008F1DC1" w:rsidRPr="004C156D" w:rsidRDefault="008F1DC1" w:rsidP="00B82EFA">
            <w:pPr>
              <w:jc w:val="right"/>
              <w:rPr>
                <w:strike/>
              </w:rPr>
            </w:pPr>
            <w:r w:rsidRPr="004C156D">
              <w:rPr>
                <w:strike/>
              </w:rPr>
              <w:t>3,861</w:t>
            </w:r>
          </w:p>
        </w:tc>
        <w:tc>
          <w:tcPr>
            <w:tcW w:w="756" w:type="dxa"/>
            <w:noWrap/>
          </w:tcPr>
          <w:p w14:paraId="27DBA08D" w14:textId="0CCE62F2" w:rsidR="008F1DC1" w:rsidRPr="004C156D" w:rsidRDefault="008F1DC1" w:rsidP="00B82EFA">
            <w:pPr>
              <w:jc w:val="right"/>
              <w:rPr>
                <w:strike/>
              </w:rPr>
            </w:pPr>
          </w:p>
        </w:tc>
        <w:tc>
          <w:tcPr>
            <w:tcW w:w="1212" w:type="dxa"/>
            <w:noWrap/>
          </w:tcPr>
          <w:p w14:paraId="2FAB05DC" w14:textId="49E92707" w:rsidR="008F1DC1" w:rsidRPr="004C156D" w:rsidRDefault="008F1DC1" w:rsidP="00B82EFA">
            <w:pPr>
              <w:jc w:val="right"/>
              <w:rPr>
                <w:strike/>
              </w:rPr>
            </w:pPr>
            <w:r w:rsidRPr="004C156D">
              <w:rPr>
                <w:strike/>
              </w:rPr>
              <w:t>645</w:t>
            </w:r>
          </w:p>
        </w:tc>
        <w:tc>
          <w:tcPr>
            <w:tcW w:w="876" w:type="dxa"/>
            <w:noWrap/>
          </w:tcPr>
          <w:p w14:paraId="4F0C8B15" w14:textId="108B1090" w:rsidR="008F1DC1" w:rsidRPr="004C156D" w:rsidRDefault="008F1DC1" w:rsidP="00B82EFA">
            <w:pPr>
              <w:jc w:val="right"/>
              <w:rPr>
                <w:strike/>
              </w:rPr>
            </w:pPr>
          </w:p>
        </w:tc>
        <w:tc>
          <w:tcPr>
            <w:tcW w:w="744" w:type="dxa"/>
            <w:noWrap/>
          </w:tcPr>
          <w:p w14:paraId="2F408D61" w14:textId="42070FB2" w:rsidR="008F1DC1" w:rsidRPr="004C156D" w:rsidRDefault="008F1DC1" w:rsidP="00B82EFA">
            <w:pPr>
              <w:jc w:val="right"/>
              <w:rPr>
                <w:strike/>
              </w:rPr>
            </w:pPr>
          </w:p>
        </w:tc>
        <w:tc>
          <w:tcPr>
            <w:tcW w:w="990" w:type="dxa"/>
            <w:noWrap/>
          </w:tcPr>
          <w:p w14:paraId="5A7C9987" w14:textId="23F20006" w:rsidR="008F1DC1" w:rsidRPr="004C156D" w:rsidRDefault="008F1DC1" w:rsidP="00B82EFA">
            <w:pPr>
              <w:jc w:val="right"/>
              <w:rPr>
                <w:strike/>
              </w:rPr>
            </w:pPr>
          </w:p>
        </w:tc>
      </w:tr>
      <w:tr w:rsidR="004C156D" w:rsidRPr="004C156D" w14:paraId="4964E24D" w14:textId="657AF469" w:rsidTr="00581A21">
        <w:trPr>
          <w:trHeight w:val="20"/>
          <w:jc w:val="center"/>
        </w:trPr>
        <w:tc>
          <w:tcPr>
            <w:tcW w:w="3528" w:type="dxa"/>
            <w:noWrap/>
          </w:tcPr>
          <w:p w14:paraId="1277CC4C" w14:textId="093F8349" w:rsidR="008F1DC1" w:rsidRPr="004C156D" w:rsidRDefault="008F1DC1" w:rsidP="00B82EFA">
            <w:pPr>
              <w:rPr>
                <w:strike/>
              </w:rPr>
            </w:pPr>
            <w:r w:rsidRPr="004C156D">
              <w:rPr>
                <w:strike/>
              </w:rPr>
              <w:t>Range/Oven (</w:t>
            </w:r>
            <w:proofErr w:type="spellStart"/>
            <w:r w:rsidRPr="004C156D">
              <w:rPr>
                <w:strike/>
              </w:rPr>
              <w:t>elec</w:t>
            </w:r>
            <w:proofErr w:type="spellEnd"/>
            <w:r w:rsidRPr="004C156D">
              <w:rPr>
                <w:strike/>
              </w:rPr>
              <w:t>)</w:t>
            </w:r>
            <w:r w:rsidRPr="004C156D">
              <w:rPr>
                <w:strike/>
                <w:vertAlign w:val="superscript"/>
              </w:rPr>
              <w:t>(b)</w:t>
            </w:r>
            <w:r w:rsidR="00CA19F4" w:rsidRPr="004C156D">
              <w:rPr>
                <w:strike/>
                <w:vertAlign w:val="superscript"/>
              </w:rPr>
              <w:t xml:space="preserve"> </w:t>
            </w:r>
            <w:r w:rsidRPr="004C156D">
              <w:rPr>
                <w:strike/>
                <w:vertAlign w:val="superscript"/>
              </w:rPr>
              <w:t>(d)</w:t>
            </w:r>
          </w:p>
        </w:tc>
        <w:tc>
          <w:tcPr>
            <w:tcW w:w="899" w:type="dxa"/>
            <w:noWrap/>
          </w:tcPr>
          <w:p w14:paraId="18E5412D" w14:textId="58289EF7" w:rsidR="008F1DC1" w:rsidRPr="004C156D" w:rsidRDefault="008F1DC1" w:rsidP="00B82EFA">
            <w:pPr>
              <w:jc w:val="right"/>
              <w:rPr>
                <w:strike/>
              </w:rPr>
            </w:pPr>
            <w:r w:rsidRPr="004C156D">
              <w:rPr>
                <w:strike/>
              </w:rPr>
              <w:t>2,228</w:t>
            </w:r>
          </w:p>
        </w:tc>
        <w:tc>
          <w:tcPr>
            <w:tcW w:w="756" w:type="dxa"/>
            <w:noWrap/>
          </w:tcPr>
          <w:p w14:paraId="2E020C5A" w14:textId="29673E07" w:rsidR="008F1DC1" w:rsidRPr="004C156D" w:rsidRDefault="008F1DC1" w:rsidP="00B82EFA">
            <w:pPr>
              <w:jc w:val="right"/>
              <w:rPr>
                <w:strike/>
              </w:rPr>
            </w:pPr>
          </w:p>
        </w:tc>
        <w:tc>
          <w:tcPr>
            <w:tcW w:w="1212" w:type="dxa"/>
            <w:noWrap/>
          </w:tcPr>
          <w:p w14:paraId="1FA0AA98" w14:textId="785EC898" w:rsidR="008F1DC1" w:rsidRPr="004C156D" w:rsidRDefault="008F1DC1" w:rsidP="00B82EFA">
            <w:pPr>
              <w:jc w:val="right"/>
              <w:rPr>
                <w:strike/>
              </w:rPr>
            </w:pPr>
            <w:r w:rsidRPr="004C156D">
              <w:rPr>
                <w:strike/>
              </w:rPr>
              <w:t>262</w:t>
            </w:r>
          </w:p>
        </w:tc>
        <w:tc>
          <w:tcPr>
            <w:tcW w:w="876" w:type="dxa"/>
            <w:noWrap/>
          </w:tcPr>
          <w:p w14:paraId="71BD5126" w14:textId="7A96D588" w:rsidR="008F1DC1" w:rsidRPr="004C156D" w:rsidRDefault="008F1DC1" w:rsidP="00B82EFA">
            <w:pPr>
              <w:jc w:val="right"/>
              <w:rPr>
                <w:strike/>
              </w:rPr>
            </w:pPr>
            <w:r w:rsidRPr="004C156D">
              <w:rPr>
                <w:strike/>
              </w:rPr>
              <w:t>248</w:t>
            </w:r>
          </w:p>
        </w:tc>
        <w:tc>
          <w:tcPr>
            <w:tcW w:w="744" w:type="dxa"/>
            <w:noWrap/>
          </w:tcPr>
          <w:p w14:paraId="06DF0709" w14:textId="078AADDB" w:rsidR="008F1DC1" w:rsidRPr="004C156D" w:rsidRDefault="008F1DC1" w:rsidP="00B82EFA">
            <w:pPr>
              <w:jc w:val="right"/>
              <w:rPr>
                <w:strike/>
              </w:rPr>
            </w:pPr>
          </w:p>
        </w:tc>
        <w:tc>
          <w:tcPr>
            <w:tcW w:w="990" w:type="dxa"/>
            <w:noWrap/>
          </w:tcPr>
          <w:p w14:paraId="351D8ADC" w14:textId="1FADB163" w:rsidR="008F1DC1" w:rsidRPr="004C156D" w:rsidRDefault="008F1DC1" w:rsidP="00B82EFA">
            <w:pPr>
              <w:jc w:val="right"/>
              <w:rPr>
                <w:strike/>
              </w:rPr>
            </w:pPr>
            <w:r w:rsidRPr="004C156D">
              <w:rPr>
                <w:strike/>
              </w:rPr>
              <w:t>29</w:t>
            </w:r>
          </w:p>
        </w:tc>
      </w:tr>
      <w:tr w:rsidR="004C156D" w:rsidRPr="004C156D" w14:paraId="7372732A" w14:textId="11A84D74" w:rsidTr="00581A21">
        <w:trPr>
          <w:trHeight w:val="20"/>
          <w:jc w:val="center"/>
        </w:trPr>
        <w:tc>
          <w:tcPr>
            <w:tcW w:w="3528" w:type="dxa"/>
            <w:noWrap/>
          </w:tcPr>
          <w:p w14:paraId="3E4A8FA5" w14:textId="7B7C04E9" w:rsidR="008F1DC1" w:rsidRPr="004C156D" w:rsidRDefault="008F1DC1" w:rsidP="00B82EFA">
            <w:pPr>
              <w:rPr>
                <w:strike/>
                <w:vertAlign w:val="superscript"/>
              </w:rPr>
            </w:pPr>
            <w:r w:rsidRPr="004C156D">
              <w:rPr>
                <w:strike/>
              </w:rPr>
              <w:t>Range/Oven (gas)</w:t>
            </w:r>
            <w:r w:rsidRPr="004C156D">
              <w:rPr>
                <w:strike/>
                <w:vertAlign w:val="superscript"/>
              </w:rPr>
              <w:t>(b) (d)</w:t>
            </w:r>
          </w:p>
        </w:tc>
        <w:tc>
          <w:tcPr>
            <w:tcW w:w="899" w:type="dxa"/>
            <w:noWrap/>
          </w:tcPr>
          <w:p w14:paraId="4D758774" w14:textId="17260246" w:rsidR="008F1DC1" w:rsidRPr="004C156D" w:rsidRDefault="008F1DC1" w:rsidP="00B82EFA">
            <w:pPr>
              <w:jc w:val="right"/>
              <w:rPr>
                <w:strike/>
              </w:rPr>
            </w:pPr>
            <w:r w:rsidRPr="004C156D">
              <w:rPr>
                <w:strike/>
              </w:rPr>
              <w:t>4,086</w:t>
            </w:r>
          </w:p>
        </w:tc>
        <w:tc>
          <w:tcPr>
            <w:tcW w:w="756" w:type="dxa"/>
            <w:noWrap/>
          </w:tcPr>
          <w:p w14:paraId="30DA572A" w14:textId="2831E6F0" w:rsidR="008F1DC1" w:rsidRPr="004C156D" w:rsidRDefault="008F1DC1" w:rsidP="00B82EFA">
            <w:pPr>
              <w:jc w:val="right"/>
              <w:rPr>
                <w:strike/>
              </w:rPr>
            </w:pPr>
          </w:p>
        </w:tc>
        <w:tc>
          <w:tcPr>
            <w:tcW w:w="1212" w:type="dxa"/>
            <w:noWrap/>
          </w:tcPr>
          <w:p w14:paraId="434EC0EC" w14:textId="35F758D3" w:rsidR="008F1DC1" w:rsidRPr="004C156D" w:rsidRDefault="008F1DC1" w:rsidP="00B82EFA">
            <w:pPr>
              <w:jc w:val="right"/>
              <w:rPr>
                <w:strike/>
              </w:rPr>
            </w:pPr>
            <w:r w:rsidRPr="004C156D">
              <w:rPr>
                <w:strike/>
              </w:rPr>
              <w:t>488</w:t>
            </w:r>
          </w:p>
        </w:tc>
        <w:tc>
          <w:tcPr>
            <w:tcW w:w="876" w:type="dxa"/>
            <w:noWrap/>
          </w:tcPr>
          <w:p w14:paraId="3F4BEF55" w14:textId="384BD78C" w:rsidR="008F1DC1" w:rsidRPr="004C156D" w:rsidRDefault="008F1DC1" w:rsidP="00B82EFA">
            <w:pPr>
              <w:jc w:val="right"/>
              <w:rPr>
                <w:strike/>
              </w:rPr>
            </w:pPr>
            <w:r w:rsidRPr="004C156D">
              <w:rPr>
                <w:strike/>
              </w:rPr>
              <w:t>1,037</w:t>
            </w:r>
          </w:p>
        </w:tc>
        <w:tc>
          <w:tcPr>
            <w:tcW w:w="744" w:type="dxa"/>
            <w:noWrap/>
          </w:tcPr>
          <w:p w14:paraId="5F29624C" w14:textId="5098F3E5" w:rsidR="008F1DC1" w:rsidRPr="004C156D" w:rsidRDefault="008F1DC1" w:rsidP="00B82EFA">
            <w:pPr>
              <w:jc w:val="right"/>
              <w:rPr>
                <w:strike/>
              </w:rPr>
            </w:pPr>
          </w:p>
        </w:tc>
        <w:tc>
          <w:tcPr>
            <w:tcW w:w="990" w:type="dxa"/>
            <w:noWrap/>
          </w:tcPr>
          <w:p w14:paraId="51ACF651" w14:textId="7BD4114A" w:rsidR="008F1DC1" w:rsidRPr="004C156D" w:rsidRDefault="008F1DC1" w:rsidP="00B82EFA">
            <w:pPr>
              <w:jc w:val="right"/>
              <w:rPr>
                <w:strike/>
              </w:rPr>
            </w:pPr>
            <w:r w:rsidRPr="004C156D">
              <w:rPr>
                <w:strike/>
              </w:rPr>
              <w:t>124</w:t>
            </w:r>
          </w:p>
        </w:tc>
      </w:tr>
      <w:tr w:rsidR="004C156D" w:rsidRPr="004C156D" w14:paraId="45055DF2" w14:textId="0A0AB30A" w:rsidTr="00581A21">
        <w:trPr>
          <w:trHeight w:val="20"/>
          <w:jc w:val="center"/>
        </w:trPr>
        <w:tc>
          <w:tcPr>
            <w:tcW w:w="3528" w:type="dxa"/>
            <w:noWrap/>
          </w:tcPr>
          <w:p w14:paraId="08B90820" w14:textId="00BEF830" w:rsidR="008F1DC1" w:rsidRPr="004C156D" w:rsidRDefault="008F1DC1" w:rsidP="00B82EFA">
            <w:pPr>
              <w:rPr>
                <w:strike/>
                <w:vertAlign w:val="superscript"/>
              </w:rPr>
            </w:pPr>
            <w:r w:rsidRPr="004C156D">
              <w:rPr>
                <w:strike/>
              </w:rPr>
              <w:t>Clothes Dryer (</w:t>
            </w:r>
            <w:proofErr w:type="spellStart"/>
            <w:r w:rsidRPr="004C156D">
              <w:rPr>
                <w:strike/>
              </w:rPr>
              <w:t>elec</w:t>
            </w:r>
            <w:proofErr w:type="spellEnd"/>
            <w:r w:rsidRPr="004C156D">
              <w:rPr>
                <w:strike/>
              </w:rPr>
              <w:t>)</w:t>
            </w:r>
            <w:r w:rsidRPr="004C156D">
              <w:rPr>
                <w:strike/>
                <w:vertAlign w:val="superscript"/>
              </w:rPr>
              <w:t>(b) (d)</w:t>
            </w:r>
          </w:p>
        </w:tc>
        <w:tc>
          <w:tcPr>
            <w:tcW w:w="899" w:type="dxa"/>
            <w:noWrap/>
          </w:tcPr>
          <w:p w14:paraId="3D795C76" w14:textId="7EE31ED8" w:rsidR="008F1DC1" w:rsidRPr="004C156D" w:rsidRDefault="00CC3F86" w:rsidP="00CC3F86">
            <w:pPr>
              <w:ind w:left="-120"/>
              <w:jc w:val="right"/>
              <w:rPr>
                <w:strike/>
              </w:rPr>
            </w:pPr>
            <w:r w:rsidRPr="004C156D">
              <w:rPr>
                <w:strike/>
              </w:rPr>
              <w:t>502</w:t>
            </w:r>
          </w:p>
        </w:tc>
        <w:tc>
          <w:tcPr>
            <w:tcW w:w="756" w:type="dxa"/>
            <w:noWrap/>
          </w:tcPr>
          <w:p w14:paraId="73DCF47B" w14:textId="6A2339BB" w:rsidR="008F1DC1" w:rsidRPr="004C156D" w:rsidRDefault="008F1DC1" w:rsidP="00B82EFA">
            <w:pPr>
              <w:jc w:val="right"/>
              <w:rPr>
                <w:strike/>
              </w:rPr>
            </w:pPr>
          </w:p>
        </w:tc>
        <w:tc>
          <w:tcPr>
            <w:tcW w:w="1212" w:type="dxa"/>
            <w:noWrap/>
          </w:tcPr>
          <w:p w14:paraId="7E9BF5CF" w14:textId="6966EFC1" w:rsidR="008F1DC1" w:rsidRPr="004C156D" w:rsidRDefault="00CC3F86" w:rsidP="00B82EFA">
            <w:pPr>
              <w:jc w:val="right"/>
              <w:rPr>
                <w:strike/>
              </w:rPr>
            </w:pPr>
            <w:r w:rsidRPr="004C156D">
              <w:rPr>
                <w:strike/>
              </w:rPr>
              <w:t>143</w:t>
            </w:r>
          </w:p>
        </w:tc>
        <w:tc>
          <w:tcPr>
            <w:tcW w:w="876" w:type="dxa"/>
            <w:noWrap/>
          </w:tcPr>
          <w:p w14:paraId="40321264" w14:textId="3ED20F73" w:rsidR="008F1DC1" w:rsidRPr="004C156D" w:rsidRDefault="00CC3F86" w:rsidP="00B82EFA">
            <w:pPr>
              <w:jc w:val="right"/>
              <w:rPr>
                <w:strike/>
              </w:rPr>
            </w:pPr>
            <w:r w:rsidRPr="004C156D">
              <w:rPr>
                <w:strike/>
              </w:rPr>
              <w:t>56</w:t>
            </w:r>
          </w:p>
        </w:tc>
        <w:tc>
          <w:tcPr>
            <w:tcW w:w="744" w:type="dxa"/>
            <w:noWrap/>
          </w:tcPr>
          <w:p w14:paraId="5BF85A79" w14:textId="1BA78745" w:rsidR="008F1DC1" w:rsidRPr="004C156D" w:rsidRDefault="008F1DC1" w:rsidP="00B82EFA">
            <w:pPr>
              <w:jc w:val="right"/>
              <w:rPr>
                <w:strike/>
              </w:rPr>
            </w:pPr>
          </w:p>
        </w:tc>
        <w:tc>
          <w:tcPr>
            <w:tcW w:w="990" w:type="dxa"/>
            <w:noWrap/>
          </w:tcPr>
          <w:p w14:paraId="61B3AD1F" w14:textId="7F2A04E5" w:rsidR="008F1DC1" w:rsidRPr="004C156D" w:rsidRDefault="00CC3F86" w:rsidP="00B82EFA">
            <w:pPr>
              <w:jc w:val="right"/>
              <w:rPr>
                <w:strike/>
              </w:rPr>
            </w:pPr>
            <w:r w:rsidRPr="004C156D">
              <w:rPr>
                <w:strike/>
              </w:rPr>
              <w:t>16</w:t>
            </w:r>
          </w:p>
        </w:tc>
      </w:tr>
      <w:tr w:rsidR="004C156D" w:rsidRPr="004C156D" w14:paraId="547B63E9" w14:textId="3DE02DF5" w:rsidTr="00581A21">
        <w:trPr>
          <w:trHeight w:val="20"/>
          <w:jc w:val="center"/>
        </w:trPr>
        <w:tc>
          <w:tcPr>
            <w:tcW w:w="3528" w:type="dxa"/>
            <w:noWrap/>
          </w:tcPr>
          <w:p w14:paraId="79F1E507" w14:textId="1566ABA9" w:rsidR="0096431D" w:rsidRPr="004C156D" w:rsidRDefault="0096431D" w:rsidP="0096431D">
            <w:pPr>
              <w:rPr>
                <w:strike/>
                <w:vertAlign w:val="superscript"/>
              </w:rPr>
            </w:pPr>
            <w:r w:rsidRPr="004C156D">
              <w:rPr>
                <w:strike/>
              </w:rPr>
              <w:t>Clothes Dryer (gas)</w:t>
            </w:r>
            <w:r w:rsidRPr="004C156D">
              <w:rPr>
                <w:strike/>
                <w:vertAlign w:val="superscript"/>
              </w:rPr>
              <w:t>(b) (d)</w:t>
            </w:r>
          </w:p>
        </w:tc>
        <w:tc>
          <w:tcPr>
            <w:tcW w:w="899" w:type="dxa"/>
            <w:noWrap/>
          </w:tcPr>
          <w:p w14:paraId="4FEC2EC2" w14:textId="4D1C5DE8" w:rsidR="0096431D" w:rsidRPr="004C156D" w:rsidRDefault="0096431D" w:rsidP="0096431D">
            <w:pPr>
              <w:ind w:left="-120"/>
              <w:jc w:val="right"/>
              <w:rPr>
                <w:strike/>
              </w:rPr>
            </w:pPr>
            <w:r w:rsidRPr="004C156D">
              <w:rPr>
                <w:strike/>
              </w:rPr>
              <w:t>562</w:t>
            </w:r>
          </w:p>
        </w:tc>
        <w:tc>
          <w:tcPr>
            <w:tcW w:w="756" w:type="dxa"/>
            <w:noWrap/>
          </w:tcPr>
          <w:p w14:paraId="32CAB400" w14:textId="544B62A0" w:rsidR="0096431D" w:rsidRPr="004C156D" w:rsidRDefault="0096431D" w:rsidP="0096431D">
            <w:pPr>
              <w:jc w:val="right"/>
              <w:rPr>
                <w:strike/>
              </w:rPr>
            </w:pPr>
          </w:p>
        </w:tc>
        <w:tc>
          <w:tcPr>
            <w:tcW w:w="1212" w:type="dxa"/>
            <w:noWrap/>
          </w:tcPr>
          <w:p w14:paraId="25683094" w14:textId="62CA95C6" w:rsidR="0096431D" w:rsidRPr="004C156D" w:rsidRDefault="0096431D" w:rsidP="0096431D">
            <w:pPr>
              <w:jc w:val="right"/>
              <w:rPr>
                <w:strike/>
              </w:rPr>
            </w:pPr>
            <w:r w:rsidRPr="004C156D">
              <w:rPr>
                <w:strike/>
              </w:rPr>
              <w:t>159</w:t>
            </w:r>
          </w:p>
        </w:tc>
        <w:tc>
          <w:tcPr>
            <w:tcW w:w="876" w:type="dxa"/>
            <w:noWrap/>
          </w:tcPr>
          <w:p w14:paraId="291C69AB" w14:textId="16115DBD" w:rsidR="0096431D" w:rsidRPr="004C156D" w:rsidRDefault="0096431D" w:rsidP="0096431D">
            <w:pPr>
              <w:jc w:val="right"/>
              <w:rPr>
                <w:strike/>
              </w:rPr>
            </w:pPr>
            <w:r w:rsidRPr="004C156D">
              <w:rPr>
                <w:strike/>
              </w:rPr>
              <w:t>69</w:t>
            </w:r>
          </w:p>
        </w:tc>
        <w:tc>
          <w:tcPr>
            <w:tcW w:w="744" w:type="dxa"/>
            <w:noWrap/>
          </w:tcPr>
          <w:p w14:paraId="420E9F09" w14:textId="3345EC36" w:rsidR="0096431D" w:rsidRPr="004C156D" w:rsidRDefault="0096431D" w:rsidP="0096431D">
            <w:pPr>
              <w:jc w:val="right"/>
              <w:rPr>
                <w:strike/>
              </w:rPr>
            </w:pPr>
          </w:p>
        </w:tc>
        <w:tc>
          <w:tcPr>
            <w:tcW w:w="990" w:type="dxa"/>
            <w:noWrap/>
          </w:tcPr>
          <w:p w14:paraId="45F7F4E9" w14:textId="7E6683EE" w:rsidR="0096431D" w:rsidRPr="004C156D" w:rsidRDefault="0096431D" w:rsidP="0096431D">
            <w:pPr>
              <w:jc w:val="right"/>
              <w:rPr>
                <w:strike/>
              </w:rPr>
            </w:pPr>
            <w:r w:rsidRPr="004C156D">
              <w:rPr>
                <w:strike/>
              </w:rPr>
              <w:t>19</w:t>
            </w:r>
          </w:p>
        </w:tc>
      </w:tr>
      <w:tr w:rsidR="004C156D" w:rsidRPr="004C156D" w14:paraId="38C958D1" w14:textId="6AD8DA03" w:rsidTr="00581A21">
        <w:trPr>
          <w:trHeight w:val="20"/>
          <w:jc w:val="center"/>
        </w:trPr>
        <w:tc>
          <w:tcPr>
            <w:tcW w:w="3528" w:type="dxa"/>
            <w:noWrap/>
          </w:tcPr>
          <w:p w14:paraId="1CB4D69C" w14:textId="7292EE97" w:rsidR="0096431D" w:rsidRPr="004C156D" w:rsidRDefault="0096431D" w:rsidP="0096431D">
            <w:pPr>
              <w:rPr>
                <w:strike/>
              </w:rPr>
            </w:pPr>
            <w:r w:rsidRPr="004C156D">
              <w:rPr>
                <w:strike/>
              </w:rPr>
              <w:t xml:space="preserve">Dishwasher </w:t>
            </w:r>
            <w:r w:rsidRPr="004C156D">
              <w:rPr>
                <w:strike/>
                <w:vertAlign w:val="superscript"/>
              </w:rPr>
              <w:t>(d)</w:t>
            </w:r>
          </w:p>
        </w:tc>
        <w:tc>
          <w:tcPr>
            <w:tcW w:w="899" w:type="dxa"/>
            <w:noWrap/>
          </w:tcPr>
          <w:p w14:paraId="6099E6E7" w14:textId="40AEE688" w:rsidR="0096431D" w:rsidRPr="004C156D" w:rsidRDefault="0096431D" w:rsidP="0096431D">
            <w:pPr>
              <w:ind w:left="-120"/>
              <w:jc w:val="right"/>
              <w:rPr>
                <w:strike/>
              </w:rPr>
            </w:pPr>
            <w:r w:rsidRPr="004C156D">
              <w:rPr>
                <w:strike/>
              </w:rPr>
              <w:t>168</w:t>
            </w:r>
          </w:p>
        </w:tc>
        <w:tc>
          <w:tcPr>
            <w:tcW w:w="756" w:type="dxa"/>
            <w:noWrap/>
          </w:tcPr>
          <w:p w14:paraId="0B3C09A8" w14:textId="10CED550" w:rsidR="0096431D" w:rsidRPr="004C156D" w:rsidRDefault="0096431D" w:rsidP="0096431D">
            <w:pPr>
              <w:jc w:val="right"/>
              <w:rPr>
                <w:strike/>
              </w:rPr>
            </w:pPr>
          </w:p>
        </w:tc>
        <w:tc>
          <w:tcPr>
            <w:tcW w:w="1212" w:type="dxa"/>
            <w:noWrap/>
          </w:tcPr>
          <w:p w14:paraId="194B2E6D" w14:textId="6E0DAABC" w:rsidR="0096431D" w:rsidRPr="004C156D" w:rsidRDefault="0096431D" w:rsidP="0096431D">
            <w:pPr>
              <w:jc w:val="right"/>
              <w:rPr>
                <w:strike/>
              </w:rPr>
            </w:pPr>
            <w:r w:rsidRPr="004C156D">
              <w:rPr>
                <w:strike/>
              </w:rPr>
              <w:t>67</w:t>
            </w:r>
          </w:p>
        </w:tc>
        <w:tc>
          <w:tcPr>
            <w:tcW w:w="876" w:type="dxa"/>
            <w:noWrap/>
          </w:tcPr>
          <w:p w14:paraId="7440CE81" w14:textId="66A6669D" w:rsidR="0096431D" w:rsidRPr="004C156D" w:rsidRDefault="0096431D" w:rsidP="0096431D">
            <w:pPr>
              <w:ind w:left="-110"/>
              <w:jc w:val="right"/>
              <w:rPr>
                <w:strike/>
              </w:rPr>
            </w:pPr>
            <w:r w:rsidRPr="004C156D">
              <w:rPr>
                <w:strike/>
              </w:rPr>
              <w:t>168</w:t>
            </w:r>
          </w:p>
        </w:tc>
        <w:tc>
          <w:tcPr>
            <w:tcW w:w="744" w:type="dxa"/>
            <w:noWrap/>
          </w:tcPr>
          <w:p w14:paraId="753F32EE" w14:textId="18BB7C24" w:rsidR="0096431D" w:rsidRPr="004C156D" w:rsidRDefault="0096431D" w:rsidP="0096431D">
            <w:pPr>
              <w:jc w:val="right"/>
              <w:rPr>
                <w:strike/>
              </w:rPr>
            </w:pPr>
          </w:p>
        </w:tc>
        <w:tc>
          <w:tcPr>
            <w:tcW w:w="990" w:type="dxa"/>
            <w:noWrap/>
          </w:tcPr>
          <w:p w14:paraId="1491CF45" w14:textId="79A93165" w:rsidR="0096431D" w:rsidRPr="004C156D" w:rsidRDefault="0096431D" w:rsidP="0096431D">
            <w:pPr>
              <w:jc w:val="right"/>
              <w:rPr>
                <w:strike/>
              </w:rPr>
            </w:pPr>
            <w:r w:rsidRPr="004C156D">
              <w:rPr>
                <w:strike/>
              </w:rPr>
              <w:t>67</w:t>
            </w:r>
          </w:p>
        </w:tc>
      </w:tr>
      <w:tr w:rsidR="004C156D" w:rsidRPr="004C156D" w14:paraId="4EF17F40" w14:textId="31AF7437" w:rsidTr="00581A21">
        <w:trPr>
          <w:trHeight w:val="20"/>
          <w:jc w:val="center"/>
        </w:trPr>
        <w:tc>
          <w:tcPr>
            <w:tcW w:w="3528" w:type="dxa"/>
            <w:noWrap/>
          </w:tcPr>
          <w:p w14:paraId="1F612018" w14:textId="08D1A1A1" w:rsidR="0096431D" w:rsidRPr="004C156D" w:rsidRDefault="0096431D" w:rsidP="0096431D">
            <w:pPr>
              <w:rPr>
                <w:strike/>
              </w:rPr>
            </w:pPr>
            <w:r w:rsidRPr="004C156D">
              <w:rPr>
                <w:strike/>
              </w:rPr>
              <w:t xml:space="preserve">Clothes Washer </w:t>
            </w:r>
            <w:r w:rsidRPr="004C156D">
              <w:rPr>
                <w:strike/>
                <w:vertAlign w:val="superscript"/>
              </w:rPr>
              <w:t>(d)</w:t>
            </w:r>
          </w:p>
        </w:tc>
        <w:tc>
          <w:tcPr>
            <w:tcW w:w="899" w:type="dxa"/>
            <w:noWrap/>
          </w:tcPr>
          <w:p w14:paraId="6C190E36" w14:textId="404D0EE6" w:rsidR="0096431D" w:rsidRPr="004C156D" w:rsidRDefault="0096431D" w:rsidP="0096431D">
            <w:pPr>
              <w:jc w:val="right"/>
              <w:rPr>
                <w:strike/>
              </w:rPr>
            </w:pPr>
            <w:r w:rsidRPr="004C156D">
              <w:rPr>
                <w:strike/>
              </w:rPr>
              <w:t>135</w:t>
            </w:r>
          </w:p>
        </w:tc>
        <w:tc>
          <w:tcPr>
            <w:tcW w:w="756" w:type="dxa"/>
            <w:noWrap/>
          </w:tcPr>
          <w:p w14:paraId="18431120" w14:textId="674172C8" w:rsidR="0096431D" w:rsidRPr="004C156D" w:rsidRDefault="0096431D" w:rsidP="0096431D">
            <w:pPr>
              <w:jc w:val="right"/>
              <w:rPr>
                <w:strike/>
              </w:rPr>
            </w:pPr>
          </w:p>
        </w:tc>
        <w:tc>
          <w:tcPr>
            <w:tcW w:w="1212" w:type="dxa"/>
            <w:noWrap/>
          </w:tcPr>
          <w:p w14:paraId="5FF4B47E" w14:textId="48AE2B8E" w:rsidR="0096431D" w:rsidRPr="004C156D" w:rsidRDefault="0096431D" w:rsidP="0096431D">
            <w:pPr>
              <w:jc w:val="right"/>
              <w:rPr>
                <w:strike/>
              </w:rPr>
            </w:pPr>
            <w:r w:rsidRPr="004C156D">
              <w:rPr>
                <w:strike/>
              </w:rPr>
              <w:t>38</w:t>
            </w:r>
          </w:p>
        </w:tc>
        <w:tc>
          <w:tcPr>
            <w:tcW w:w="876" w:type="dxa"/>
            <w:noWrap/>
          </w:tcPr>
          <w:p w14:paraId="49BD24A2" w14:textId="43F33B3E" w:rsidR="0096431D" w:rsidRPr="004C156D" w:rsidRDefault="0096431D" w:rsidP="0096431D">
            <w:pPr>
              <w:jc w:val="right"/>
              <w:rPr>
                <w:strike/>
              </w:rPr>
            </w:pPr>
            <w:r w:rsidRPr="004C156D">
              <w:rPr>
                <w:strike/>
              </w:rPr>
              <w:t>15</w:t>
            </w:r>
          </w:p>
        </w:tc>
        <w:tc>
          <w:tcPr>
            <w:tcW w:w="744" w:type="dxa"/>
            <w:noWrap/>
          </w:tcPr>
          <w:p w14:paraId="7833330A" w14:textId="65349349" w:rsidR="0096431D" w:rsidRPr="004C156D" w:rsidRDefault="0096431D" w:rsidP="0096431D">
            <w:pPr>
              <w:jc w:val="right"/>
              <w:rPr>
                <w:strike/>
              </w:rPr>
            </w:pPr>
          </w:p>
        </w:tc>
        <w:tc>
          <w:tcPr>
            <w:tcW w:w="990" w:type="dxa"/>
            <w:noWrap/>
          </w:tcPr>
          <w:p w14:paraId="5F39FED1" w14:textId="72048000" w:rsidR="0096431D" w:rsidRPr="004C156D" w:rsidRDefault="0096431D" w:rsidP="0096431D">
            <w:pPr>
              <w:jc w:val="right"/>
              <w:rPr>
                <w:strike/>
              </w:rPr>
            </w:pPr>
            <w:r w:rsidRPr="004C156D">
              <w:rPr>
                <w:strike/>
              </w:rPr>
              <w:t>4</w:t>
            </w:r>
          </w:p>
        </w:tc>
      </w:tr>
      <w:tr w:rsidR="004C156D" w:rsidRPr="004C156D" w14:paraId="3656444D" w14:textId="7EC6AB71" w:rsidTr="00581A21">
        <w:trPr>
          <w:trHeight w:val="20"/>
          <w:jc w:val="center"/>
        </w:trPr>
        <w:tc>
          <w:tcPr>
            <w:tcW w:w="3528" w:type="dxa"/>
            <w:noWrap/>
          </w:tcPr>
          <w:p w14:paraId="21ABA699" w14:textId="6433A610" w:rsidR="0096431D" w:rsidRPr="004C156D" w:rsidRDefault="0096431D" w:rsidP="0096431D">
            <w:pPr>
              <w:rPr>
                <w:strike/>
              </w:rPr>
            </w:pPr>
            <w:r w:rsidRPr="004C156D">
              <w:rPr>
                <w:strike/>
              </w:rPr>
              <w:t xml:space="preserve">General water use </w:t>
            </w:r>
            <w:r w:rsidRPr="004C156D">
              <w:rPr>
                <w:strike/>
                <w:vertAlign w:val="superscript"/>
              </w:rPr>
              <w:t>(e)</w:t>
            </w:r>
          </w:p>
        </w:tc>
        <w:tc>
          <w:tcPr>
            <w:tcW w:w="899" w:type="dxa"/>
            <w:noWrap/>
          </w:tcPr>
          <w:p w14:paraId="51230815" w14:textId="5D0ADB7B" w:rsidR="0096431D" w:rsidRPr="004C156D" w:rsidRDefault="0096431D" w:rsidP="0096431D">
            <w:pPr>
              <w:jc w:val="right"/>
              <w:rPr>
                <w:strike/>
              </w:rPr>
            </w:pPr>
            <w:r w:rsidRPr="004C156D">
              <w:rPr>
                <w:strike/>
              </w:rPr>
              <w:t>-1227</w:t>
            </w:r>
          </w:p>
        </w:tc>
        <w:tc>
          <w:tcPr>
            <w:tcW w:w="756" w:type="dxa"/>
            <w:noWrap/>
          </w:tcPr>
          <w:p w14:paraId="47F9F8ED" w14:textId="0492F785" w:rsidR="0096431D" w:rsidRPr="004C156D" w:rsidRDefault="0096431D" w:rsidP="0096431D">
            <w:pPr>
              <w:jc w:val="right"/>
              <w:rPr>
                <w:strike/>
              </w:rPr>
            </w:pPr>
          </w:p>
        </w:tc>
        <w:tc>
          <w:tcPr>
            <w:tcW w:w="1212" w:type="dxa"/>
            <w:noWrap/>
          </w:tcPr>
          <w:p w14:paraId="5BCF7A22" w14:textId="30AA5266" w:rsidR="0096431D" w:rsidRPr="004C156D" w:rsidRDefault="0096431D" w:rsidP="0096431D">
            <w:pPr>
              <w:jc w:val="right"/>
              <w:rPr>
                <w:strike/>
              </w:rPr>
            </w:pPr>
            <w:r w:rsidRPr="004C156D">
              <w:rPr>
                <w:strike/>
              </w:rPr>
              <w:t>-409</w:t>
            </w:r>
          </w:p>
        </w:tc>
        <w:tc>
          <w:tcPr>
            <w:tcW w:w="876" w:type="dxa"/>
            <w:noWrap/>
          </w:tcPr>
          <w:p w14:paraId="418D429E" w14:textId="42F467A8" w:rsidR="0096431D" w:rsidRPr="004C156D" w:rsidRDefault="0096431D" w:rsidP="0096431D">
            <w:pPr>
              <w:jc w:val="right"/>
              <w:rPr>
                <w:strike/>
              </w:rPr>
            </w:pPr>
            <w:r w:rsidRPr="004C156D">
              <w:rPr>
                <w:strike/>
              </w:rPr>
              <w:t>1,245</w:t>
            </w:r>
          </w:p>
        </w:tc>
        <w:tc>
          <w:tcPr>
            <w:tcW w:w="744" w:type="dxa"/>
            <w:noWrap/>
          </w:tcPr>
          <w:p w14:paraId="63418030" w14:textId="35397D1C" w:rsidR="0096431D" w:rsidRPr="004C156D" w:rsidRDefault="0096431D" w:rsidP="0096431D">
            <w:pPr>
              <w:jc w:val="right"/>
              <w:rPr>
                <w:strike/>
              </w:rPr>
            </w:pPr>
          </w:p>
        </w:tc>
        <w:tc>
          <w:tcPr>
            <w:tcW w:w="990" w:type="dxa"/>
            <w:noWrap/>
          </w:tcPr>
          <w:p w14:paraId="62DF94A4" w14:textId="76A3A38F" w:rsidR="0096431D" w:rsidRPr="004C156D" w:rsidRDefault="0096431D" w:rsidP="0096431D">
            <w:pPr>
              <w:jc w:val="right"/>
              <w:rPr>
                <w:strike/>
              </w:rPr>
            </w:pPr>
            <w:r w:rsidRPr="004C156D">
              <w:rPr>
                <w:strike/>
              </w:rPr>
              <w:t>415</w:t>
            </w:r>
          </w:p>
        </w:tc>
      </w:tr>
      <w:tr w:rsidR="004C156D" w:rsidRPr="004C156D" w14:paraId="729A35A3" w14:textId="10BE4B4B" w:rsidTr="00581A21">
        <w:trPr>
          <w:trHeight w:val="20"/>
          <w:jc w:val="center"/>
        </w:trPr>
        <w:tc>
          <w:tcPr>
            <w:tcW w:w="3528" w:type="dxa"/>
            <w:noWrap/>
          </w:tcPr>
          <w:p w14:paraId="268706F4" w14:textId="778D8827" w:rsidR="0096431D" w:rsidRPr="004C156D" w:rsidRDefault="0096431D" w:rsidP="0096431D">
            <w:pPr>
              <w:rPr>
                <w:strike/>
              </w:rPr>
            </w:pPr>
            <w:r w:rsidRPr="004C156D">
              <w:rPr>
                <w:strike/>
              </w:rPr>
              <w:t xml:space="preserve">Occupants </w:t>
            </w:r>
            <w:r w:rsidRPr="004C156D">
              <w:rPr>
                <w:strike/>
                <w:vertAlign w:val="superscript"/>
              </w:rPr>
              <w:t>(c)</w:t>
            </w:r>
          </w:p>
        </w:tc>
        <w:tc>
          <w:tcPr>
            <w:tcW w:w="899" w:type="dxa"/>
            <w:noWrap/>
          </w:tcPr>
          <w:p w14:paraId="25229556" w14:textId="0BAD39A1" w:rsidR="0096431D" w:rsidRPr="004C156D" w:rsidRDefault="0096431D" w:rsidP="0096431D">
            <w:pPr>
              <w:jc w:val="right"/>
              <w:rPr>
                <w:strike/>
              </w:rPr>
            </w:pPr>
          </w:p>
        </w:tc>
        <w:tc>
          <w:tcPr>
            <w:tcW w:w="756" w:type="dxa"/>
            <w:noWrap/>
          </w:tcPr>
          <w:p w14:paraId="3AC7BDCA" w14:textId="0F8899E7" w:rsidR="0096431D" w:rsidRPr="004C156D" w:rsidRDefault="0096431D" w:rsidP="0096431D">
            <w:pPr>
              <w:jc w:val="right"/>
              <w:rPr>
                <w:strike/>
              </w:rPr>
            </w:pPr>
          </w:p>
        </w:tc>
        <w:tc>
          <w:tcPr>
            <w:tcW w:w="1212" w:type="dxa"/>
            <w:noWrap/>
          </w:tcPr>
          <w:p w14:paraId="1BC8B50B" w14:textId="3298ED19" w:rsidR="0096431D" w:rsidRPr="004C156D" w:rsidRDefault="0096431D" w:rsidP="0096431D">
            <w:pPr>
              <w:jc w:val="right"/>
              <w:rPr>
                <w:strike/>
              </w:rPr>
            </w:pPr>
            <w:r w:rsidRPr="004C156D">
              <w:rPr>
                <w:strike/>
              </w:rPr>
              <w:t>3716</w:t>
            </w:r>
          </w:p>
        </w:tc>
        <w:tc>
          <w:tcPr>
            <w:tcW w:w="876" w:type="dxa"/>
            <w:noWrap/>
          </w:tcPr>
          <w:p w14:paraId="7DD6257C" w14:textId="2FCCAE40" w:rsidR="0096431D" w:rsidRPr="004C156D" w:rsidRDefault="0096431D" w:rsidP="0096431D">
            <w:pPr>
              <w:jc w:val="right"/>
              <w:rPr>
                <w:strike/>
              </w:rPr>
            </w:pPr>
          </w:p>
        </w:tc>
        <w:tc>
          <w:tcPr>
            <w:tcW w:w="744" w:type="dxa"/>
            <w:noWrap/>
          </w:tcPr>
          <w:p w14:paraId="1B68F29F" w14:textId="5A45A2BE" w:rsidR="0096431D" w:rsidRPr="004C156D" w:rsidRDefault="0096431D" w:rsidP="0096431D">
            <w:pPr>
              <w:jc w:val="right"/>
              <w:rPr>
                <w:strike/>
              </w:rPr>
            </w:pPr>
          </w:p>
        </w:tc>
        <w:tc>
          <w:tcPr>
            <w:tcW w:w="990" w:type="dxa"/>
            <w:noWrap/>
          </w:tcPr>
          <w:p w14:paraId="243078E2" w14:textId="4415BB46" w:rsidR="0096431D" w:rsidRPr="004C156D" w:rsidRDefault="0096431D" w:rsidP="0096431D">
            <w:pPr>
              <w:jc w:val="right"/>
              <w:rPr>
                <w:strike/>
              </w:rPr>
            </w:pPr>
            <w:r w:rsidRPr="004C156D">
              <w:rPr>
                <w:strike/>
              </w:rPr>
              <w:t>2,884</w:t>
            </w:r>
          </w:p>
        </w:tc>
      </w:tr>
      <w:tr w:rsidR="00EA09B6" w:rsidRPr="004C156D" w14:paraId="173B07F0" w14:textId="03D01727" w:rsidTr="00581A21">
        <w:trPr>
          <w:trHeight w:val="20"/>
          <w:jc w:val="center"/>
        </w:trPr>
        <w:tc>
          <w:tcPr>
            <w:tcW w:w="9005" w:type="dxa"/>
            <w:gridSpan w:val="7"/>
            <w:noWrap/>
          </w:tcPr>
          <w:p w14:paraId="2108AF9E" w14:textId="180360BA" w:rsidR="0096431D" w:rsidRPr="004C156D" w:rsidRDefault="0096431D" w:rsidP="0096431D">
            <w:pPr>
              <w:rPr>
                <w:b/>
                <w:strike/>
              </w:rPr>
            </w:pPr>
            <w:r w:rsidRPr="004C156D">
              <w:rPr>
                <w:b/>
                <w:strike/>
              </w:rPr>
              <w:t>Notes:</w:t>
            </w:r>
          </w:p>
          <w:p w14:paraId="65460E8C" w14:textId="7929CDC0" w:rsidR="0096431D" w:rsidRPr="004C156D" w:rsidRDefault="0096431D" w:rsidP="0096431D">
            <w:pPr>
              <w:ind w:left="360" w:hanging="360"/>
              <w:rPr>
                <w:strike/>
              </w:rPr>
            </w:pPr>
            <w:r w:rsidRPr="004C156D">
              <w:rPr>
                <w:strike/>
              </w:rPr>
              <w:t xml:space="preserve">(a) Table values are coefficients for the following general equation:  </w:t>
            </w:r>
            <w:r w:rsidRPr="004C156D">
              <w:rPr>
                <w:strike/>
              </w:rPr>
              <w:br/>
              <w:t>Gains = a + b*CFA + c*</w:t>
            </w:r>
            <w:proofErr w:type="spellStart"/>
            <w:r w:rsidRPr="004C156D">
              <w:rPr>
                <w:strike/>
              </w:rPr>
              <w:t>Nbr</w:t>
            </w:r>
            <w:proofErr w:type="spellEnd"/>
            <w:r w:rsidRPr="004C156D">
              <w:rPr>
                <w:strike/>
              </w:rPr>
              <w:t xml:space="preserve"> </w:t>
            </w:r>
            <w:r w:rsidRPr="004C156D">
              <w:rPr>
                <w:strike/>
              </w:rPr>
              <w:br/>
              <w:t xml:space="preserve">where: CFA = Conditioned Floor Area and </w:t>
            </w:r>
            <w:proofErr w:type="spellStart"/>
            <w:r w:rsidRPr="004C156D">
              <w:rPr>
                <w:strike/>
              </w:rPr>
              <w:t>Nbr</w:t>
            </w:r>
            <w:proofErr w:type="spellEnd"/>
            <w:r w:rsidRPr="004C156D">
              <w:rPr>
                <w:strike/>
              </w:rPr>
              <w:t xml:space="preserve"> = Number of Bedrooms.</w:t>
            </w:r>
          </w:p>
          <w:p w14:paraId="4BA8FC02" w14:textId="45D85DC9" w:rsidR="0096431D" w:rsidRPr="004C156D" w:rsidRDefault="0096431D" w:rsidP="0096431D">
            <w:pPr>
              <w:ind w:left="360" w:hanging="360"/>
              <w:rPr>
                <w:strike/>
              </w:rPr>
            </w:pPr>
            <w:r w:rsidRPr="004C156D">
              <w:rPr>
                <w:strike/>
              </w:rPr>
              <w:t>(b) For Rated Homes with electric appliance, use (</w:t>
            </w:r>
            <w:proofErr w:type="spellStart"/>
            <w:r w:rsidRPr="004C156D">
              <w:rPr>
                <w:strike/>
              </w:rPr>
              <w:t>elec</w:t>
            </w:r>
            <w:proofErr w:type="spellEnd"/>
            <w:r w:rsidRPr="004C156D">
              <w:rPr>
                <w:strike/>
              </w:rPr>
              <w:t>) values. For Rated homes with natural gas-fired appliance, use (gas) values</w:t>
            </w:r>
          </w:p>
          <w:p w14:paraId="2CD8A8D4" w14:textId="2C6ABEEB" w:rsidR="0096431D" w:rsidRPr="004C156D" w:rsidRDefault="0096431D" w:rsidP="0096431D">
            <w:pPr>
              <w:ind w:left="360" w:hanging="360"/>
              <w:rPr>
                <w:strike/>
              </w:rPr>
            </w:pPr>
            <w:r w:rsidRPr="004C156D">
              <w:rPr>
                <w:strike/>
              </w:rPr>
              <w:t xml:space="preserve">(c) Software tools shall use either the occupant gains provided </w:t>
            </w:r>
            <w:proofErr w:type="gramStart"/>
            <w:r w:rsidRPr="004C156D">
              <w:rPr>
                <w:strike/>
              </w:rPr>
              <w:t>above</w:t>
            </w:r>
            <w:proofErr w:type="gramEnd"/>
            <w:r w:rsidRPr="004C156D">
              <w:rPr>
                <w:strike/>
              </w:rPr>
              <w:t xml:space="preserve"> or similar temperature dependent values generated by the software where the number of occupants equals the number of Bedrooms and occupants are present in the home 16.5 hours per day.</w:t>
            </w:r>
          </w:p>
          <w:p w14:paraId="25DDD228" w14:textId="04C320CA" w:rsidR="0096431D" w:rsidRPr="004C156D" w:rsidRDefault="0096431D" w:rsidP="0096431D">
            <w:pPr>
              <w:ind w:left="360" w:hanging="360"/>
              <w:rPr>
                <w:strike/>
                <w:u w:val="single"/>
              </w:rPr>
            </w:pPr>
            <w:r w:rsidRPr="004C156D">
              <w:rPr>
                <w:strike/>
              </w:rPr>
              <w:t xml:space="preserve">(d) When any of these appliances associated with a Rated Home </w:t>
            </w:r>
            <w:proofErr w:type="gramStart"/>
            <w:r w:rsidRPr="004C156D">
              <w:rPr>
                <w:strike/>
              </w:rPr>
              <w:t>is located in</w:t>
            </w:r>
            <w:proofErr w:type="gramEnd"/>
            <w:r w:rsidRPr="004C156D">
              <w:rPr>
                <w:strike/>
              </w:rPr>
              <w:t xml:space="preserve"> Unrated Heated Space, Unrated Conditioned Space or otherwise outside of and away from the Dwelling Unit, the Internal Gains associated with that appliance shall be excluded from both the Reference and Rated Homes.</w:t>
            </w:r>
          </w:p>
          <w:p w14:paraId="0ED1872A" w14:textId="0925A24D" w:rsidR="0096431D" w:rsidRPr="004C156D" w:rsidRDefault="0096431D" w:rsidP="0096431D">
            <w:pPr>
              <w:ind w:left="360" w:hanging="360"/>
              <w:rPr>
                <w:b/>
                <w:strike/>
              </w:rPr>
            </w:pPr>
            <w:r w:rsidRPr="004C156D">
              <w:rPr>
                <w:strike/>
              </w:rPr>
              <w:t>(e) (Informative Note) Accounts for evaporation of roughly 2 gal of water per week from mopping, shower/tub/sink surfaces, plant watering, etc.</w:t>
            </w:r>
          </w:p>
        </w:tc>
      </w:tr>
    </w:tbl>
    <w:p w14:paraId="4209101C" w14:textId="34918BB3" w:rsidR="008F1DC1" w:rsidRPr="004C156D" w:rsidRDefault="008F1DC1" w:rsidP="00581A21">
      <w:pPr>
        <w:rPr>
          <w:b/>
          <w:strike/>
        </w:rPr>
      </w:pPr>
    </w:p>
    <w:p w14:paraId="0DD4A7C5" w14:textId="55879252" w:rsidR="003E54EA" w:rsidRPr="00DC54A7" w:rsidRDefault="003E54EA" w:rsidP="003E54EA">
      <w:pPr>
        <w:jc w:val="center"/>
        <w:rPr>
          <w:b/>
        </w:rPr>
      </w:pPr>
      <w:r w:rsidRPr="004C156D">
        <w:rPr>
          <w:b/>
        </w:rPr>
        <w:t>Table 4.2.2(4</w:t>
      </w:r>
      <w:r w:rsidRPr="00DC54A7">
        <w:rPr>
          <w:b/>
        </w:rPr>
        <w:t>)</w:t>
      </w:r>
      <w:r w:rsidR="003C228B" w:rsidRPr="00DC54A7">
        <w:rPr>
          <w:b/>
          <w:vertAlign w:val="superscript"/>
        </w:rPr>
        <w:t xml:space="preserve"> </w:t>
      </w:r>
      <w:r w:rsidR="00DC54A7" w:rsidRPr="00DC54A7">
        <w:rPr>
          <w:b/>
          <w:color w:val="0070C0"/>
          <w:vertAlign w:val="superscript"/>
        </w:rPr>
        <w:t>(</w:t>
      </w:r>
      <w:r w:rsidR="003C228B" w:rsidRPr="00DC54A7">
        <w:rPr>
          <w:b/>
          <w:color w:val="0070C0"/>
          <w:vertAlign w:val="superscript"/>
        </w:rPr>
        <w:t>1</w:t>
      </w:r>
      <w:r w:rsidR="00DC54A7" w:rsidRPr="00DC54A7">
        <w:rPr>
          <w:b/>
          <w:color w:val="0070C0"/>
          <w:vertAlign w:val="superscript"/>
        </w:rPr>
        <w:t>)</w:t>
      </w:r>
      <w:r w:rsidRPr="00DC54A7">
        <w:rPr>
          <w:b/>
        </w:rPr>
        <w:t xml:space="preserve"> Default Solar Absorptance </w:t>
      </w:r>
      <w:r w:rsidRPr="00DC54A7">
        <w:rPr>
          <w:b/>
        </w:rPr>
        <w:br/>
        <w:t>for Various Wall Colors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4C156D" w:rsidRPr="00DC54A7" w14:paraId="00F11587" w14:textId="77777777" w:rsidTr="00456D5B">
        <w:trPr>
          <w:trHeight w:val="62"/>
          <w:jc w:val="center"/>
        </w:trPr>
        <w:tc>
          <w:tcPr>
            <w:tcW w:w="3090" w:type="pct"/>
          </w:tcPr>
          <w:p w14:paraId="3234FC05" w14:textId="77777777" w:rsidR="003E54EA" w:rsidRPr="00DC54A7" w:rsidRDefault="003E54EA" w:rsidP="00456D5B">
            <w:pPr>
              <w:rPr>
                <w:b/>
              </w:rPr>
            </w:pPr>
            <w:r w:rsidRPr="00DC54A7">
              <w:rPr>
                <w:b/>
              </w:rPr>
              <w:t>Rated Home Wall Color</w:t>
            </w:r>
          </w:p>
        </w:tc>
        <w:tc>
          <w:tcPr>
            <w:tcW w:w="1910" w:type="pct"/>
          </w:tcPr>
          <w:p w14:paraId="35B52249" w14:textId="77777777" w:rsidR="003E54EA" w:rsidRPr="00DC54A7" w:rsidRDefault="003E54EA" w:rsidP="00456D5B">
            <w:pPr>
              <w:jc w:val="right"/>
              <w:rPr>
                <w:b/>
              </w:rPr>
            </w:pPr>
            <w:r w:rsidRPr="00DC54A7">
              <w:rPr>
                <w:b/>
              </w:rPr>
              <w:t>Absorptance</w:t>
            </w:r>
          </w:p>
        </w:tc>
      </w:tr>
      <w:tr w:rsidR="004C156D" w:rsidRPr="00DC54A7" w14:paraId="7A18D4B6" w14:textId="77777777" w:rsidTr="00456D5B">
        <w:trPr>
          <w:jc w:val="center"/>
        </w:trPr>
        <w:tc>
          <w:tcPr>
            <w:tcW w:w="3090" w:type="pct"/>
          </w:tcPr>
          <w:p w14:paraId="3BD388B3" w14:textId="6FB3FF56" w:rsidR="003E54EA" w:rsidRPr="00DC54A7" w:rsidRDefault="002C3E2C" w:rsidP="00456D5B">
            <w:r w:rsidRPr="00DC54A7">
              <w:t>White</w:t>
            </w:r>
          </w:p>
        </w:tc>
        <w:tc>
          <w:tcPr>
            <w:tcW w:w="1910" w:type="pct"/>
          </w:tcPr>
          <w:p w14:paraId="3D301EC2" w14:textId="24772D9C" w:rsidR="003E54EA" w:rsidRPr="00DC54A7" w:rsidRDefault="003E54EA" w:rsidP="00456D5B">
            <w:pPr>
              <w:jc w:val="right"/>
            </w:pPr>
            <w:r w:rsidRPr="00DC54A7">
              <w:t>0.</w:t>
            </w:r>
            <w:r w:rsidR="002C3E2C" w:rsidRPr="00DC54A7">
              <w:t>6</w:t>
            </w:r>
            <w:r w:rsidRPr="00DC54A7">
              <w:t>5</w:t>
            </w:r>
          </w:p>
        </w:tc>
      </w:tr>
      <w:tr w:rsidR="004C156D" w:rsidRPr="00DC54A7" w14:paraId="2B4B656A" w14:textId="77777777" w:rsidTr="00456D5B">
        <w:trPr>
          <w:jc w:val="center"/>
        </w:trPr>
        <w:tc>
          <w:tcPr>
            <w:tcW w:w="3090" w:type="pct"/>
          </w:tcPr>
          <w:p w14:paraId="25A53AF6" w14:textId="6ACF90AB" w:rsidR="003E54EA" w:rsidRPr="00DC54A7" w:rsidRDefault="000A4DE9" w:rsidP="00456D5B">
            <w:r w:rsidRPr="00DC54A7">
              <w:t>Yellow</w:t>
            </w:r>
            <w:r w:rsidR="00473C4D" w:rsidRPr="00DC54A7">
              <w:t>, Light Grey, or Silver</w:t>
            </w:r>
          </w:p>
        </w:tc>
        <w:tc>
          <w:tcPr>
            <w:tcW w:w="1910" w:type="pct"/>
          </w:tcPr>
          <w:p w14:paraId="4ED3B81F" w14:textId="77777777" w:rsidR="003E54EA" w:rsidRPr="00DC54A7" w:rsidRDefault="003E54EA" w:rsidP="00456D5B">
            <w:pPr>
              <w:jc w:val="right"/>
            </w:pPr>
            <w:r w:rsidRPr="00DC54A7">
              <w:t>0.75</w:t>
            </w:r>
          </w:p>
        </w:tc>
      </w:tr>
      <w:tr w:rsidR="004C156D" w:rsidRPr="00DC54A7" w14:paraId="700CB33C" w14:textId="77777777" w:rsidTr="00F90E6F">
        <w:trPr>
          <w:jc w:val="center"/>
        </w:trPr>
        <w:tc>
          <w:tcPr>
            <w:tcW w:w="3090" w:type="pct"/>
          </w:tcPr>
          <w:p w14:paraId="1F5AAB42" w14:textId="7F6E08D0" w:rsidR="000A4DE9" w:rsidRPr="00DC54A7" w:rsidRDefault="009136C3" w:rsidP="00F90E6F">
            <w:r w:rsidRPr="00DC54A7">
              <w:t>All others</w:t>
            </w:r>
          </w:p>
        </w:tc>
        <w:tc>
          <w:tcPr>
            <w:tcW w:w="1910" w:type="pct"/>
          </w:tcPr>
          <w:p w14:paraId="7468B5A0" w14:textId="0044EDBC" w:rsidR="000A4DE9" w:rsidRPr="00DC54A7" w:rsidRDefault="009136C3" w:rsidP="00F90E6F">
            <w:pPr>
              <w:jc w:val="right"/>
            </w:pPr>
            <w:r w:rsidRPr="00DC54A7">
              <w:t>0.85</w:t>
            </w:r>
          </w:p>
        </w:tc>
      </w:tr>
      <w:tr w:rsidR="003E54EA" w:rsidRPr="00DC54A7" w14:paraId="031015D7" w14:textId="77777777" w:rsidTr="00456D5B">
        <w:trPr>
          <w:jc w:val="center"/>
        </w:trPr>
        <w:tc>
          <w:tcPr>
            <w:tcW w:w="3090" w:type="pct"/>
          </w:tcPr>
          <w:p w14:paraId="067E596B" w14:textId="70A25BFB" w:rsidR="003E54EA" w:rsidRPr="00DC54A7" w:rsidRDefault="009136C3" w:rsidP="00456D5B">
            <w:r w:rsidRPr="00DC54A7">
              <w:t>Black</w:t>
            </w:r>
          </w:p>
        </w:tc>
        <w:tc>
          <w:tcPr>
            <w:tcW w:w="1910" w:type="pct"/>
          </w:tcPr>
          <w:p w14:paraId="38392368" w14:textId="0E32294E" w:rsidR="003E54EA" w:rsidRPr="00DC54A7" w:rsidRDefault="003E54EA" w:rsidP="00456D5B">
            <w:pPr>
              <w:jc w:val="right"/>
            </w:pPr>
            <w:r w:rsidRPr="00DC54A7">
              <w:t>0.9</w:t>
            </w:r>
            <w:r w:rsidR="00BC03E6" w:rsidRPr="00DC54A7">
              <w:t>2</w:t>
            </w:r>
          </w:p>
        </w:tc>
      </w:tr>
    </w:tbl>
    <w:p w14:paraId="70BBC767" w14:textId="77777777" w:rsidR="008F1DC1" w:rsidRPr="00DC54A7" w:rsidRDefault="008F1DC1" w:rsidP="008F1DC1">
      <w:pPr>
        <w:jc w:val="center"/>
        <w:rPr>
          <w:b/>
        </w:rPr>
      </w:pPr>
    </w:p>
    <w:p w14:paraId="222F4945" w14:textId="0D49E6A0" w:rsidR="008F1DC1" w:rsidRPr="004C156D" w:rsidRDefault="002F657D" w:rsidP="00072FA6">
      <w:pPr>
        <w:pStyle w:val="four"/>
        <w:numPr>
          <w:ilvl w:val="0"/>
          <w:numId w:val="0"/>
        </w:numPr>
        <w:ind w:left="360"/>
        <w:rPr>
          <w:b/>
        </w:rPr>
      </w:pPr>
      <w:r w:rsidRPr="00DC54A7">
        <w:rPr>
          <w:b/>
          <w:bCs w:val="0"/>
        </w:rPr>
        <w:t xml:space="preserve">4.2.2.6.  </w:t>
      </w:r>
      <w:r w:rsidR="008F1DC1" w:rsidRPr="00DC54A7">
        <w:t xml:space="preserve">For non-electric </w:t>
      </w:r>
      <w:r w:rsidR="00944999" w:rsidRPr="00DC54A7">
        <w:t>Boilers</w:t>
      </w:r>
      <w:r w:rsidR="008F1DC1" w:rsidRPr="00DC54A7">
        <w:t>, the values in Table 4.2.2.4(1)</w:t>
      </w:r>
      <w:r w:rsidR="003C228B" w:rsidRPr="00DC54A7">
        <w:rPr>
          <w:b/>
          <w:vertAlign w:val="superscript"/>
        </w:rPr>
        <w:t xml:space="preserve"> </w:t>
      </w:r>
      <w:r w:rsidR="00DC54A7" w:rsidRPr="00DC54A7">
        <w:rPr>
          <w:b/>
          <w:color w:val="0070C0"/>
          <w:vertAlign w:val="superscript"/>
        </w:rPr>
        <w:t>(1)</w:t>
      </w:r>
      <w:r w:rsidR="008F1DC1" w:rsidRPr="00DC54A7">
        <w:t xml:space="preserve"> shall be used for Electric Auxiliary Energy (</w:t>
      </w:r>
      <w:proofErr w:type="spellStart"/>
      <w:r w:rsidR="008F1DC1" w:rsidRPr="00DC54A7">
        <w:t>E</w:t>
      </w:r>
      <w:r w:rsidR="00D853B2" w:rsidRPr="00DC54A7">
        <w:t>ae</w:t>
      </w:r>
      <w:proofErr w:type="spellEnd"/>
      <w:r w:rsidR="008F1DC1" w:rsidRPr="00DC54A7">
        <w:t>) in the</w:t>
      </w:r>
      <w:r w:rsidR="00E52262" w:rsidRPr="00DC54A7">
        <w:rPr>
          <w:u w:val="single"/>
        </w:rPr>
        <w:t xml:space="preserve"> Rated Home and</w:t>
      </w:r>
      <w:r w:rsidR="008F1DC1" w:rsidRPr="00DC54A7">
        <w:t xml:space="preserve"> Reference Home.</w:t>
      </w:r>
    </w:p>
    <w:p w14:paraId="0B1AA7D3" w14:textId="77777777" w:rsidR="008F1DC1" w:rsidRPr="004C156D" w:rsidRDefault="008F1DC1" w:rsidP="009F70BE">
      <w:pPr>
        <w:tabs>
          <w:tab w:val="left" w:pos="748"/>
        </w:tabs>
        <w:ind w:left="1440" w:hanging="810"/>
        <w:rPr>
          <w:b/>
        </w:rPr>
      </w:pPr>
    </w:p>
    <w:p w14:paraId="18A4EF45" w14:textId="1F4F5CA5" w:rsidR="008F1DC1" w:rsidRPr="004C156D" w:rsidRDefault="008F1DC1" w:rsidP="008F1DC1">
      <w:pPr>
        <w:ind w:left="360"/>
        <w:jc w:val="center"/>
        <w:rPr>
          <w:b/>
        </w:rPr>
      </w:pPr>
      <w:r w:rsidRPr="004C156D">
        <w:rPr>
          <w:b/>
        </w:rPr>
        <w:t>Table 4.2.2.4(1</w:t>
      </w:r>
      <w:r w:rsidRPr="00DC54A7">
        <w:rPr>
          <w:b/>
        </w:rPr>
        <w:t>)</w:t>
      </w:r>
      <w:r w:rsidR="003C228B" w:rsidRPr="00DC54A7">
        <w:rPr>
          <w:b/>
          <w:vertAlign w:val="superscript"/>
        </w:rPr>
        <w:t xml:space="preserve"> </w:t>
      </w:r>
      <w:r w:rsidRPr="004C156D">
        <w:rPr>
          <w:b/>
        </w:rPr>
        <w:t xml:space="preserve">Electric Auxiliary Energy for </w:t>
      </w:r>
      <w:r w:rsidRPr="004C156D">
        <w:rPr>
          <w:b/>
        </w:rPr>
        <w:br/>
        <w:t>Fossil Fuel Heating Systems</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31"/>
      </w:tblGrid>
      <w:tr w:rsidR="004C156D" w:rsidRPr="004C156D" w14:paraId="0334FFBD" w14:textId="77777777" w:rsidTr="00BF0140">
        <w:trPr>
          <w:tblHeader/>
          <w:jc w:val="center"/>
        </w:trPr>
        <w:tc>
          <w:tcPr>
            <w:tcW w:w="1958" w:type="pct"/>
          </w:tcPr>
          <w:p w14:paraId="0A7BE497" w14:textId="77777777" w:rsidR="008F1DC1" w:rsidRPr="004C156D" w:rsidRDefault="008F1DC1" w:rsidP="00B82EFA">
            <w:pPr>
              <w:rPr>
                <w:b/>
              </w:rPr>
            </w:pPr>
            <w:r w:rsidRPr="004C156D">
              <w:rPr>
                <w:b/>
              </w:rPr>
              <w:t>System Type</w:t>
            </w:r>
          </w:p>
        </w:tc>
        <w:tc>
          <w:tcPr>
            <w:tcW w:w="3042" w:type="pct"/>
          </w:tcPr>
          <w:p w14:paraId="4DFD2303" w14:textId="77777777" w:rsidR="008F1DC1" w:rsidRPr="004C156D" w:rsidRDefault="008F1DC1" w:rsidP="00B82EFA">
            <w:pPr>
              <w:rPr>
                <w:b/>
              </w:rPr>
            </w:pPr>
            <w:proofErr w:type="spellStart"/>
            <w:r w:rsidRPr="004C156D">
              <w:rPr>
                <w:b/>
              </w:rPr>
              <w:t>Eae</w:t>
            </w:r>
            <w:proofErr w:type="spellEnd"/>
          </w:p>
        </w:tc>
      </w:tr>
      <w:tr w:rsidR="004C156D" w:rsidRPr="004C156D" w14:paraId="7DC0CAE5" w14:textId="77777777" w:rsidTr="00BF0140">
        <w:trPr>
          <w:trHeight w:val="62"/>
          <w:jc w:val="center"/>
        </w:trPr>
        <w:tc>
          <w:tcPr>
            <w:tcW w:w="1958" w:type="pct"/>
          </w:tcPr>
          <w:p w14:paraId="23439A61" w14:textId="12089C4A" w:rsidR="008F1DC1" w:rsidRPr="004C156D" w:rsidRDefault="008F1DC1" w:rsidP="00B82EFA">
            <w:r w:rsidRPr="004C156D">
              <w:t xml:space="preserve">Oil </w:t>
            </w:r>
            <w:r w:rsidR="00944999" w:rsidRPr="004C156D">
              <w:t>Boiler</w:t>
            </w:r>
          </w:p>
        </w:tc>
        <w:tc>
          <w:tcPr>
            <w:tcW w:w="3042" w:type="pct"/>
          </w:tcPr>
          <w:p w14:paraId="73862EDD" w14:textId="77777777" w:rsidR="008F1DC1" w:rsidRPr="004C156D" w:rsidRDefault="008F1DC1" w:rsidP="00B82EFA">
            <w:r w:rsidRPr="004C156D">
              <w:t>330</w:t>
            </w:r>
          </w:p>
        </w:tc>
      </w:tr>
      <w:tr w:rsidR="00217BFA" w:rsidRPr="004C156D" w14:paraId="381B39D9" w14:textId="77777777" w:rsidTr="00BF0140">
        <w:trPr>
          <w:jc w:val="center"/>
        </w:trPr>
        <w:tc>
          <w:tcPr>
            <w:tcW w:w="1958" w:type="pct"/>
          </w:tcPr>
          <w:p w14:paraId="6834A1B5" w14:textId="152CEB1D" w:rsidR="008F1DC1" w:rsidRPr="004C156D" w:rsidRDefault="008F1DC1" w:rsidP="00B82EFA">
            <w:r w:rsidRPr="004C156D">
              <w:t xml:space="preserve">Gas </w:t>
            </w:r>
            <w:r w:rsidR="00944999" w:rsidRPr="004C156D">
              <w:t>Boiler</w:t>
            </w:r>
          </w:p>
        </w:tc>
        <w:tc>
          <w:tcPr>
            <w:tcW w:w="3042" w:type="pct"/>
          </w:tcPr>
          <w:p w14:paraId="462C99F6" w14:textId="77777777" w:rsidR="008F1DC1" w:rsidRPr="004C156D" w:rsidRDefault="008F1DC1" w:rsidP="00B82EFA">
            <w:r w:rsidRPr="004C156D">
              <w:t>170</w:t>
            </w:r>
          </w:p>
        </w:tc>
      </w:tr>
    </w:tbl>
    <w:p w14:paraId="22314A98" w14:textId="77777777" w:rsidR="008F1DC1" w:rsidRPr="004C156D" w:rsidRDefault="008F1DC1" w:rsidP="008F1DC1"/>
    <w:p w14:paraId="58077D4A" w14:textId="659731EC" w:rsidR="008F1DC1" w:rsidRPr="004C156D" w:rsidRDefault="24F37E70" w:rsidP="24F37E70">
      <w:pPr>
        <w:pStyle w:val="four"/>
        <w:numPr>
          <w:ilvl w:val="3"/>
          <w:numId w:val="0"/>
        </w:numPr>
        <w:ind w:left="360"/>
        <w:rPr>
          <w:u w:val="single"/>
        </w:rPr>
      </w:pPr>
      <w:r w:rsidRPr="004C156D">
        <w:rPr>
          <w:b/>
        </w:rPr>
        <w:t xml:space="preserve">4.2.2.7.  </w:t>
      </w:r>
      <w:r w:rsidRPr="004C156D">
        <w:t>Lighting, Appliances, Miscellaneous Energy Loads (MELs), Ventilation and Service Hot Water Systems.</w:t>
      </w:r>
    </w:p>
    <w:p w14:paraId="1FBB5E16" w14:textId="7638CAA8" w:rsidR="004A5E21" w:rsidRPr="00DC54A7" w:rsidRDefault="007D3E08" w:rsidP="00581A21">
      <w:pPr>
        <w:pStyle w:val="equals"/>
        <w:ind w:left="360" w:firstLine="0"/>
        <w:rPr>
          <w:u w:val="single"/>
        </w:rPr>
      </w:pPr>
      <w:r w:rsidRPr="004C156D">
        <w:rPr>
          <w:u w:val="single"/>
        </w:rPr>
        <w:t>Unless otherwise specified, h</w:t>
      </w:r>
      <w:r w:rsidR="004A5E21" w:rsidRPr="004C156D">
        <w:rPr>
          <w:u w:val="single"/>
        </w:rPr>
        <w:t xml:space="preserve">ourly energy use for </w:t>
      </w:r>
      <w:r w:rsidR="00EB746F" w:rsidRPr="004C156D">
        <w:rPr>
          <w:u w:val="single"/>
        </w:rPr>
        <w:t>L</w:t>
      </w:r>
      <w:r w:rsidR="004A5E21" w:rsidRPr="004C156D">
        <w:rPr>
          <w:u w:val="single"/>
        </w:rPr>
        <w:t xml:space="preserve">ighting, </w:t>
      </w:r>
      <w:r w:rsidR="00EB746F" w:rsidRPr="00DC54A7">
        <w:rPr>
          <w:u w:val="single"/>
        </w:rPr>
        <w:t>A</w:t>
      </w:r>
      <w:r w:rsidR="004A5E21" w:rsidRPr="00DC54A7">
        <w:rPr>
          <w:u w:val="single"/>
        </w:rPr>
        <w:t>ppliances, and Miscellaneous Energy Loads</w:t>
      </w:r>
      <w:r w:rsidR="00EB746F" w:rsidRPr="00DC54A7">
        <w:rPr>
          <w:u w:val="single"/>
        </w:rPr>
        <w:t xml:space="preserve"> shall be determined according to Equation 4.2-</w:t>
      </w:r>
      <w:r w:rsidR="00E2444C" w:rsidRPr="00DC54A7">
        <w:rPr>
          <w:u w:val="single"/>
        </w:rPr>
        <w:t>X1</w:t>
      </w:r>
      <w:r w:rsidR="00E431E6" w:rsidRPr="00DC54A7">
        <w:rPr>
          <w:u w:val="single"/>
        </w:rPr>
        <w:t>.</w:t>
      </w:r>
      <w:r w:rsidR="003C228B" w:rsidRPr="00DC54A7">
        <w:rPr>
          <w:b/>
          <w:vertAlign w:val="superscript"/>
        </w:rPr>
        <w:t xml:space="preserve"> </w:t>
      </w:r>
      <w:r w:rsidR="00DC54A7" w:rsidRPr="00DC54A7">
        <w:rPr>
          <w:b/>
          <w:color w:val="0070C0"/>
          <w:vertAlign w:val="superscript"/>
        </w:rPr>
        <w:t>(1)</w:t>
      </w:r>
    </w:p>
    <w:p w14:paraId="14698F0B" w14:textId="77777777" w:rsidR="004A5E21" w:rsidRPr="00DC54A7" w:rsidRDefault="004A5E21" w:rsidP="24F37E70">
      <w:pPr>
        <w:pStyle w:val="four"/>
        <w:numPr>
          <w:ilvl w:val="3"/>
          <w:numId w:val="0"/>
        </w:numPr>
        <w:ind w:left="360"/>
        <w:rPr>
          <w:b/>
          <w:u w:val="single"/>
        </w:rPr>
      </w:pPr>
    </w:p>
    <w:p w14:paraId="5B19210F" w14:textId="77777777" w:rsidR="004D7A00" w:rsidRPr="00DC54A7" w:rsidRDefault="00E431E6" w:rsidP="24F37E70">
      <w:pPr>
        <w:pStyle w:val="four"/>
        <w:numPr>
          <w:ilvl w:val="3"/>
          <w:numId w:val="0"/>
        </w:numPr>
        <w:ind w:left="360"/>
        <w:rPr>
          <w:bCs w:val="0"/>
          <w:u w:val="single"/>
        </w:rPr>
      </w:pPr>
      <w:r w:rsidRPr="00DC54A7">
        <w:rPr>
          <w:bCs w:val="0"/>
          <w:u w:val="single"/>
        </w:rPr>
        <w:tab/>
      </w:r>
      <w:r w:rsidR="00B9474E" w:rsidRPr="00DC54A7">
        <w:rPr>
          <w:bCs w:val="0"/>
          <w:u w:val="single"/>
        </w:rPr>
        <w:t>(</w:t>
      </w:r>
      <w:r w:rsidR="00F7706A" w:rsidRPr="00DC54A7">
        <w:rPr>
          <w:bCs w:val="0"/>
          <w:u w:val="single"/>
        </w:rPr>
        <w:t>(Annual Energy)/</w:t>
      </w:r>
      <w:proofErr w:type="gramStart"/>
      <w:r w:rsidR="00F7706A" w:rsidRPr="00DC54A7">
        <w:rPr>
          <w:bCs w:val="0"/>
          <w:u w:val="single"/>
        </w:rPr>
        <w:t>365</w:t>
      </w:r>
      <w:r w:rsidR="00B9474E" w:rsidRPr="00DC54A7">
        <w:rPr>
          <w:bCs w:val="0"/>
          <w:u w:val="single"/>
        </w:rPr>
        <w:t>)</w:t>
      </w:r>
      <w:r w:rsidR="00F7706A" w:rsidRPr="00DC54A7">
        <w:rPr>
          <w:bCs w:val="0"/>
          <w:u w:val="single"/>
        </w:rPr>
        <w:t>*</w:t>
      </w:r>
      <w:proofErr w:type="gramEnd"/>
      <w:r w:rsidR="00F7706A" w:rsidRPr="00DC54A7">
        <w:rPr>
          <w:bCs w:val="0"/>
          <w:u w:val="single"/>
        </w:rPr>
        <w:t>(</w:t>
      </w:r>
      <w:r w:rsidR="00145909" w:rsidRPr="00DC54A7">
        <w:rPr>
          <w:bCs w:val="0"/>
          <w:u w:val="single"/>
        </w:rPr>
        <w:t>Hourly</w:t>
      </w:r>
      <w:r w:rsidR="00BC31B6" w:rsidRPr="00DC54A7">
        <w:rPr>
          <w:bCs w:val="0"/>
          <w:u w:val="single"/>
        </w:rPr>
        <w:t xml:space="preserve"> Profile </w:t>
      </w:r>
      <w:r w:rsidR="00B9474E" w:rsidRPr="00DC54A7">
        <w:rPr>
          <w:bCs w:val="0"/>
          <w:u w:val="single"/>
        </w:rPr>
        <w:t>Value</w:t>
      </w:r>
      <w:r w:rsidR="00BC31B6" w:rsidRPr="00DC54A7">
        <w:rPr>
          <w:bCs w:val="0"/>
          <w:u w:val="single"/>
        </w:rPr>
        <w:t>)</w:t>
      </w:r>
      <w:r w:rsidR="00B9474E" w:rsidRPr="00DC54A7">
        <w:rPr>
          <w:bCs w:val="0"/>
          <w:u w:val="single"/>
        </w:rPr>
        <w:t>*(Monthly Multiplier)</w:t>
      </w:r>
    </w:p>
    <w:p w14:paraId="6454C1D1" w14:textId="18264CDA" w:rsidR="00E431E6" w:rsidRPr="00DC54A7" w:rsidRDefault="004D7A00" w:rsidP="00581A21">
      <w:pPr>
        <w:pStyle w:val="four"/>
        <w:numPr>
          <w:ilvl w:val="3"/>
          <w:numId w:val="0"/>
        </w:numPr>
        <w:ind w:left="360"/>
        <w:jc w:val="right"/>
        <w:rPr>
          <w:b/>
          <w:u w:val="single"/>
        </w:rPr>
      </w:pPr>
      <w:r w:rsidRPr="00DC54A7">
        <w:rPr>
          <w:b/>
          <w:u w:val="single"/>
        </w:rPr>
        <w:t>Equation 4.2-X</w:t>
      </w:r>
      <w:r w:rsidR="00154CBD" w:rsidRPr="00DC54A7">
        <w:rPr>
          <w:b/>
          <w:u w:val="single"/>
        </w:rPr>
        <w:t>1</w:t>
      </w:r>
      <w:r w:rsidR="00DC54A7" w:rsidRPr="00DC54A7">
        <w:rPr>
          <w:b/>
          <w:color w:val="0070C0"/>
          <w:vertAlign w:val="superscript"/>
        </w:rPr>
        <w:t>(1)</w:t>
      </w:r>
      <w:r w:rsidRPr="00DC54A7">
        <w:rPr>
          <w:b/>
          <w:u w:val="single"/>
        </w:rPr>
        <w:t xml:space="preserve"> </w:t>
      </w:r>
    </w:p>
    <w:p w14:paraId="2B506DF3" w14:textId="068A8FA3" w:rsidR="00BC31B6" w:rsidRPr="00DC54A7" w:rsidRDefault="00BC31B6" w:rsidP="24F37E70">
      <w:pPr>
        <w:pStyle w:val="four"/>
        <w:numPr>
          <w:ilvl w:val="3"/>
          <w:numId w:val="0"/>
        </w:numPr>
        <w:ind w:left="360"/>
        <w:rPr>
          <w:bCs w:val="0"/>
          <w:u w:val="single"/>
        </w:rPr>
      </w:pPr>
      <w:r w:rsidRPr="00DC54A7">
        <w:rPr>
          <w:bCs w:val="0"/>
          <w:u w:val="single"/>
        </w:rPr>
        <w:t>where “</w:t>
      </w:r>
      <w:r w:rsidR="00B9474E" w:rsidRPr="00DC54A7">
        <w:rPr>
          <w:bCs w:val="0"/>
          <w:u w:val="single"/>
        </w:rPr>
        <w:t>Hourly Profile Value”</w:t>
      </w:r>
      <w:r w:rsidR="00162810" w:rsidRPr="00DC54A7">
        <w:rPr>
          <w:bCs w:val="0"/>
          <w:u w:val="single"/>
        </w:rPr>
        <w:t xml:space="preserve"> and “Monthly Multiplier”</w:t>
      </w:r>
      <w:r w:rsidRPr="00DC54A7">
        <w:rPr>
          <w:bCs w:val="0"/>
          <w:u w:val="single"/>
        </w:rPr>
        <w:t xml:space="preserve"> </w:t>
      </w:r>
      <w:r w:rsidR="007B745C" w:rsidRPr="00DC54A7">
        <w:rPr>
          <w:bCs w:val="0"/>
          <w:u w:val="single"/>
        </w:rPr>
        <w:t>are defined</w:t>
      </w:r>
      <w:r w:rsidR="00EA069A" w:rsidRPr="00DC54A7">
        <w:rPr>
          <w:bCs w:val="0"/>
          <w:u w:val="single"/>
        </w:rPr>
        <w:t xml:space="preserve"> in </w:t>
      </w:r>
      <w:r w:rsidR="00162810" w:rsidRPr="00DC54A7">
        <w:rPr>
          <w:bCs w:val="0"/>
          <w:u w:val="single"/>
        </w:rPr>
        <w:t>Normative Appendix</w:t>
      </w:r>
      <w:r w:rsidR="00EA069A" w:rsidRPr="00DC54A7">
        <w:rPr>
          <w:bCs w:val="0"/>
          <w:u w:val="single"/>
        </w:rPr>
        <w:t xml:space="preserve"> </w:t>
      </w:r>
      <w:r w:rsidR="008657D7" w:rsidRPr="008657D7">
        <w:rPr>
          <w:bCs w:val="0"/>
          <w:strike/>
          <w:color w:val="FF0000"/>
          <w:u w:val="single"/>
        </w:rPr>
        <w:t>C.4</w:t>
      </w:r>
      <w:r w:rsidR="008657D7">
        <w:rPr>
          <w:bCs w:val="0"/>
          <w:color w:val="FF0000"/>
          <w:u w:val="single"/>
        </w:rPr>
        <w:t>C3</w:t>
      </w:r>
      <w:r w:rsidR="00162810" w:rsidRPr="00DC54A7">
        <w:rPr>
          <w:bCs w:val="0"/>
          <w:u w:val="single"/>
        </w:rPr>
        <w:t>. If no</w:t>
      </w:r>
      <w:r w:rsidR="007B745C" w:rsidRPr="00DC54A7">
        <w:rPr>
          <w:bCs w:val="0"/>
          <w:u w:val="single"/>
        </w:rPr>
        <w:t xml:space="preserve"> corresponding </w:t>
      </w:r>
      <w:r w:rsidR="004D7A00" w:rsidRPr="00DC54A7">
        <w:rPr>
          <w:bCs w:val="0"/>
          <w:u w:val="single"/>
        </w:rPr>
        <w:t>“Hourly Profile Value” or “Monthly Multipl</w:t>
      </w:r>
      <w:r w:rsidR="007517C0" w:rsidRPr="00DC54A7">
        <w:rPr>
          <w:bCs w:val="0"/>
          <w:u w:val="single"/>
        </w:rPr>
        <w:t>i</w:t>
      </w:r>
      <w:r w:rsidR="004D7A00" w:rsidRPr="00DC54A7">
        <w:rPr>
          <w:bCs w:val="0"/>
          <w:u w:val="single"/>
        </w:rPr>
        <w:t xml:space="preserve">er” is provided in Normative Appendix </w:t>
      </w:r>
      <w:r w:rsidR="008657D7" w:rsidRPr="008657D7">
        <w:rPr>
          <w:bCs w:val="0"/>
          <w:strike/>
          <w:color w:val="FF0000"/>
          <w:u w:val="single"/>
        </w:rPr>
        <w:t>C.4</w:t>
      </w:r>
      <w:r w:rsidR="008657D7">
        <w:rPr>
          <w:bCs w:val="0"/>
          <w:color w:val="FF0000"/>
          <w:u w:val="single"/>
        </w:rPr>
        <w:t>C3</w:t>
      </w:r>
      <w:r w:rsidR="004D7A00" w:rsidRPr="00DC54A7">
        <w:rPr>
          <w:bCs w:val="0"/>
          <w:u w:val="single"/>
        </w:rPr>
        <w:t xml:space="preserve">, </w:t>
      </w:r>
      <w:r w:rsidR="00414D00" w:rsidRPr="00DC54A7">
        <w:rPr>
          <w:bCs w:val="0"/>
          <w:u w:val="single"/>
        </w:rPr>
        <w:t xml:space="preserve">values of </w:t>
      </w:r>
      <w:r w:rsidR="003D6B61" w:rsidRPr="00DC54A7">
        <w:rPr>
          <w:bCs w:val="0"/>
          <w:u w:val="single"/>
        </w:rPr>
        <w:t>0.042 and 1.00, respectively</w:t>
      </w:r>
      <w:r w:rsidR="00E2444C" w:rsidRPr="00DC54A7">
        <w:rPr>
          <w:bCs w:val="0"/>
          <w:u w:val="single"/>
        </w:rPr>
        <w:t>, shall be used</w:t>
      </w:r>
      <w:r w:rsidR="003D6B61" w:rsidRPr="00DC54A7">
        <w:rPr>
          <w:bCs w:val="0"/>
          <w:u w:val="single"/>
        </w:rPr>
        <w:t>.</w:t>
      </w:r>
    </w:p>
    <w:p w14:paraId="631E460E" w14:textId="26BDAA6B" w:rsidR="00154CBD" w:rsidRPr="00DC54A7" w:rsidRDefault="00154CBD" w:rsidP="00581A21">
      <w:pPr>
        <w:ind w:left="360"/>
        <w:rPr>
          <w:u w:val="single"/>
        </w:rPr>
      </w:pPr>
      <w:r w:rsidRPr="00DC54A7">
        <w:rPr>
          <w:u w:val="single"/>
        </w:rPr>
        <w:t>Hourly energy for refrigerators is determined according to Equation 4.2-X2</w:t>
      </w:r>
      <w:r w:rsidR="0057095D" w:rsidRPr="00DC54A7">
        <w:rPr>
          <w:rStyle w:val="FootnoteReference"/>
          <w:u w:val="single"/>
        </w:rPr>
        <w:footnoteReference w:id="11"/>
      </w:r>
      <w:r w:rsidRPr="00DC54A7">
        <w:rPr>
          <w:u w:val="single"/>
        </w:rPr>
        <w:t>:</w:t>
      </w:r>
      <w:r w:rsidR="00DC54A7" w:rsidRPr="00DC54A7">
        <w:rPr>
          <w:b/>
          <w:color w:val="0070C0"/>
          <w:vertAlign w:val="superscript"/>
        </w:rPr>
        <w:t>(1)</w:t>
      </w:r>
    </w:p>
    <w:p w14:paraId="1B727BC0" w14:textId="77777777" w:rsidR="00154CBD" w:rsidRPr="00DC54A7" w:rsidRDefault="00154CBD" w:rsidP="00581A21">
      <w:pPr>
        <w:ind w:left="360"/>
        <w:rPr>
          <w:u w:val="single"/>
        </w:rPr>
      </w:pPr>
    </w:p>
    <w:p w14:paraId="12024779" w14:textId="0109E08F" w:rsidR="00154CBD" w:rsidRPr="0020013E" w:rsidRDefault="00154CBD" w:rsidP="00581A21">
      <w:pPr>
        <w:ind w:left="360" w:firstLine="360"/>
        <w:rPr>
          <w:b/>
          <w:bCs/>
          <w:u w:val="single"/>
        </w:rPr>
      </w:pPr>
      <w:r w:rsidRPr="00DC54A7">
        <w:rPr>
          <w:u w:val="single"/>
        </w:rPr>
        <w:t>((Annual Energy)/</w:t>
      </w:r>
      <w:proofErr w:type="gramStart"/>
      <w:r w:rsidRPr="00DC54A7">
        <w:rPr>
          <w:u w:val="single"/>
        </w:rPr>
        <w:t>8760)*</w:t>
      </w:r>
      <w:proofErr w:type="gramEnd"/>
      <w:r w:rsidRPr="00DC54A7">
        <w:rPr>
          <w:u w:val="single"/>
        </w:rPr>
        <w:t>(a + b*</w:t>
      </w:r>
      <w:proofErr w:type="spellStart"/>
      <w:r w:rsidRPr="00DC54A7">
        <w:rPr>
          <w:u w:val="single"/>
        </w:rPr>
        <w:t>T</w:t>
      </w:r>
      <w:r w:rsidRPr="00DC54A7">
        <w:rPr>
          <w:u w:val="single"/>
          <w:vertAlign w:val="subscript"/>
        </w:rPr>
        <w:t>space</w:t>
      </w:r>
      <w:proofErr w:type="spellEnd"/>
      <w:r w:rsidRPr="00DC54A7">
        <w:rPr>
          <w:u w:val="single"/>
        </w:rPr>
        <w:t>)</w:t>
      </w:r>
      <w:r w:rsidR="00522445" w:rsidRPr="00DC54A7">
        <w:rPr>
          <w:u w:val="single"/>
        </w:rPr>
        <w:tab/>
      </w:r>
      <w:r w:rsidR="00522445" w:rsidRPr="00DC54A7">
        <w:rPr>
          <w:u w:val="single"/>
        </w:rPr>
        <w:tab/>
      </w:r>
      <w:r w:rsidR="00522445" w:rsidRPr="00DC54A7">
        <w:rPr>
          <w:u w:val="single"/>
        </w:rPr>
        <w:tab/>
      </w:r>
      <w:r w:rsidR="00522445" w:rsidRPr="00DC54A7">
        <w:rPr>
          <w:u w:val="single"/>
        </w:rPr>
        <w:tab/>
      </w:r>
      <w:r w:rsidR="00522445" w:rsidRPr="00DC54A7">
        <w:rPr>
          <w:b/>
          <w:bCs/>
          <w:u w:val="single"/>
        </w:rPr>
        <w:t>Equation 4.2-X2</w:t>
      </w:r>
      <w:r w:rsidR="00DC54A7" w:rsidRPr="00DC54A7">
        <w:rPr>
          <w:b/>
          <w:color w:val="0070C0"/>
          <w:vertAlign w:val="superscript"/>
        </w:rPr>
        <w:t>(1)</w:t>
      </w:r>
    </w:p>
    <w:p w14:paraId="4ED23130" w14:textId="77777777" w:rsidR="00154CBD" w:rsidRPr="0020013E" w:rsidRDefault="00154CBD" w:rsidP="24F37E70">
      <w:pPr>
        <w:pStyle w:val="four"/>
        <w:numPr>
          <w:ilvl w:val="3"/>
          <w:numId w:val="0"/>
        </w:numPr>
        <w:ind w:left="360"/>
        <w:rPr>
          <w:bCs w:val="0"/>
          <w:u w:val="single"/>
        </w:rPr>
      </w:pPr>
    </w:p>
    <w:p w14:paraId="7DD106BF" w14:textId="26073708" w:rsidR="00014DBF" w:rsidRPr="0020013E" w:rsidRDefault="00014DBF" w:rsidP="000B287F">
      <w:pPr>
        <w:pStyle w:val="four"/>
        <w:numPr>
          <w:ilvl w:val="3"/>
          <w:numId w:val="0"/>
        </w:numPr>
        <w:ind w:left="360"/>
        <w:rPr>
          <w:bCs w:val="0"/>
          <w:u w:val="single"/>
        </w:rPr>
      </w:pPr>
      <w:r w:rsidRPr="0020013E">
        <w:rPr>
          <w:bCs w:val="0"/>
          <w:u w:val="single"/>
        </w:rPr>
        <w:t>Where:</w:t>
      </w:r>
    </w:p>
    <w:p w14:paraId="4B688167" w14:textId="41B349A7" w:rsidR="00014DBF" w:rsidRPr="0020013E" w:rsidRDefault="00014DBF" w:rsidP="000B287F">
      <w:pPr>
        <w:pStyle w:val="four"/>
        <w:numPr>
          <w:ilvl w:val="3"/>
          <w:numId w:val="0"/>
        </w:numPr>
        <w:ind w:left="360"/>
        <w:rPr>
          <w:bCs w:val="0"/>
          <w:u w:val="single"/>
        </w:rPr>
      </w:pPr>
      <w:r w:rsidRPr="0020013E">
        <w:rPr>
          <w:bCs w:val="0"/>
          <w:u w:val="single"/>
        </w:rPr>
        <w:tab/>
        <w:t>a = Constant Coeffic</w:t>
      </w:r>
      <w:r w:rsidR="007517C0" w:rsidRPr="0020013E">
        <w:rPr>
          <w:bCs w:val="0"/>
          <w:u w:val="single"/>
        </w:rPr>
        <w:t>i</w:t>
      </w:r>
      <w:r w:rsidRPr="0020013E">
        <w:rPr>
          <w:bCs w:val="0"/>
          <w:u w:val="single"/>
        </w:rPr>
        <w:t xml:space="preserve">ent from </w:t>
      </w:r>
      <w:r w:rsidR="0024234B" w:rsidRPr="0020013E">
        <w:rPr>
          <w:bCs w:val="0"/>
          <w:u w:val="single"/>
        </w:rPr>
        <w:t xml:space="preserve">Normative Appendix </w:t>
      </w:r>
      <w:r w:rsidR="008657D7" w:rsidRPr="008657D7">
        <w:rPr>
          <w:bCs w:val="0"/>
          <w:strike/>
          <w:color w:val="FF0000"/>
          <w:u w:val="single"/>
        </w:rPr>
        <w:t>C.4</w:t>
      </w:r>
      <w:r w:rsidR="008657D7">
        <w:rPr>
          <w:bCs w:val="0"/>
          <w:color w:val="FF0000"/>
          <w:u w:val="single"/>
        </w:rPr>
        <w:t>C3</w:t>
      </w:r>
      <w:r w:rsidR="00310D56">
        <w:rPr>
          <w:bCs w:val="0"/>
          <w:u w:val="single"/>
        </w:rPr>
        <w:t>.</w:t>
      </w:r>
      <w:r w:rsidR="0024234B" w:rsidRPr="0020013E">
        <w:rPr>
          <w:bCs w:val="0"/>
          <w:u w:val="single"/>
        </w:rPr>
        <w:t xml:space="preserve"> Table </w:t>
      </w:r>
      <w:r w:rsidR="0024234B" w:rsidRPr="00A92A42">
        <w:rPr>
          <w:bCs w:val="0"/>
          <w:color w:val="FF0000"/>
          <w:u w:val="single"/>
        </w:rPr>
        <w:t>C.</w:t>
      </w:r>
      <w:r w:rsidR="005F01EE" w:rsidRPr="00A92A42">
        <w:rPr>
          <w:bCs w:val="0"/>
          <w:color w:val="FF0000"/>
          <w:u w:val="single"/>
        </w:rPr>
        <w:t>3</w:t>
      </w:r>
      <w:r w:rsidR="0024234B" w:rsidRPr="0020013E">
        <w:rPr>
          <w:bCs w:val="0"/>
          <w:u w:val="single"/>
        </w:rPr>
        <w:t>(2)</w:t>
      </w:r>
    </w:p>
    <w:p w14:paraId="699B0F37" w14:textId="7F47EF5B" w:rsidR="0024234B" w:rsidRPr="0020013E" w:rsidRDefault="0024234B" w:rsidP="0024234B">
      <w:pPr>
        <w:pStyle w:val="four"/>
        <w:numPr>
          <w:ilvl w:val="3"/>
          <w:numId w:val="0"/>
        </w:numPr>
        <w:ind w:left="360"/>
        <w:rPr>
          <w:bCs w:val="0"/>
          <w:u w:val="single"/>
        </w:rPr>
      </w:pPr>
      <w:r w:rsidRPr="0020013E">
        <w:rPr>
          <w:bCs w:val="0"/>
          <w:u w:val="single"/>
        </w:rPr>
        <w:tab/>
        <w:t>b = Temperature Coeffic</w:t>
      </w:r>
      <w:r w:rsidR="007517C0" w:rsidRPr="0020013E">
        <w:rPr>
          <w:bCs w:val="0"/>
          <w:u w:val="single"/>
        </w:rPr>
        <w:t>i</w:t>
      </w:r>
      <w:r w:rsidRPr="0020013E">
        <w:rPr>
          <w:bCs w:val="0"/>
          <w:u w:val="single"/>
        </w:rPr>
        <w:t xml:space="preserve">ent from Normative Appendix </w:t>
      </w:r>
      <w:r w:rsidR="008657D7" w:rsidRPr="008657D7">
        <w:rPr>
          <w:bCs w:val="0"/>
          <w:strike/>
          <w:color w:val="FF0000"/>
          <w:u w:val="single"/>
        </w:rPr>
        <w:t>C.4</w:t>
      </w:r>
      <w:r w:rsidR="008657D7">
        <w:rPr>
          <w:bCs w:val="0"/>
          <w:color w:val="FF0000"/>
          <w:u w:val="single"/>
        </w:rPr>
        <w:t>C3</w:t>
      </w:r>
      <w:r w:rsidR="00E05DAC">
        <w:rPr>
          <w:bCs w:val="0"/>
          <w:u w:val="single"/>
        </w:rPr>
        <w:t>.</w:t>
      </w:r>
      <w:r w:rsidRPr="0020013E">
        <w:rPr>
          <w:bCs w:val="0"/>
          <w:u w:val="single"/>
        </w:rPr>
        <w:t xml:space="preserve"> Table </w:t>
      </w:r>
      <w:r w:rsidRPr="00A92A42">
        <w:rPr>
          <w:bCs w:val="0"/>
          <w:color w:val="FF0000"/>
          <w:u w:val="single"/>
        </w:rPr>
        <w:t>C.</w:t>
      </w:r>
      <w:r w:rsidR="005F01EE" w:rsidRPr="00A92A42">
        <w:rPr>
          <w:bCs w:val="0"/>
          <w:color w:val="FF0000"/>
          <w:u w:val="single"/>
        </w:rPr>
        <w:t>3</w:t>
      </w:r>
      <w:r w:rsidRPr="0020013E">
        <w:rPr>
          <w:bCs w:val="0"/>
          <w:u w:val="single"/>
        </w:rPr>
        <w:t>(2)</w:t>
      </w:r>
    </w:p>
    <w:p w14:paraId="414ED4F0" w14:textId="0937FC8C" w:rsidR="0024234B" w:rsidRPr="0020013E" w:rsidRDefault="0024234B" w:rsidP="0024234B">
      <w:pPr>
        <w:pStyle w:val="four"/>
        <w:numPr>
          <w:ilvl w:val="3"/>
          <w:numId w:val="0"/>
        </w:numPr>
        <w:ind w:left="360"/>
        <w:rPr>
          <w:bCs w:val="0"/>
          <w:u w:val="single"/>
        </w:rPr>
      </w:pPr>
      <w:r w:rsidRPr="0020013E">
        <w:rPr>
          <w:bCs w:val="0"/>
          <w:u w:val="single"/>
        </w:rPr>
        <w:tab/>
      </w:r>
      <w:proofErr w:type="spellStart"/>
      <w:r w:rsidRPr="0020013E">
        <w:rPr>
          <w:bCs w:val="0"/>
          <w:u w:val="single"/>
        </w:rPr>
        <w:t>T</w:t>
      </w:r>
      <w:r w:rsidRPr="0020013E">
        <w:rPr>
          <w:bCs w:val="0"/>
          <w:u w:val="single"/>
          <w:vertAlign w:val="subscript"/>
        </w:rPr>
        <w:t>space</w:t>
      </w:r>
      <w:proofErr w:type="spellEnd"/>
      <w:r w:rsidRPr="0020013E">
        <w:rPr>
          <w:bCs w:val="0"/>
          <w:u w:val="single"/>
        </w:rPr>
        <w:t xml:space="preserve"> = Temperature </w:t>
      </w:r>
      <w:r w:rsidR="004C6D0C" w:rsidRPr="0020013E">
        <w:rPr>
          <w:bCs w:val="0"/>
          <w:u w:val="single"/>
        </w:rPr>
        <w:t>of the space where the refrigerator is located</w:t>
      </w:r>
      <w:r w:rsidR="00656E0D">
        <w:rPr>
          <w:bCs w:val="0"/>
          <w:color w:val="FF0000"/>
        </w:rPr>
        <w:t>,</w:t>
      </w:r>
      <w:r w:rsidR="000D629A" w:rsidRPr="00767F23">
        <w:rPr>
          <w:bCs w:val="0"/>
          <w:color w:val="FF0000"/>
          <w:u w:val="single"/>
        </w:rPr>
        <w:t xml:space="preserve"> </w:t>
      </w:r>
      <w:r w:rsidR="00656E0D">
        <w:rPr>
          <w:bCs w:val="0"/>
          <w:color w:val="FF0000"/>
          <w:u w:val="single"/>
        </w:rPr>
        <w:t>(</w:t>
      </w:r>
      <w:r w:rsidR="000D629A" w:rsidRPr="00767F23">
        <w:rPr>
          <w:bCs w:val="0"/>
          <w:color w:val="FF0000"/>
          <w:u w:val="single"/>
        </w:rPr>
        <w:t>in °F</w:t>
      </w:r>
      <w:r w:rsidR="00656E0D">
        <w:rPr>
          <w:bCs w:val="0"/>
          <w:color w:val="FF0000"/>
          <w:u w:val="single"/>
        </w:rPr>
        <w:t>)</w:t>
      </w:r>
    </w:p>
    <w:p w14:paraId="7CF631BB" w14:textId="77777777" w:rsidR="0024234B" w:rsidRPr="0020013E" w:rsidRDefault="0024234B" w:rsidP="000B287F">
      <w:pPr>
        <w:pStyle w:val="four"/>
        <w:numPr>
          <w:ilvl w:val="3"/>
          <w:numId w:val="0"/>
        </w:numPr>
        <w:ind w:left="360"/>
        <w:rPr>
          <w:bCs w:val="0"/>
          <w:u w:val="single"/>
        </w:rPr>
      </w:pPr>
    </w:p>
    <w:p w14:paraId="02FCF6EF" w14:textId="5DCE9B3A" w:rsidR="000B287F" w:rsidRPr="0020013E" w:rsidRDefault="00E150CF" w:rsidP="000B287F">
      <w:pPr>
        <w:pStyle w:val="four"/>
        <w:numPr>
          <w:ilvl w:val="3"/>
          <w:numId w:val="0"/>
        </w:numPr>
        <w:ind w:left="360"/>
        <w:rPr>
          <w:bCs w:val="0"/>
          <w:u w:val="single"/>
        </w:rPr>
      </w:pPr>
      <w:r w:rsidRPr="0020013E">
        <w:rPr>
          <w:bCs w:val="0"/>
          <w:u w:val="single"/>
        </w:rPr>
        <w:t xml:space="preserve">Hourly </w:t>
      </w:r>
      <w:r w:rsidR="00EA069A" w:rsidRPr="0020013E">
        <w:rPr>
          <w:bCs w:val="0"/>
          <w:u w:val="single"/>
        </w:rPr>
        <w:t>Internal Gains associated with Lighting, Applia</w:t>
      </w:r>
      <w:r w:rsidR="007517C0" w:rsidRPr="0020013E">
        <w:rPr>
          <w:bCs w:val="0"/>
          <w:u w:val="single"/>
        </w:rPr>
        <w:t>n</w:t>
      </w:r>
      <w:r w:rsidR="00EA069A" w:rsidRPr="0020013E">
        <w:rPr>
          <w:bCs w:val="0"/>
          <w:u w:val="single"/>
        </w:rPr>
        <w:t>ces, and Miscellaneous Energy Loads</w:t>
      </w:r>
      <w:r w:rsidRPr="0020013E">
        <w:rPr>
          <w:bCs w:val="0"/>
          <w:u w:val="single"/>
        </w:rPr>
        <w:t xml:space="preserve"> shall be determined by </w:t>
      </w:r>
      <w:r w:rsidR="00AB0B7E" w:rsidRPr="0020013E">
        <w:rPr>
          <w:bCs w:val="0"/>
          <w:u w:val="single"/>
        </w:rPr>
        <w:t xml:space="preserve">applying </w:t>
      </w:r>
      <w:r w:rsidR="00BB68A0" w:rsidRPr="0020013E">
        <w:rPr>
          <w:bCs w:val="0"/>
          <w:u w:val="single"/>
        </w:rPr>
        <w:t xml:space="preserve">the </w:t>
      </w:r>
      <w:r w:rsidR="003603F7" w:rsidRPr="0020013E">
        <w:rPr>
          <w:bCs w:val="0"/>
          <w:u w:val="single"/>
        </w:rPr>
        <w:t xml:space="preserve">values of </w:t>
      </w:r>
      <w:proofErr w:type="spellStart"/>
      <w:r w:rsidR="003603F7" w:rsidRPr="0020013E">
        <w:rPr>
          <w:bCs w:val="0"/>
          <w:u w:val="single"/>
        </w:rPr>
        <w:t>f</w:t>
      </w:r>
      <w:r w:rsidR="00B82704" w:rsidRPr="0020013E">
        <w:rPr>
          <w:bCs w:val="0"/>
          <w:u w:val="single"/>
          <w:vertAlign w:val="subscript"/>
        </w:rPr>
        <w:t>internal</w:t>
      </w:r>
      <w:proofErr w:type="spellEnd"/>
      <w:r w:rsidR="003603F7" w:rsidRPr="0020013E">
        <w:rPr>
          <w:bCs w:val="0"/>
          <w:u w:val="single"/>
        </w:rPr>
        <w:t xml:space="preserve">, </w:t>
      </w:r>
      <w:proofErr w:type="spellStart"/>
      <w:r w:rsidR="003603F7" w:rsidRPr="0020013E">
        <w:rPr>
          <w:bCs w:val="0"/>
          <w:u w:val="single"/>
        </w:rPr>
        <w:t>f</w:t>
      </w:r>
      <w:r w:rsidR="003603F7" w:rsidRPr="0020013E">
        <w:rPr>
          <w:bCs w:val="0"/>
          <w:u w:val="single"/>
          <w:vertAlign w:val="subscript"/>
        </w:rPr>
        <w:t>sensible</w:t>
      </w:r>
      <w:proofErr w:type="spellEnd"/>
      <w:r w:rsidR="003603F7" w:rsidRPr="0020013E">
        <w:rPr>
          <w:bCs w:val="0"/>
          <w:u w:val="single"/>
        </w:rPr>
        <w:t xml:space="preserve"> associated with the end use.</w:t>
      </w:r>
      <w:r w:rsidR="00BF5D54" w:rsidRPr="0020013E">
        <w:rPr>
          <w:bCs w:val="0"/>
          <w:u w:val="single"/>
        </w:rPr>
        <w:t xml:space="preserve"> The total Internal Gain associated with an end use </w:t>
      </w:r>
      <w:r w:rsidR="0002572A" w:rsidRPr="0020013E">
        <w:rPr>
          <w:bCs w:val="0"/>
          <w:u w:val="single"/>
        </w:rPr>
        <w:t xml:space="preserve">energy </w:t>
      </w:r>
      <w:r w:rsidR="00E819C0" w:rsidRPr="0020013E">
        <w:rPr>
          <w:bCs w:val="0"/>
          <w:u w:val="single"/>
        </w:rPr>
        <w:t>is</w:t>
      </w:r>
      <w:r w:rsidR="0002572A" w:rsidRPr="0020013E">
        <w:rPr>
          <w:bCs w:val="0"/>
          <w:u w:val="single"/>
        </w:rPr>
        <w:t xml:space="preserve"> determined by</w:t>
      </w:r>
      <w:r w:rsidR="00E819C0" w:rsidRPr="0020013E">
        <w:rPr>
          <w:bCs w:val="0"/>
          <w:u w:val="single"/>
        </w:rPr>
        <w:t xml:space="preserve"> </w:t>
      </w:r>
      <w:proofErr w:type="spellStart"/>
      <w:r w:rsidR="00B82704" w:rsidRPr="0020013E">
        <w:rPr>
          <w:bCs w:val="0"/>
          <w:u w:val="single"/>
        </w:rPr>
        <w:t>f</w:t>
      </w:r>
      <w:r w:rsidR="00B82704" w:rsidRPr="0020013E">
        <w:rPr>
          <w:bCs w:val="0"/>
          <w:u w:val="single"/>
          <w:vertAlign w:val="subscript"/>
        </w:rPr>
        <w:t>internal</w:t>
      </w:r>
      <w:proofErr w:type="spellEnd"/>
      <w:r w:rsidR="00E819C0" w:rsidRPr="0020013E">
        <w:rPr>
          <w:bCs w:val="0"/>
          <w:u w:val="single"/>
        </w:rPr>
        <w:t>. The Internal Gain is then split into sensible (</w:t>
      </w:r>
      <w:proofErr w:type="spellStart"/>
      <w:r w:rsidR="00E819C0" w:rsidRPr="0020013E">
        <w:rPr>
          <w:bCs w:val="0"/>
          <w:u w:val="single"/>
        </w:rPr>
        <w:t>f</w:t>
      </w:r>
      <w:r w:rsidR="00E819C0" w:rsidRPr="0020013E">
        <w:rPr>
          <w:bCs w:val="0"/>
          <w:u w:val="single"/>
          <w:vertAlign w:val="subscript"/>
        </w:rPr>
        <w:t>sensible</w:t>
      </w:r>
      <w:proofErr w:type="spellEnd"/>
      <w:r w:rsidR="00E819C0" w:rsidRPr="0020013E">
        <w:rPr>
          <w:bCs w:val="0"/>
          <w:u w:val="single"/>
        </w:rPr>
        <w:t xml:space="preserve">) and latent (1 – </w:t>
      </w:r>
      <w:proofErr w:type="spellStart"/>
      <w:r w:rsidR="00E819C0" w:rsidRPr="0020013E">
        <w:rPr>
          <w:bCs w:val="0"/>
          <w:u w:val="single"/>
        </w:rPr>
        <w:t>f</w:t>
      </w:r>
      <w:r w:rsidR="00E819C0" w:rsidRPr="0020013E">
        <w:rPr>
          <w:bCs w:val="0"/>
          <w:u w:val="single"/>
          <w:vertAlign w:val="subscript"/>
        </w:rPr>
        <w:t>sensible</w:t>
      </w:r>
      <w:proofErr w:type="spellEnd"/>
      <w:r w:rsidR="00E819C0" w:rsidRPr="0020013E">
        <w:rPr>
          <w:bCs w:val="0"/>
          <w:u w:val="single"/>
        </w:rPr>
        <w:t>) portions.</w:t>
      </w:r>
    </w:p>
    <w:p w14:paraId="325E5215" w14:textId="77777777" w:rsidR="008F1DC1" w:rsidRPr="0020013E" w:rsidRDefault="008F1DC1" w:rsidP="008F1DC1">
      <w:pPr>
        <w:tabs>
          <w:tab w:val="left" w:pos="748"/>
        </w:tabs>
        <w:ind w:left="720"/>
        <w:rPr>
          <w:b/>
        </w:rPr>
      </w:pPr>
    </w:p>
    <w:p w14:paraId="677FAD11" w14:textId="417BD06D" w:rsidR="008F1DC1" w:rsidRPr="0020013E" w:rsidRDefault="00BF1280" w:rsidP="00A97FD3">
      <w:pPr>
        <w:pStyle w:val="five"/>
        <w:numPr>
          <w:ilvl w:val="0"/>
          <w:numId w:val="0"/>
        </w:numPr>
        <w:ind w:left="720"/>
        <w:rPr>
          <w:b/>
        </w:rPr>
      </w:pPr>
      <w:bookmarkStart w:id="56" w:name="_Ref495403976"/>
      <w:r w:rsidRPr="0020013E">
        <w:rPr>
          <w:b/>
        </w:rPr>
        <w:t xml:space="preserve">4.2.2.7.1.  </w:t>
      </w:r>
      <w:r w:rsidR="008F1DC1" w:rsidRPr="0020013E">
        <w:rPr>
          <w:b/>
        </w:rPr>
        <w:t>Energy Rating Reference Home.</w:t>
      </w:r>
      <w:r w:rsidR="008F1DC1" w:rsidRPr="0020013E">
        <w:t xml:space="preserve">  </w:t>
      </w:r>
      <w:r w:rsidR="005560B0" w:rsidRPr="0020013E">
        <w:rPr>
          <w:u w:val="single"/>
        </w:rPr>
        <w:t xml:space="preserve">Annual Energy and Internal Gains for </w:t>
      </w:r>
      <w:r w:rsidR="008F1DC1" w:rsidRPr="0020013E">
        <w:t xml:space="preserve">Lighting, </w:t>
      </w:r>
      <w:r w:rsidR="000029D7" w:rsidRPr="0020013E">
        <w:t>A</w:t>
      </w:r>
      <w:r w:rsidR="008F1DC1" w:rsidRPr="0020013E">
        <w:t xml:space="preserve">ppliance and </w:t>
      </w:r>
      <w:r w:rsidR="00DF22B2" w:rsidRPr="0020013E">
        <w:t>M</w:t>
      </w:r>
      <w:r w:rsidR="008F1DC1" w:rsidRPr="0020013E">
        <w:t xml:space="preserve">iscellaneous </w:t>
      </w:r>
      <w:r w:rsidR="00DF22B2" w:rsidRPr="0020013E">
        <w:t>Energy</w:t>
      </w:r>
      <w:r w:rsidR="008F1DC1" w:rsidRPr="0020013E">
        <w:t xml:space="preserve"> </w:t>
      </w:r>
      <w:r w:rsidR="00DF22B2" w:rsidRPr="0020013E">
        <w:t>L</w:t>
      </w:r>
      <w:r w:rsidR="008F1DC1" w:rsidRPr="0020013E">
        <w:t>oads in the Energy Rating Reference Home shall be determined in accordance with the values provided in Table 4.2.2.</w:t>
      </w:r>
      <w:r w:rsidR="008F1DC1" w:rsidRPr="0020013E">
        <w:rPr>
          <w:strike/>
        </w:rPr>
        <w:t>5</w:t>
      </w:r>
      <w:r w:rsidR="00DA5D5C" w:rsidRPr="0020013E">
        <w:rPr>
          <w:u w:val="single"/>
        </w:rPr>
        <w:t>7</w:t>
      </w:r>
      <w:r w:rsidR="008F1DC1" w:rsidRPr="0020013E">
        <w:t>(1) and Table 4.2.2.</w:t>
      </w:r>
      <w:r w:rsidR="008F1DC1" w:rsidRPr="0020013E">
        <w:rPr>
          <w:strike/>
        </w:rPr>
        <w:t>5</w:t>
      </w:r>
      <w:r w:rsidR="00DA5D5C" w:rsidRPr="0020013E">
        <w:rPr>
          <w:u w:val="single"/>
        </w:rPr>
        <w:t>7</w:t>
      </w:r>
      <w:r w:rsidR="008F1DC1" w:rsidRPr="0020013E">
        <w:t>(2)</w:t>
      </w:r>
      <w:r w:rsidR="007D1EA7" w:rsidRPr="0020013E">
        <w:rPr>
          <w:u w:val="single"/>
        </w:rPr>
        <w:t xml:space="preserve"> and Table 4.2.2.7(3)</w:t>
      </w:r>
      <w:r w:rsidR="008F1DC1" w:rsidRPr="0020013E">
        <w:t xml:space="preserve">, as appropriate, and Equation </w:t>
      </w:r>
      <w:r w:rsidR="00885C17" w:rsidRPr="0020013E">
        <w:t>4.2-28</w:t>
      </w:r>
      <w:r w:rsidR="008F1DC1" w:rsidRPr="0020013E">
        <w:t>:</w:t>
      </w:r>
      <w:bookmarkEnd w:id="56"/>
      <w:r w:rsidR="003C228B" w:rsidRPr="0020013E">
        <w:rPr>
          <w:b/>
          <w:vertAlign w:val="superscript"/>
        </w:rPr>
        <w:t xml:space="preserve"> </w:t>
      </w:r>
      <w:r w:rsidR="00DC54A7" w:rsidRPr="00DC54A7">
        <w:rPr>
          <w:b/>
          <w:color w:val="0070C0"/>
          <w:vertAlign w:val="superscript"/>
        </w:rPr>
        <w:t>(1)</w:t>
      </w:r>
    </w:p>
    <w:p w14:paraId="281F6348" w14:textId="77777777" w:rsidR="008F1DC1" w:rsidRPr="0020013E" w:rsidRDefault="008F1DC1" w:rsidP="008F1DC1">
      <w:pPr>
        <w:ind w:left="360"/>
      </w:pPr>
    </w:p>
    <w:p w14:paraId="57308F88" w14:textId="4EB123C1" w:rsidR="008F1DC1" w:rsidRPr="0020013E" w:rsidRDefault="008F1DC1" w:rsidP="007465D1">
      <w:pPr>
        <w:tabs>
          <w:tab w:val="left" w:pos="1890"/>
          <w:tab w:val="right" w:pos="9360"/>
        </w:tabs>
        <w:ind w:left="1620"/>
        <w:rPr>
          <w:b/>
        </w:rPr>
      </w:pPr>
      <w:r w:rsidRPr="0020013E">
        <w:rPr>
          <w:bCs/>
          <w:strike/>
        </w:rPr>
        <w:t xml:space="preserve">kWh (or </w:t>
      </w:r>
      <w:proofErr w:type="spellStart"/>
      <w:r w:rsidRPr="0020013E">
        <w:rPr>
          <w:bCs/>
          <w:strike/>
        </w:rPr>
        <w:t>therms</w:t>
      </w:r>
      <w:proofErr w:type="spellEnd"/>
      <w:r w:rsidRPr="0020013E">
        <w:rPr>
          <w:bCs/>
          <w:strike/>
        </w:rPr>
        <w:t xml:space="preserve">) per year = </w:t>
      </w:r>
      <w:r w:rsidR="0034303C" w:rsidRPr="0020013E">
        <w:rPr>
          <w:bCs/>
          <w:u w:val="single"/>
        </w:rPr>
        <w:t xml:space="preserve">Energy </w:t>
      </w:r>
      <w:r w:rsidR="00DF4117" w:rsidRPr="0020013E">
        <w:rPr>
          <w:bCs/>
          <w:u w:val="single"/>
        </w:rPr>
        <w:t>or</w:t>
      </w:r>
      <w:r w:rsidR="0034303C" w:rsidRPr="0020013E">
        <w:rPr>
          <w:bCs/>
          <w:u w:val="single"/>
        </w:rPr>
        <w:t xml:space="preserve"> Internal Gains = </w:t>
      </w:r>
      <w:r w:rsidRPr="0020013E">
        <w:rPr>
          <w:bCs/>
        </w:rPr>
        <w:t>a + b*CFA + c*</w:t>
      </w:r>
      <w:proofErr w:type="spellStart"/>
      <w:r w:rsidRPr="0020013E">
        <w:rPr>
          <w:bCs/>
        </w:rPr>
        <w:t>Nbr</w:t>
      </w:r>
      <w:proofErr w:type="spellEnd"/>
      <w:r w:rsidRPr="0020013E">
        <w:rPr>
          <w:b/>
        </w:rPr>
        <w:tab/>
      </w:r>
      <w:r w:rsidR="007465D1">
        <w:rPr>
          <w:b/>
        </w:rPr>
        <w:tab/>
      </w:r>
      <w:r w:rsidR="007465D1">
        <w:rPr>
          <w:b/>
        </w:rPr>
        <w:tab/>
      </w:r>
      <w:r w:rsidRPr="0020013E">
        <w:rPr>
          <w:b/>
        </w:rPr>
        <w:t>(</w:t>
      </w:r>
      <w:r w:rsidR="00A25E21" w:rsidRPr="0020013E">
        <w:rPr>
          <w:b/>
        </w:rPr>
        <w:t>Equation</w:t>
      </w:r>
      <w:r w:rsidRPr="0020013E">
        <w:rPr>
          <w:b/>
        </w:rPr>
        <w:t xml:space="preserve"> 4.2-</w:t>
      </w:r>
      <w:r w:rsidR="00FB0C85" w:rsidRPr="0020013E">
        <w:rPr>
          <w:b/>
        </w:rPr>
        <w:t>28</w:t>
      </w:r>
      <w:r w:rsidRPr="0020013E">
        <w:rPr>
          <w:b/>
        </w:rPr>
        <w:t>)</w:t>
      </w:r>
      <w:r w:rsidR="003C228B" w:rsidRPr="0020013E">
        <w:rPr>
          <w:b/>
          <w:vertAlign w:val="superscript"/>
        </w:rPr>
        <w:t xml:space="preserve"> </w:t>
      </w:r>
      <w:r w:rsidR="00DC54A7" w:rsidRPr="00DC54A7">
        <w:rPr>
          <w:b/>
          <w:color w:val="0070C0"/>
          <w:vertAlign w:val="superscript"/>
        </w:rPr>
        <w:t>(1)</w:t>
      </w:r>
    </w:p>
    <w:p w14:paraId="7CFF2E18" w14:textId="77777777" w:rsidR="008F1DC1" w:rsidRPr="0020013E" w:rsidRDefault="008F1DC1" w:rsidP="008F1DC1">
      <w:pPr>
        <w:ind w:left="720"/>
      </w:pPr>
    </w:p>
    <w:p w14:paraId="649838D1" w14:textId="77777777" w:rsidR="008F1DC1" w:rsidRPr="0020013E" w:rsidRDefault="008F1DC1" w:rsidP="00DE6436">
      <w:pPr>
        <w:pStyle w:val="where1"/>
        <w:ind w:left="2520"/>
      </w:pPr>
      <w:r w:rsidRPr="0020013E">
        <w:t>where:</w:t>
      </w:r>
    </w:p>
    <w:p w14:paraId="3EC88B8F" w14:textId="57E980EF" w:rsidR="008F1DC1" w:rsidRPr="0020013E" w:rsidRDefault="008F1DC1" w:rsidP="00DE6436">
      <w:pPr>
        <w:pStyle w:val="where1"/>
        <w:ind w:left="2520"/>
      </w:pPr>
      <w:r w:rsidRPr="0020013E">
        <w:rPr>
          <w:i/>
        </w:rPr>
        <w:t>a</w:t>
      </w:r>
      <w:r w:rsidRPr="0020013E">
        <w:t xml:space="preserve">, </w:t>
      </w:r>
      <w:r w:rsidRPr="0020013E">
        <w:rPr>
          <w:i/>
        </w:rPr>
        <w:t>b</w:t>
      </w:r>
      <w:r w:rsidRPr="0020013E">
        <w:t xml:space="preserve">, and </w:t>
      </w:r>
      <w:r w:rsidRPr="0020013E">
        <w:rPr>
          <w:i/>
        </w:rPr>
        <w:t>c</w:t>
      </w:r>
      <w:r w:rsidRPr="0020013E">
        <w:t xml:space="preserve"> are values provided in Table 4.2.2.</w:t>
      </w:r>
      <w:r w:rsidRPr="0020013E">
        <w:rPr>
          <w:strike/>
        </w:rPr>
        <w:t>5</w:t>
      </w:r>
      <w:r w:rsidR="00DA5D5C" w:rsidRPr="0020013E">
        <w:rPr>
          <w:u w:val="single"/>
        </w:rPr>
        <w:t>7</w:t>
      </w:r>
      <w:r w:rsidRPr="0020013E">
        <w:t>(1) and Table 4.2.2.</w:t>
      </w:r>
      <w:r w:rsidRPr="0020013E">
        <w:rPr>
          <w:strike/>
        </w:rPr>
        <w:t>5</w:t>
      </w:r>
      <w:r w:rsidR="00DA5D5C" w:rsidRPr="0020013E">
        <w:rPr>
          <w:u w:val="single"/>
        </w:rPr>
        <w:t>7</w:t>
      </w:r>
      <w:r w:rsidRPr="0020013E">
        <w:t>(2)</w:t>
      </w:r>
      <w:r w:rsidR="009848C5" w:rsidRPr="0020013E">
        <w:rPr>
          <w:u w:val="single"/>
        </w:rPr>
        <w:t xml:space="preserve"> and Table 4.2.2.7(3)</w:t>
      </w:r>
      <w:r w:rsidR="003C228B" w:rsidRPr="0020013E">
        <w:rPr>
          <w:b/>
          <w:vertAlign w:val="superscript"/>
        </w:rPr>
        <w:t xml:space="preserve"> </w:t>
      </w:r>
      <w:r w:rsidR="00DC54A7" w:rsidRPr="00DC54A7">
        <w:rPr>
          <w:b/>
          <w:color w:val="0070C0"/>
          <w:vertAlign w:val="superscript"/>
        </w:rPr>
        <w:t>(1)</w:t>
      </w:r>
    </w:p>
    <w:p w14:paraId="2E9EBA6D" w14:textId="4D15A12A" w:rsidR="008F1DC1" w:rsidRPr="0020013E" w:rsidRDefault="00A80385" w:rsidP="00DE6436">
      <w:pPr>
        <w:pStyle w:val="equals"/>
        <w:ind w:left="3600" w:hanging="864"/>
      </w:pPr>
      <w:r w:rsidRPr="0020013E">
        <w:t>CFA</w:t>
      </w:r>
      <w:r w:rsidRPr="0020013E">
        <w:tab/>
      </w:r>
      <w:r w:rsidR="008F1DC1" w:rsidRPr="0020013E">
        <w:t>= Conditioned Floor Area</w:t>
      </w:r>
    </w:p>
    <w:p w14:paraId="1A62BA65" w14:textId="66C0064F" w:rsidR="008F1DC1" w:rsidRPr="0020013E" w:rsidRDefault="00187F28" w:rsidP="00DE6436">
      <w:pPr>
        <w:pStyle w:val="equals"/>
        <w:ind w:left="3600" w:hanging="864"/>
        <w:rPr>
          <w:u w:val="single"/>
        </w:rPr>
      </w:pPr>
      <w:proofErr w:type="spellStart"/>
      <w:r w:rsidRPr="0020013E">
        <w:t>Nbr</w:t>
      </w:r>
      <w:proofErr w:type="spellEnd"/>
      <w:r w:rsidRPr="0020013E">
        <w:tab/>
      </w:r>
      <w:r w:rsidR="008F1DC1" w:rsidRPr="0020013E">
        <w:t>= number of Bedrooms</w:t>
      </w:r>
    </w:p>
    <w:p w14:paraId="3068A126" w14:textId="77777777" w:rsidR="008F484C" w:rsidRPr="0020013E" w:rsidRDefault="008F484C" w:rsidP="008F484C">
      <w:pPr>
        <w:pStyle w:val="equals"/>
        <w:ind w:left="0" w:firstLine="0"/>
        <w:rPr>
          <w:u w:val="single"/>
        </w:rPr>
      </w:pPr>
    </w:p>
    <w:p w14:paraId="67E0B8D5" w14:textId="218BEEE9" w:rsidR="002220B5" w:rsidRPr="0020013E" w:rsidRDefault="005560B0" w:rsidP="00581A21">
      <w:pPr>
        <w:pStyle w:val="equals"/>
        <w:ind w:left="720" w:firstLine="0"/>
      </w:pPr>
      <w:proofErr w:type="gramStart"/>
      <w:r w:rsidRPr="0020013E">
        <w:rPr>
          <w:u w:val="single"/>
        </w:rPr>
        <w:t>With the exception of</w:t>
      </w:r>
      <w:proofErr w:type="gramEnd"/>
      <w:r w:rsidRPr="0020013E">
        <w:rPr>
          <w:u w:val="single"/>
        </w:rPr>
        <w:t xml:space="preserve"> Exterior lighting, all relevant End Use Components in Tables 4.2.2.7(1), 4.2.2.7(2), and 4.2.2.7(3) are located within the CSV of the Energy Rating Reference Home.</w:t>
      </w:r>
      <w:r w:rsidR="003C228B" w:rsidRPr="0020013E">
        <w:rPr>
          <w:b/>
          <w:vertAlign w:val="superscript"/>
        </w:rPr>
        <w:t xml:space="preserve"> </w:t>
      </w:r>
      <w:r w:rsidR="00DC54A7" w:rsidRPr="00DC54A7">
        <w:rPr>
          <w:b/>
          <w:color w:val="0070C0"/>
          <w:vertAlign w:val="superscript"/>
        </w:rPr>
        <w:t>(1)</w:t>
      </w:r>
    </w:p>
    <w:p w14:paraId="58958384" w14:textId="77777777" w:rsidR="008F1DC1" w:rsidRPr="0020013E" w:rsidRDefault="008F1DC1" w:rsidP="008F1DC1">
      <w:pPr>
        <w:ind w:left="540"/>
        <w:rPr>
          <w:b/>
        </w:rPr>
      </w:pPr>
    </w:p>
    <w:p w14:paraId="49536A95" w14:textId="77777777" w:rsidR="000A4D41" w:rsidRPr="0020013E" w:rsidRDefault="000A4D41" w:rsidP="008F1DC1">
      <w:pPr>
        <w:ind w:left="540"/>
        <w:rPr>
          <w:b/>
        </w:rPr>
      </w:pPr>
    </w:p>
    <w:p w14:paraId="2CD26DA2" w14:textId="77777777" w:rsidR="00A97FD3" w:rsidRPr="0020013E" w:rsidRDefault="00A97FD3" w:rsidP="00E45002">
      <w:pPr>
        <w:pStyle w:val="ListParagraph"/>
        <w:numPr>
          <w:ilvl w:val="3"/>
          <w:numId w:val="15"/>
        </w:numPr>
        <w:tabs>
          <w:tab w:val="num" w:pos="1296"/>
          <w:tab w:val="num" w:pos="1800"/>
        </w:tabs>
        <w:spacing w:after="120"/>
        <w:outlineLvl w:val="2"/>
        <w:rPr>
          <w:b/>
          <w:bCs/>
          <w:vanish/>
        </w:rPr>
      </w:pPr>
    </w:p>
    <w:p w14:paraId="57CFBB96" w14:textId="77777777" w:rsidR="00A97FD3" w:rsidRPr="0020013E" w:rsidRDefault="00A97FD3" w:rsidP="00E45002">
      <w:pPr>
        <w:pStyle w:val="ListParagraph"/>
        <w:numPr>
          <w:ilvl w:val="3"/>
          <w:numId w:val="15"/>
        </w:numPr>
        <w:tabs>
          <w:tab w:val="num" w:pos="1296"/>
          <w:tab w:val="num" w:pos="1800"/>
        </w:tabs>
        <w:spacing w:after="120"/>
        <w:outlineLvl w:val="2"/>
        <w:rPr>
          <w:b/>
          <w:bCs/>
          <w:vanish/>
        </w:rPr>
      </w:pPr>
    </w:p>
    <w:p w14:paraId="0A4ABD26" w14:textId="77777777" w:rsidR="00A97FD3" w:rsidRPr="0020013E" w:rsidRDefault="00A97FD3" w:rsidP="00E45002">
      <w:pPr>
        <w:pStyle w:val="ListParagraph"/>
        <w:numPr>
          <w:ilvl w:val="3"/>
          <w:numId w:val="15"/>
        </w:numPr>
        <w:tabs>
          <w:tab w:val="num" w:pos="1296"/>
          <w:tab w:val="num" w:pos="1800"/>
        </w:tabs>
        <w:spacing w:after="120"/>
        <w:outlineLvl w:val="2"/>
        <w:rPr>
          <w:b/>
          <w:bCs/>
          <w:vanish/>
        </w:rPr>
      </w:pPr>
    </w:p>
    <w:p w14:paraId="71045170" w14:textId="77777777" w:rsidR="00A97FD3" w:rsidRPr="0020013E" w:rsidRDefault="00A97FD3" w:rsidP="00E45002">
      <w:pPr>
        <w:pStyle w:val="ListParagraph"/>
        <w:numPr>
          <w:ilvl w:val="3"/>
          <w:numId w:val="15"/>
        </w:numPr>
        <w:tabs>
          <w:tab w:val="num" w:pos="1296"/>
          <w:tab w:val="num" w:pos="1800"/>
        </w:tabs>
        <w:spacing w:after="120"/>
        <w:outlineLvl w:val="2"/>
        <w:rPr>
          <w:b/>
          <w:bCs/>
          <w:vanish/>
        </w:rPr>
      </w:pPr>
    </w:p>
    <w:p w14:paraId="3A613429" w14:textId="77777777" w:rsidR="00A97FD3" w:rsidRPr="0020013E" w:rsidRDefault="00A97FD3" w:rsidP="00E45002">
      <w:pPr>
        <w:pStyle w:val="ListParagraph"/>
        <w:numPr>
          <w:ilvl w:val="4"/>
          <w:numId w:val="15"/>
        </w:numPr>
        <w:tabs>
          <w:tab w:val="num" w:pos="1800"/>
        </w:tabs>
        <w:spacing w:after="120"/>
        <w:outlineLvl w:val="2"/>
        <w:rPr>
          <w:b/>
          <w:bCs/>
          <w:vanish/>
        </w:rPr>
      </w:pPr>
    </w:p>
    <w:p w14:paraId="7AE33C16" w14:textId="480ED0C6" w:rsidR="008F1DC1" w:rsidRPr="0020013E" w:rsidRDefault="00455F74" w:rsidP="00671DAC">
      <w:pPr>
        <w:pStyle w:val="sixth"/>
        <w:numPr>
          <w:ilvl w:val="0"/>
          <w:numId w:val="0"/>
        </w:numPr>
        <w:tabs>
          <w:tab w:val="num" w:pos="1800"/>
          <w:tab w:val="num" w:pos="2304"/>
        </w:tabs>
        <w:ind w:left="1080"/>
      </w:pPr>
      <w:proofErr w:type="gramStart"/>
      <w:r w:rsidRPr="0020013E">
        <w:rPr>
          <w:b/>
        </w:rPr>
        <w:t xml:space="preserve">4.2.2.7.1.1  </w:t>
      </w:r>
      <w:r w:rsidR="008F1DC1" w:rsidRPr="0020013E">
        <w:rPr>
          <w:b/>
        </w:rPr>
        <w:t>Electric</w:t>
      </w:r>
      <w:proofErr w:type="gramEnd"/>
      <w:r w:rsidR="008F1DC1" w:rsidRPr="0020013E">
        <w:rPr>
          <w:b/>
        </w:rPr>
        <w:t xml:space="preserve"> </w:t>
      </w:r>
      <w:r w:rsidR="008F7D4A" w:rsidRPr="0020013E">
        <w:rPr>
          <w:b/>
          <w:u w:val="single"/>
        </w:rPr>
        <w:t xml:space="preserve">Lighting and </w:t>
      </w:r>
      <w:r w:rsidR="008F1DC1" w:rsidRPr="0020013E">
        <w:rPr>
          <w:b/>
          <w:strike/>
        </w:rPr>
        <w:t xml:space="preserve">Reference </w:t>
      </w:r>
      <w:proofErr w:type="spellStart"/>
      <w:r w:rsidR="008F1DC1" w:rsidRPr="0020013E">
        <w:rPr>
          <w:b/>
          <w:strike/>
        </w:rPr>
        <w:t>Homes</w:t>
      </w:r>
      <w:r w:rsidR="00F65D88" w:rsidRPr="0020013E">
        <w:rPr>
          <w:b/>
          <w:u w:val="single"/>
        </w:rPr>
        <w:t>Appliances</w:t>
      </w:r>
      <w:proofErr w:type="spellEnd"/>
      <w:r w:rsidR="008F1DC1" w:rsidRPr="0020013E">
        <w:rPr>
          <w:b/>
        </w:rPr>
        <w:t>.</w:t>
      </w:r>
      <w:r w:rsidR="004D298A" w:rsidRPr="0020013E">
        <w:t xml:space="preserve"> </w:t>
      </w:r>
      <w:r w:rsidR="008F1DC1" w:rsidRPr="0020013E">
        <w:t xml:space="preserve">Where the Rated Home has electric appliances, the </w:t>
      </w:r>
      <w:r w:rsidR="008F1DC1" w:rsidRPr="0020013E">
        <w:rPr>
          <w:rFonts w:eastAsia="MS Gothic"/>
          <w:kern w:val="24"/>
        </w:rPr>
        <w:t>Energy</w:t>
      </w:r>
      <w:r w:rsidR="008F1DC1" w:rsidRPr="0020013E">
        <w:t xml:space="preserve"> Rating Reference Home lighting, appliance and </w:t>
      </w:r>
      <w:r w:rsidR="000029D7" w:rsidRPr="0020013E">
        <w:t>M</w:t>
      </w:r>
      <w:r w:rsidR="008F1DC1" w:rsidRPr="0020013E">
        <w:t>iscellaneous</w:t>
      </w:r>
      <w:r w:rsidR="006A091D" w:rsidRPr="0020013E">
        <w:t xml:space="preserve"> </w:t>
      </w:r>
      <w:r w:rsidR="000029D7" w:rsidRPr="0020013E">
        <w:t>Energy</w:t>
      </w:r>
      <w:r w:rsidR="008F1DC1" w:rsidRPr="0020013E">
        <w:t xml:space="preserve"> </w:t>
      </w:r>
      <w:r w:rsidR="000029D7" w:rsidRPr="0020013E">
        <w:t>L</w:t>
      </w:r>
      <w:r w:rsidR="008F1DC1" w:rsidRPr="0020013E">
        <w:t xml:space="preserve">oads </w:t>
      </w:r>
      <w:r w:rsidR="00F7393B" w:rsidRPr="0020013E">
        <w:rPr>
          <w:u w:val="single"/>
        </w:rPr>
        <w:t xml:space="preserve">Annual Energy </w:t>
      </w:r>
      <w:r w:rsidR="0057095D" w:rsidRPr="0020013E">
        <w:rPr>
          <w:u w:val="single"/>
        </w:rPr>
        <w:t xml:space="preserve">and Internal Gains </w:t>
      </w:r>
      <w:r w:rsidR="008F1DC1" w:rsidRPr="0020013E">
        <w:t>shall be determined in accordance with the values given in Table 4.2.2.</w:t>
      </w:r>
      <w:r w:rsidR="008F1DC1" w:rsidRPr="0020013E">
        <w:rPr>
          <w:strike/>
        </w:rPr>
        <w:t>5</w:t>
      </w:r>
      <w:r w:rsidR="00DA5D5C" w:rsidRPr="0020013E">
        <w:rPr>
          <w:u w:val="single"/>
        </w:rPr>
        <w:t>7</w:t>
      </w:r>
      <w:r w:rsidR="008F1DC1" w:rsidRPr="0020013E">
        <w:t>(1).</w:t>
      </w:r>
      <w:r w:rsidR="003C228B" w:rsidRPr="0020013E">
        <w:rPr>
          <w:b/>
          <w:vertAlign w:val="superscript"/>
        </w:rPr>
        <w:t xml:space="preserve"> </w:t>
      </w:r>
      <w:r w:rsidR="00DC54A7" w:rsidRPr="00DC54A7">
        <w:rPr>
          <w:b/>
          <w:color w:val="0070C0"/>
          <w:vertAlign w:val="superscript"/>
        </w:rPr>
        <w:t>(1)</w:t>
      </w:r>
    </w:p>
    <w:p w14:paraId="7A850FB9" w14:textId="77777777" w:rsidR="008F1DC1" w:rsidRPr="00FA69E8" w:rsidRDefault="008F1DC1" w:rsidP="008F1DC1">
      <w:pPr>
        <w:rPr>
          <w:b/>
        </w:rPr>
      </w:pPr>
      <w:bookmarkStart w:id="57" w:name="_Hlk161054700"/>
    </w:p>
    <w:p w14:paraId="5DB93699" w14:textId="7C5DFA4E" w:rsidR="008F1DC1" w:rsidRPr="00F22A05" w:rsidRDefault="008F1DC1" w:rsidP="008F1DC1">
      <w:pPr>
        <w:jc w:val="center"/>
        <w:rPr>
          <w:b/>
        </w:rPr>
      </w:pPr>
      <w:r w:rsidRPr="00FA69E8">
        <w:rPr>
          <w:b/>
        </w:rPr>
        <w:t>Table 4.2</w:t>
      </w:r>
      <w:r w:rsidRPr="00F22A05">
        <w:rPr>
          <w:b/>
        </w:rPr>
        <w:t>.2.</w:t>
      </w:r>
      <w:r w:rsidRPr="00F22A05">
        <w:rPr>
          <w:b/>
          <w:strike/>
        </w:rPr>
        <w:t>5</w:t>
      </w:r>
      <w:r w:rsidR="001A22DE" w:rsidRPr="00F22A05">
        <w:rPr>
          <w:b/>
          <w:u w:val="single"/>
        </w:rPr>
        <w:t>7</w:t>
      </w:r>
      <w:r w:rsidRPr="00F22A05">
        <w:rPr>
          <w:b/>
        </w:rPr>
        <w:t xml:space="preserve">(1) Lighting, Appliance and Miscellaneous </w:t>
      </w:r>
      <w:r w:rsidRPr="00F22A05">
        <w:rPr>
          <w:b/>
        </w:rPr>
        <w:br/>
      </w:r>
      <w:r w:rsidR="000029D7" w:rsidRPr="00F22A05">
        <w:rPr>
          <w:b/>
        </w:rPr>
        <w:t xml:space="preserve">Energy </w:t>
      </w:r>
      <w:r w:rsidRPr="00F22A05">
        <w:rPr>
          <w:b/>
        </w:rPr>
        <w:t xml:space="preserve">Loads in electric Energy Rating Reference </w:t>
      </w:r>
      <w:proofErr w:type="gramStart"/>
      <w:r w:rsidRPr="00F22A05">
        <w:rPr>
          <w:b/>
        </w:rPr>
        <w:t>Homes</w:t>
      </w:r>
      <w:r w:rsidR="00DC54A7" w:rsidRPr="00DC54A7">
        <w:rPr>
          <w:b/>
          <w:color w:val="0070C0"/>
          <w:vertAlign w:val="superscript"/>
        </w:rPr>
        <w:t>(</w:t>
      </w:r>
      <w:proofErr w:type="gramEnd"/>
      <w:r w:rsidR="00DC54A7" w:rsidRPr="00DC54A7">
        <w:rPr>
          <w:b/>
          <w:color w:val="0070C0"/>
          <w:vertAlign w:val="superscript"/>
        </w:rPr>
        <w:t>1)</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gridCol w:w="1016"/>
        <w:gridCol w:w="1080"/>
      </w:tblGrid>
      <w:tr w:rsidR="00F22A05" w:rsidRPr="00F22A05" w14:paraId="47BE89CE" w14:textId="45ABBEAA" w:rsidTr="006145CB">
        <w:trPr>
          <w:trHeight w:val="342"/>
          <w:jc w:val="center"/>
        </w:trPr>
        <w:tc>
          <w:tcPr>
            <w:tcW w:w="1890" w:type="dxa"/>
            <w:vMerge w:val="restart"/>
            <w:shd w:val="clear" w:color="auto" w:fill="auto"/>
            <w:vAlign w:val="center"/>
          </w:tcPr>
          <w:p w14:paraId="2570784E" w14:textId="77777777" w:rsidR="008D19D8" w:rsidRPr="00F22A05" w:rsidRDefault="008D19D8" w:rsidP="00B82EFA">
            <w:pPr>
              <w:rPr>
                <w:b/>
                <w:bCs/>
              </w:rPr>
            </w:pPr>
            <w:r w:rsidRPr="00F22A05">
              <w:rPr>
                <w:b/>
                <w:bCs/>
              </w:rPr>
              <w:t xml:space="preserve">End Use </w:t>
            </w:r>
            <w:r w:rsidRPr="00F22A05">
              <w:rPr>
                <w:b/>
                <w:bCs/>
              </w:rPr>
              <w:br/>
              <w:t>Component</w:t>
            </w:r>
          </w:p>
        </w:tc>
        <w:tc>
          <w:tcPr>
            <w:tcW w:w="1470" w:type="dxa"/>
            <w:vMerge w:val="restart"/>
            <w:vAlign w:val="center"/>
          </w:tcPr>
          <w:p w14:paraId="66C41150" w14:textId="77777777" w:rsidR="008D19D8" w:rsidRPr="00F22A05" w:rsidRDefault="008D19D8" w:rsidP="00B82EFA">
            <w:pPr>
              <w:jc w:val="center"/>
              <w:rPr>
                <w:b/>
                <w:bCs/>
              </w:rPr>
            </w:pPr>
            <w:r w:rsidRPr="00F22A05">
              <w:rPr>
                <w:b/>
                <w:bCs/>
              </w:rPr>
              <w:t>Units</w:t>
            </w:r>
          </w:p>
        </w:tc>
        <w:tc>
          <w:tcPr>
            <w:tcW w:w="3359" w:type="dxa"/>
            <w:gridSpan w:val="3"/>
            <w:shd w:val="clear" w:color="auto" w:fill="auto"/>
            <w:noWrap/>
            <w:vAlign w:val="bottom"/>
          </w:tcPr>
          <w:p w14:paraId="0AD9271F" w14:textId="77777777" w:rsidR="008D19D8" w:rsidRPr="00F22A05" w:rsidRDefault="008D19D8" w:rsidP="00B82EFA">
            <w:pPr>
              <w:jc w:val="center"/>
              <w:rPr>
                <w:b/>
                <w:bCs/>
              </w:rPr>
            </w:pPr>
            <w:r w:rsidRPr="00F22A05">
              <w:rPr>
                <w:b/>
                <w:bCs/>
              </w:rPr>
              <w:t>Equation Coefficients</w:t>
            </w:r>
          </w:p>
        </w:tc>
        <w:tc>
          <w:tcPr>
            <w:tcW w:w="1016" w:type="dxa"/>
            <w:vMerge w:val="restart"/>
          </w:tcPr>
          <w:p w14:paraId="26984214" w14:textId="0DB0EE4C" w:rsidR="008D19D8" w:rsidRPr="00F22A05" w:rsidRDefault="008D19D8" w:rsidP="00B82EFA">
            <w:pPr>
              <w:jc w:val="center"/>
              <w:rPr>
                <w:b/>
                <w:bCs/>
                <w:u w:val="single"/>
              </w:rPr>
            </w:pPr>
            <w:proofErr w:type="spellStart"/>
            <w:r w:rsidRPr="00F22A05">
              <w:rPr>
                <w:b/>
                <w:bCs/>
                <w:u w:val="single"/>
              </w:rPr>
              <w:t>f</w:t>
            </w:r>
            <w:r w:rsidR="00B82704" w:rsidRPr="00F22A05">
              <w:rPr>
                <w:b/>
                <w:bCs/>
                <w:u w:val="single"/>
                <w:vertAlign w:val="subscript"/>
              </w:rPr>
              <w:t>internal</w:t>
            </w:r>
            <w:proofErr w:type="spellEnd"/>
          </w:p>
        </w:tc>
        <w:tc>
          <w:tcPr>
            <w:tcW w:w="1080" w:type="dxa"/>
            <w:vMerge w:val="restart"/>
          </w:tcPr>
          <w:p w14:paraId="68BE668F" w14:textId="093CE0B5" w:rsidR="008D19D8" w:rsidRPr="00F22A05" w:rsidRDefault="008D19D8" w:rsidP="00B82EFA">
            <w:pPr>
              <w:jc w:val="center"/>
              <w:rPr>
                <w:b/>
                <w:bCs/>
                <w:u w:val="single"/>
              </w:rPr>
            </w:pPr>
            <w:proofErr w:type="spellStart"/>
            <w:r w:rsidRPr="00F22A05">
              <w:rPr>
                <w:b/>
                <w:bCs/>
                <w:u w:val="single"/>
              </w:rPr>
              <w:t>f</w:t>
            </w:r>
            <w:r w:rsidRPr="00F22A05">
              <w:rPr>
                <w:b/>
                <w:bCs/>
                <w:u w:val="single"/>
                <w:vertAlign w:val="subscript"/>
              </w:rPr>
              <w:t>sensible</w:t>
            </w:r>
            <w:proofErr w:type="spellEnd"/>
          </w:p>
        </w:tc>
      </w:tr>
      <w:tr w:rsidR="00F22A05" w:rsidRPr="00F22A05" w14:paraId="7DD1E29E" w14:textId="5791B6D1" w:rsidTr="006145CB">
        <w:trPr>
          <w:trHeight w:val="342"/>
          <w:jc w:val="center"/>
        </w:trPr>
        <w:tc>
          <w:tcPr>
            <w:tcW w:w="1890" w:type="dxa"/>
            <w:vMerge/>
            <w:vAlign w:val="center"/>
          </w:tcPr>
          <w:p w14:paraId="73B990DB" w14:textId="77777777" w:rsidR="008D19D8" w:rsidRPr="00F22A05" w:rsidRDefault="008D19D8" w:rsidP="00B82EFA">
            <w:pPr>
              <w:rPr>
                <w:bCs/>
              </w:rPr>
            </w:pPr>
          </w:p>
        </w:tc>
        <w:tc>
          <w:tcPr>
            <w:tcW w:w="1470" w:type="dxa"/>
            <w:vMerge/>
          </w:tcPr>
          <w:p w14:paraId="30F7066A" w14:textId="77777777" w:rsidR="008D19D8" w:rsidRPr="00F22A05" w:rsidRDefault="008D19D8" w:rsidP="00B82EFA">
            <w:pPr>
              <w:jc w:val="right"/>
              <w:rPr>
                <w:bCs/>
              </w:rPr>
            </w:pPr>
          </w:p>
        </w:tc>
        <w:tc>
          <w:tcPr>
            <w:tcW w:w="1119" w:type="dxa"/>
            <w:shd w:val="clear" w:color="auto" w:fill="auto"/>
            <w:noWrap/>
            <w:vAlign w:val="bottom"/>
          </w:tcPr>
          <w:p w14:paraId="0FBDD6DE" w14:textId="77777777" w:rsidR="008D19D8" w:rsidRPr="00F22A05" w:rsidRDefault="008D19D8" w:rsidP="00B82EFA">
            <w:pPr>
              <w:jc w:val="right"/>
              <w:rPr>
                <w:b/>
                <w:bCs/>
              </w:rPr>
            </w:pPr>
            <w:r w:rsidRPr="00F22A05">
              <w:rPr>
                <w:b/>
                <w:bCs/>
              </w:rPr>
              <w:t>a</w:t>
            </w:r>
          </w:p>
        </w:tc>
        <w:tc>
          <w:tcPr>
            <w:tcW w:w="1120" w:type="dxa"/>
            <w:shd w:val="clear" w:color="auto" w:fill="auto"/>
            <w:noWrap/>
            <w:vAlign w:val="bottom"/>
          </w:tcPr>
          <w:p w14:paraId="00E8CBA2" w14:textId="77777777" w:rsidR="008D19D8" w:rsidRPr="00F22A05" w:rsidRDefault="008D19D8" w:rsidP="00B82EFA">
            <w:pPr>
              <w:jc w:val="right"/>
              <w:rPr>
                <w:b/>
                <w:bCs/>
              </w:rPr>
            </w:pPr>
            <w:r w:rsidRPr="00F22A05">
              <w:rPr>
                <w:b/>
                <w:bCs/>
              </w:rPr>
              <w:t>b</w:t>
            </w:r>
          </w:p>
        </w:tc>
        <w:tc>
          <w:tcPr>
            <w:tcW w:w="1120" w:type="dxa"/>
            <w:shd w:val="clear" w:color="auto" w:fill="auto"/>
            <w:noWrap/>
            <w:vAlign w:val="bottom"/>
          </w:tcPr>
          <w:p w14:paraId="7DD8B62D" w14:textId="77777777" w:rsidR="008D19D8" w:rsidRPr="00F22A05" w:rsidRDefault="008D19D8" w:rsidP="00B82EFA">
            <w:pPr>
              <w:jc w:val="right"/>
              <w:rPr>
                <w:b/>
                <w:bCs/>
              </w:rPr>
            </w:pPr>
            <w:r w:rsidRPr="00F22A05">
              <w:rPr>
                <w:b/>
                <w:bCs/>
              </w:rPr>
              <w:t>c</w:t>
            </w:r>
          </w:p>
        </w:tc>
        <w:tc>
          <w:tcPr>
            <w:tcW w:w="1016" w:type="dxa"/>
            <w:vMerge/>
          </w:tcPr>
          <w:p w14:paraId="3A178008" w14:textId="77777777" w:rsidR="008D19D8" w:rsidRPr="00F22A05" w:rsidRDefault="008D19D8" w:rsidP="00B82EFA">
            <w:pPr>
              <w:jc w:val="right"/>
              <w:rPr>
                <w:b/>
                <w:bCs/>
              </w:rPr>
            </w:pPr>
          </w:p>
        </w:tc>
        <w:tc>
          <w:tcPr>
            <w:tcW w:w="1080" w:type="dxa"/>
            <w:vMerge/>
          </w:tcPr>
          <w:p w14:paraId="0C1F4E44" w14:textId="77777777" w:rsidR="008D19D8" w:rsidRPr="00F22A05" w:rsidRDefault="008D19D8" w:rsidP="00B82EFA">
            <w:pPr>
              <w:jc w:val="right"/>
              <w:rPr>
                <w:b/>
                <w:bCs/>
              </w:rPr>
            </w:pPr>
          </w:p>
        </w:tc>
      </w:tr>
      <w:tr w:rsidR="00F22A05" w:rsidRPr="00F22A05" w14:paraId="72C755B0" w14:textId="46D99898" w:rsidTr="006145CB">
        <w:trPr>
          <w:trHeight w:val="315"/>
          <w:jc w:val="center"/>
        </w:trPr>
        <w:tc>
          <w:tcPr>
            <w:tcW w:w="1890" w:type="dxa"/>
            <w:shd w:val="clear" w:color="auto" w:fill="auto"/>
            <w:noWrap/>
            <w:vAlign w:val="bottom"/>
          </w:tcPr>
          <w:p w14:paraId="77EFBFF4" w14:textId="77777777" w:rsidR="008D19D8" w:rsidRPr="00F22A05" w:rsidRDefault="008D19D8" w:rsidP="00B82EFA">
            <w:r w:rsidRPr="00F22A05">
              <w:t>Residual MELs</w:t>
            </w:r>
          </w:p>
        </w:tc>
        <w:tc>
          <w:tcPr>
            <w:tcW w:w="1470" w:type="dxa"/>
          </w:tcPr>
          <w:p w14:paraId="43A3FDE2" w14:textId="77777777" w:rsidR="008D19D8" w:rsidRPr="00F22A05" w:rsidRDefault="008D19D8" w:rsidP="00B82EFA">
            <w:pPr>
              <w:jc w:val="center"/>
            </w:pPr>
            <w:r w:rsidRPr="00F22A05">
              <w:t>kWh/y</w:t>
            </w:r>
          </w:p>
        </w:tc>
        <w:tc>
          <w:tcPr>
            <w:tcW w:w="1119" w:type="dxa"/>
            <w:shd w:val="clear" w:color="auto" w:fill="auto"/>
            <w:noWrap/>
            <w:vAlign w:val="bottom"/>
          </w:tcPr>
          <w:p w14:paraId="054FA5E4" w14:textId="77777777" w:rsidR="008D19D8" w:rsidRPr="00F22A05" w:rsidRDefault="008D19D8" w:rsidP="00B82EFA"/>
        </w:tc>
        <w:tc>
          <w:tcPr>
            <w:tcW w:w="1120" w:type="dxa"/>
            <w:shd w:val="clear" w:color="auto" w:fill="auto"/>
            <w:noWrap/>
            <w:vAlign w:val="bottom"/>
          </w:tcPr>
          <w:p w14:paraId="5B9BC6B0" w14:textId="77777777" w:rsidR="008D19D8" w:rsidRPr="00F22A05" w:rsidRDefault="008D19D8" w:rsidP="00B82EFA">
            <w:pPr>
              <w:jc w:val="right"/>
            </w:pPr>
            <w:r w:rsidRPr="00F22A05">
              <w:t>0.91</w:t>
            </w:r>
          </w:p>
        </w:tc>
        <w:tc>
          <w:tcPr>
            <w:tcW w:w="1120" w:type="dxa"/>
            <w:shd w:val="clear" w:color="auto" w:fill="auto"/>
            <w:noWrap/>
            <w:vAlign w:val="bottom"/>
          </w:tcPr>
          <w:p w14:paraId="022223E2" w14:textId="77777777" w:rsidR="008D19D8" w:rsidRPr="00F22A05" w:rsidRDefault="008D19D8" w:rsidP="00B82EFA">
            <w:pPr>
              <w:jc w:val="right"/>
            </w:pPr>
          </w:p>
        </w:tc>
        <w:tc>
          <w:tcPr>
            <w:tcW w:w="1016" w:type="dxa"/>
          </w:tcPr>
          <w:p w14:paraId="22BF9B13" w14:textId="6662726B" w:rsidR="008D19D8" w:rsidRPr="00F22A05" w:rsidRDefault="00B82704" w:rsidP="00B82EFA">
            <w:pPr>
              <w:jc w:val="right"/>
              <w:rPr>
                <w:u w:val="single"/>
              </w:rPr>
            </w:pPr>
            <w:r w:rsidRPr="00767F23">
              <w:rPr>
                <w:strike/>
                <w:color w:val="FF0000"/>
                <w:u w:val="single"/>
              </w:rPr>
              <w:t>1</w:t>
            </w:r>
            <w:r w:rsidR="00C006AD" w:rsidRPr="00767F23">
              <w:rPr>
                <w:strike/>
                <w:color w:val="FF0000"/>
                <w:u w:val="single"/>
              </w:rPr>
              <w:t>.0</w:t>
            </w:r>
            <w:r w:rsidR="00C535A4" w:rsidRPr="00767F23">
              <w:rPr>
                <w:color w:val="FF0000"/>
                <w:u w:val="single"/>
              </w:rPr>
              <w:t>0.9</w:t>
            </w:r>
          </w:p>
        </w:tc>
        <w:tc>
          <w:tcPr>
            <w:tcW w:w="1080" w:type="dxa"/>
          </w:tcPr>
          <w:p w14:paraId="24BFDDDB" w14:textId="7A41D544" w:rsidR="008D19D8" w:rsidRPr="00F22A05" w:rsidRDefault="00C006AD" w:rsidP="00B82EFA">
            <w:pPr>
              <w:jc w:val="right"/>
              <w:rPr>
                <w:u w:val="single"/>
              </w:rPr>
            </w:pPr>
            <w:r w:rsidRPr="00767F23">
              <w:rPr>
                <w:strike/>
                <w:color w:val="FF0000"/>
                <w:u w:val="single"/>
              </w:rPr>
              <w:t>1.0</w:t>
            </w:r>
            <w:r w:rsidR="00C535A4" w:rsidRPr="00767F23">
              <w:rPr>
                <w:color w:val="FF0000"/>
                <w:u w:val="single"/>
              </w:rPr>
              <w:t>0.95</w:t>
            </w:r>
          </w:p>
        </w:tc>
      </w:tr>
      <w:tr w:rsidR="00F22A05" w:rsidRPr="00F22A05" w14:paraId="08EECC3A" w14:textId="5DF13DF2" w:rsidTr="006145CB">
        <w:trPr>
          <w:trHeight w:val="315"/>
          <w:jc w:val="center"/>
        </w:trPr>
        <w:tc>
          <w:tcPr>
            <w:tcW w:w="1890" w:type="dxa"/>
            <w:shd w:val="clear" w:color="auto" w:fill="auto"/>
            <w:noWrap/>
            <w:vAlign w:val="bottom"/>
          </w:tcPr>
          <w:p w14:paraId="642F30CE" w14:textId="77777777" w:rsidR="008D19D8" w:rsidRPr="00F22A05" w:rsidRDefault="008D19D8" w:rsidP="00B82EFA">
            <w:r w:rsidRPr="00F22A05">
              <w:t xml:space="preserve">Interior lighting </w:t>
            </w:r>
          </w:p>
        </w:tc>
        <w:tc>
          <w:tcPr>
            <w:tcW w:w="1470" w:type="dxa"/>
          </w:tcPr>
          <w:p w14:paraId="017046F3" w14:textId="77777777" w:rsidR="008D19D8" w:rsidRPr="00F22A05" w:rsidRDefault="008D19D8" w:rsidP="00B82EFA">
            <w:pPr>
              <w:jc w:val="center"/>
            </w:pPr>
            <w:r w:rsidRPr="00F22A05">
              <w:t>kWh/y</w:t>
            </w:r>
          </w:p>
        </w:tc>
        <w:tc>
          <w:tcPr>
            <w:tcW w:w="1119" w:type="dxa"/>
            <w:shd w:val="clear" w:color="auto" w:fill="auto"/>
            <w:noWrap/>
            <w:vAlign w:val="bottom"/>
          </w:tcPr>
          <w:p w14:paraId="4B5E9245" w14:textId="77777777" w:rsidR="008D19D8" w:rsidRPr="00F22A05" w:rsidRDefault="008D19D8" w:rsidP="00B82EFA">
            <w:pPr>
              <w:jc w:val="right"/>
            </w:pPr>
            <w:r w:rsidRPr="00F22A05">
              <w:t>455</w:t>
            </w:r>
          </w:p>
        </w:tc>
        <w:tc>
          <w:tcPr>
            <w:tcW w:w="1120" w:type="dxa"/>
            <w:shd w:val="clear" w:color="auto" w:fill="auto"/>
            <w:noWrap/>
            <w:vAlign w:val="bottom"/>
          </w:tcPr>
          <w:p w14:paraId="061E518A" w14:textId="77777777" w:rsidR="008D19D8" w:rsidRPr="00F22A05" w:rsidRDefault="008D19D8" w:rsidP="00B82EFA">
            <w:pPr>
              <w:jc w:val="right"/>
            </w:pPr>
            <w:r w:rsidRPr="00F22A05">
              <w:t>0.80</w:t>
            </w:r>
          </w:p>
        </w:tc>
        <w:tc>
          <w:tcPr>
            <w:tcW w:w="1120" w:type="dxa"/>
            <w:shd w:val="clear" w:color="auto" w:fill="auto"/>
            <w:noWrap/>
            <w:vAlign w:val="bottom"/>
          </w:tcPr>
          <w:p w14:paraId="542ACC5C" w14:textId="77777777" w:rsidR="008D19D8" w:rsidRPr="00F22A05" w:rsidRDefault="008D19D8" w:rsidP="00B82EFA">
            <w:pPr>
              <w:jc w:val="right"/>
            </w:pPr>
          </w:p>
        </w:tc>
        <w:tc>
          <w:tcPr>
            <w:tcW w:w="1016" w:type="dxa"/>
          </w:tcPr>
          <w:p w14:paraId="15E1C2E0" w14:textId="5AF713AC" w:rsidR="008D19D8" w:rsidRPr="00F22A05" w:rsidRDefault="00B82704" w:rsidP="00B82EFA">
            <w:pPr>
              <w:jc w:val="right"/>
              <w:rPr>
                <w:u w:val="single"/>
              </w:rPr>
            </w:pPr>
            <w:r w:rsidRPr="00F22A05">
              <w:rPr>
                <w:u w:val="single"/>
              </w:rPr>
              <w:t>1</w:t>
            </w:r>
            <w:r w:rsidR="00C006AD" w:rsidRPr="00F22A05">
              <w:rPr>
                <w:u w:val="single"/>
              </w:rPr>
              <w:t>.0</w:t>
            </w:r>
          </w:p>
        </w:tc>
        <w:tc>
          <w:tcPr>
            <w:tcW w:w="1080" w:type="dxa"/>
          </w:tcPr>
          <w:p w14:paraId="0AE2446F" w14:textId="3498ACCC" w:rsidR="008D19D8" w:rsidRPr="00F22A05" w:rsidRDefault="00C006AD" w:rsidP="00B82EFA">
            <w:pPr>
              <w:jc w:val="right"/>
              <w:rPr>
                <w:u w:val="single"/>
              </w:rPr>
            </w:pPr>
            <w:r w:rsidRPr="00F22A05">
              <w:rPr>
                <w:u w:val="single"/>
              </w:rPr>
              <w:t>1.0</w:t>
            </w:r>
          </w:p>
        </w:tc>
      </w:tr>
      <w:tr w:rsidR="00F22A05" w:rsidRPr="00F22A05" w14:paraId="755F0082" w14:textId="4AB4AF15" w:rsidTr="006145CB">
        <w:trPr>
          <w:trHeight w:val="315"/>
          <w:jc w:val="center"/>
        </w:trPr>
        <w:tc>
          <w:tcPr>
            <w:tcW w:w="1890" w:type="dxa"/>
            <w:shd w:val="clear" w:color="auto" w:fill="auto"/>
            <w:noWrap/>
            <w:vAlign w:val="bottom"/>
          </w:tcPr>
          <w:p w14:paraId="4C1D88A3" w14:textId="77777777" w:rsidR="008D19D8" w:rsidRPr="00F22A05" w:rsidRDefault="008D19D8" w:rsidP="00B82EFA">
            <w:r w:rsidRPr="00F22A05">
              <w:t>Exterior lighting</w:t>
            </w:r>
          </w:p>
        </w:tc>
        <w:tc>
          <w:tcPr>
            <w:tcW w:w="1470" w:type="dxa"/>
          </w:tcPr>
          <w:p w14:paraId="240FBE91" w14:textId="77777777" w:rsidR="008D19D8" w:rsidRPr="00F22A05" w:rsidRDefault="008D19D8" w:rsidP="00B82EFA">
            <w:pPr>
              <w:jc w:val="center"/>
            </w:pPr>
            <w:r w:rsidRPr="00F22A05">
              <w:t>kWh/y</w:t>
            </w:r>
          </w:p>
        </w:tc>
        <w:tc>
          <w:tcPr>
            <w:tcW w:w="1119" w:type="dxa"/>
            <w:shd w:val="clear" w:color="auto" w:fill="auto"/>
            <w:noWrap/>
            <w:vAlign w:val="bottom"/>
          </w:tcPr>
          <w:p w14:paraId="0B0E82FE" w14:textId="77777777" w:rsidR="008D19D8" w:rsidRPr="00F22A05" w:rsidRDefault="008D19D8" w:rsidP="00B82EFA">
            <w:pPr>
              <w:jc w:val="right"/>
            </w:pPr>
            <w:r w:rsidRPr="00F22A05">
              <w:t>100</w:t>
            </w:r>
          </w:p>
        </w:tc>
        <w:tc>
          <w:tcPr>
            <w:tcW w:w="1120" w:type="dxa"/>
            <w:shd w:val="clear" w:color="auto" w:fill="auto"/>
            <w:noWrap/>
            <w:vAlign w:val="bottom"/>
          </w:tcPr>
          <w:p w14:paraId="46C3F43C" w14:textId="77777777" w:rsidR="008D19D8" w:rsidRPr="00F22A05" w:rsidRDefault="008D19D8" w:rsidP="00B82EFA">
            <w:pPr>
              <w:jc w:val="right"/>
            </w:pPr>
            <w:r w:rsidRPr="00F22A05">
              <w:t>0.05</w:t>
            </w:r>
          </w:p>
        </w:tc>
        <w:tc>
          <w:tcPr>
            <w:tcW w:w="1120" w:type="dxa"/>
            <w:shd w:val="clear" w:color="auto" w:fill="auto"/>
            <w:noWrap/>
            <w:vAlign w:val="bottom"/>
          </w:tcPr>
          <w:p w14:paraId="667D70D8" w14:textId="77777777" w:rsidR="008D19D8" w:rsidRPr="00F22A05" w:rsidRDefault="008D19D8" w:rsidP="00B82EFA">
            <w:pPr>
              <w:jc w:val="right"/>
            </w:pPr>
          </w:p>
        </w:tc>
        <w:tc>
          <w:tcPr>
            <w:tcW w:w="1016" w:type="dxa"/>
          </w:tcPr>
          <w:p w14:paraId="6866DCAD" w14:textId="67CCAD95" w:rsidR="008D19D8" w:rsidRPr="00F22A05" w:rsidRDefault="005560B0" w:rsidP="00B82EFA">
            <w:pPr>
              <w:jc w:val="right"/>
              <w:rPr>
                <w:u w:val="single"/>
              </w:rPr>
            </w:pPr>
            <w:r w:rsidRPr="00F22A05">
              <w:rPr>
                <w:u w:val="single"/>
              </w:rPr>
              <w:t>0</w:t>
            </w:r>
            <w:r w:rsidR="00C006AD" w:rsidRPr="00F22A05">
              <w:rPr>
                <w:u w:val="single"/>
              </w:rPr>
              <w:t>.0</w:t>
            </w:r>
          </w:p>
        </w:tc>
        <w:tc>
          <w:tcPr>
            <w:tcW w:w="1080" w:type="dxa"/>
          </w:tcPr>
          <w:p w14:paraId="10ADA4D4" w14:textId="0A932DCF" w:rsidR="008D19D8" w:rsidRPr="00F22A05" w:rsidRDefault="005560B0" w:rsidP="00B82EFA">
            <w:pPr>
              <w:jc w:val="right"/>
              <w:rPr>
                <w:u w:val="single"/>
              </w:rPr>
            </w:pPr>
            <w:r w:rsidRPr="00F22A05">
              <w:rPr>
                <w:u w:val="single"/>
              </w:rPr>
              <w:t>0</w:t>
            </w:r>
            <w:r w:rsidR="00C006AD" w:rsidRPr="00F22A05">
              <w:rPr>
                <w:u w:val="single"/>
              </w:rPr>
              <w:t>.0</w:t>
            </w:r>
          </w:p>
        </w:tc>
      </w:tr>
      <w:tr w:rsidR="00F22A05" w:rsidRPr="00F22A05" w14:paraId="35B23138" w14:textId="44EF99C6" w:rsidTr="006145CB">
        <w:trPr>
          <w:trHeight w:val="315"/>
          <w:jc w:val="center"/>
        </w:trPr>
        <w:tc>
          <w:tcPr>
            <w:tcW w:w="1890" w:type="dxa"/>
            <w:shd w:val="clear" w:color="auto" w:fill="auto"/>
            <w:noWrap/>
            <w:vAlign w:val="bottom"/>
          </w:tcPr>
          <w:p w14:paraId="58A36699" w14:textId="77777777" w:rsidR="008D19D8" w:rsidRPr="00F22A05" w:rsidRDefault="008D19D8" w:rsidP="00B82EFA">
            <w:r w:rsidRPr="00F22A05">
              <w:t xml:space="preserve">Refrigerator </w:t>
            </w:r>
          </w:p>
        </w:tc>
        <w:tc>
          <w:tcPr>
            <w:tcW w:w="1470" w:type="dxa"/>
          </w:tcPr>
          <w:p w14:paraId="0FA3E0AA" w14:textId="77777777" w:rsidR="008D19D8" w:rsidRPr="00F22A05" w:rsidRDefault="008D19D8" w:rsidP="00B82EFA">
            <w:pPr>
              <w:jc w:val="center"/>
            </w:pPr>
            <w:r w:rsidRPr="00F22A05">
              <w:t>kWh/y</w:t>
            </w:r>
          </w:p>
        </w:tc>
        <w:tc>
          <w:tcPr>
            <w:tcW w:w="1119" w:type="dxa"/>
            <w:shd w:val="clear" w:color="auto" w:fill="auto"/>
            <w:noWrap/>
            <w:vAlign w:val="bottom"/>
          </w:tcPr>
          <w:p w14:paraId="1CEE8E83" w14:textId="77777777" w:rsidR="008D19D8" w:rsidRPr="00F22A05" w:rsidRDefault="008D19D8" w:rsidP="00B82EFA">
            <w:pPr>
              <w:jc w:val="right"/>
            </w:pPr>
            <w:r w:rsidRPr="00F22A05">
              <w:t>637</w:t>
            </w:r>
          </w:p>
        </w:tc>
        <w:tc>
          <w:tcPr>
            <w:tcW w:w="1120" w:type="dxa"/>
            <w:shd w:val="clear" w:color="auto" w:fill="auto"/>
            <w:noWrap/>
            <w:vAlign w:val="bottom"/>
          </w:tcPr>
          <w:p w14:paraId="06DDE646" w14:textId="77777777" w:rsidR="008D19D8" w:rsidRPr="00F22A05" w:rsidRDefault="008D19D8" w:rsidP="00B82EFA"/>
        </w:tc>
        <w:tc>
          <w:tcPr>
            <w:tcW w:w="1120" w:type="dxa"/>
            <w:shd w:val="clear" w:color="auto" w:fill="auto"/>
            <w:noWrap/>
            <w:vAlign w:val="bottom"/>
          </w:tcPr>
          <w:p w14:paraId="09D7C521" w14:textId="77777777" w:rsidR="008D19D8" w:rsidRPr="00F22A05" w:rsidRDefault="008D19D8" w:rsidP="00B82EFA">
            <w:pPr>
              <w:jc w:val="right"/>
            </w:pPr>
            <w:r w:rsidRPr="00F22A05">
              <w:t>18</w:t>
            </w:r>
          </w:p>
        </w:tc>
        <w:tc>
          <w:tcPr>
            <w:tcW w:w="1016" w:type="dxa"/>
          </w:tcPr>
          <w:p w14:paraId="181BA41A" w14:textId="7444C892" w:rsidR="008D19D8" w:rsidRPr="00F22A05" w:rsidRDefault="00B82704" w:rsidP="00B82EFA">
            <w:pPr>
              <w:jc w:val="right"/>
              <w:rPr>
                <w:u w:val="single"/>
              </w:rPr>
            </w:pPr>
            <w:r w:rsidRPr="00F22A05">
              <w:rPr>
                <w:u w:val="single"/>
              </w:rPr>
              <w:t>1</w:t>
            </w:r>
            <w:r w:rsidR="00C006AD" w:rsidRPr="00F22A05">
              <w:rPr>
                <w:u w:val="single"/>
              </w:rPr>
              <w:t>.0</w:t>
            </w:r>
          </w:p>
        </w:tc>
        <w:tc>
          <w:tcPr>
            <w:tcW w:w="1080" w:type="dxa"/>
          </w:tcPr>
          <w:p w14:paraId="36EB07D0" w14:textId="7897505C" w:rsidR="008D19D8" w:rsidRPr="00F22A05" w:rsidRDefault="00C006AD" w:rsidP="00B82EFA">
            <w:pPr>
              <w:jc w:val="right"/>
              <w:rPr>
                <w:u w:val="single"/>
              </w:rPr>
            </w:pPr>
            <w:r w:rsidRPr="00F22A05">
              <w:rPr>
                <w:u w:val="single"/>
              </w:rPr>
              <w:t>1.0</w:t>
            </w:r>
          </w:p>
        </w:tc>
      </w:tr>
      <w:tr w:rsidR="00F22A05" w:rsidRPr="00F22A05" w14:paraId="2EA17F0E" w14:textId="1FA26626" w:rsidTr="006145CB">
        <w:trPr>
          <w:trHeight w:val="315"/>
          <w:jc w:val="center"/>
        </w:trPr>
        <w:tc>
          <w:tcPr>
            <w:tcW w:w="1890" w:type="dxa"/>
            <w:shd w:val="clear" w:color="auto" w:fill="auto"/>
            <w:noWrap/>
            <w:vAlign w:val="bottom"/>
          </w:tcPr>
          <w:p w14:paraId="10170DF5" w14:textId="77777777" w:rsidR="008D19D8" w:rsidRPr="00F22A05" w:rsidRDefault="008D19D8" w:rsidP="00B82EFA">
            <w:r w:rsidRPr="00F22A05">
              <w:t>Televisions</w:t>
            </w:r>
          </w:p>
        </w:tc>
        <w:tc>
          <w:tcPr>
            <w:tcW w:w="1470" w:type="dxa"/>
          </w:tcPr>
          <w:p w14:paraId="5F7F36F6" w14:textId="77777777" w:rsidR="008D19D8" w:rsidRPr="00F22A05" w:rsidRDefault="008D19D8" w:rsidP="00B82EFA">
            <w:pPr>
              <w:jc w:val="center"/>
            </w:pPr>
            <w:r w:rsidRPr="00F22A05">
              <w:t>kWh/y</w:t>
            </w:r>
          </w:p>
        </w:tc>
        <w:tc>
          <w:tcPr>
            <w:tcW w:w="1119" w:type="dxa"/>
            <w:shd w:val="clear" w:color="auto" w:fill="auto"/>
            <w:noWrap/>
            <w:vAlign w:val="bottom"/>
          </w:tcPr>
          <w:p w14:paraId="2E6C55BB" w14:textId="77777777" w:rsidR="008D19D8" w:rsidRPr="00F22A05" w:rsidRDefault="008D19D8" w:rsidP="00B82EFA">
            <w:pPr>
              <w:jc w:val="right"/>
            </w:pPr>
            <w:r w:rsidRPr="00F22A05">
              <w:t>413</w:t>
            </w:r>
          </w:p>
        </w:tc>
        <w:tc>
          <w:tcPr>
            <w:tcW w:w="1120" w:type="dxa"/>
            <w:shd w:val="clear" w:color="auto" w:fill="auto"/>
            <w:noWrap/>
            <w:vAlign w:val="bottom"/>
          </w:tcPr>
          <w:p w14:paraId="0D21C306" w14:textId="77777777" w:rsidR="008D19D8" w:rsidRPr="00F22A05" w:rsidRDefault="008D19D8" w:rsidP="00B82EFA"/>
        </w:tc>
        <w:tc>
          <w:tcPr>
            <w:tcW w:w="1120" w:type="dxa"/>
            <w:shd w:val="clear" w:color="auto" w:fill="auto"/>
            <w:noWrap/>
            <w:vAlign w:val="bottom"/>
          </w:tcPr>
          <w:p w14:paraId="634379B8" w14:textId="77777777" w:rsidR="008D19D8" w:rsidRPr="00F22A05" w:rsidRDefault="008D19D8" w:rsidP="00B82EFA">
            <w:pPr>
              <w:jc w:val="right"/>
            </w:pPr>
            <w:r w:rsidRPr="00F22A05">
              <w:t>69</w:t>
            </w:r>
          </w:p>
        </w:tc>
        <w:tc>
          <w:tcPr>
            <w:tcW w:w="1016" w:type="dxa"/>
          </w:tcPr>
          <w:p w14:paraId="52198CFC" w14:textId="79D62D11" w:rsidR="008D19D8" w:rsidRPr="00F22A05" w:rsidRDefault="00B82704" w:rsidP="00B82EFA">
            <w:pPr>
              <w:jc w:val="right"/>
              <w:rPr>
                <w:u w:val="single"/>
              </w:rPr>
            </w:pPr>
            <w:r w:rsidRPr="00F22A05">
              <w:rPr>
                <w:u w:val="single"/>
              </w:rPr>
              <w:t>1</w:t>
            </w:r>
            <w:r w:rsidR="00C006AD" w:rsidRPr="00F22A05">
              <w:rPr>
                <w:u w:val="single"/>
              </w:rPr>
              <w:t>.0</w:t>
            </w:r>
          </w:p>
        </w:tc>
        <w:tc>
          <w:tcPr>
            <w:tcW w:w="1080" w:type="dxa"/>
          </w:tcPr>
          <w:p w14:paraId="3435942D" w14:textId="17C69864" w:rsidR="008D19D8" w:rsidRPr="00F22A05" w:rsidRDefault="00C006AD" w:rsidP="00B82EFA">
            <w:pPr>
              <w:jc w:val="right"/>
              <w:rPr>
                <w:u w:val="single"/>
              </w:rPr>
            </w:pPr>
            <w:r w:rsidRPr="00F22A05">
              <w:rPr>
                <w:u w:val="single"/>
              </w:rPr>
              <w:t>1.0</w:t>
            </w:r>
          </w:p>
        </w:tc>
      </w:tr>
      <w:tr w:rsidR="00F22A05" w:rsidRPr="00F22A05" w14:paraId="04A4FEE3" w14:textId="297E4506" w:rsidTr="006145CB">
        <w:trPr>
          <w:trHeight w:val="315"/>
          <w:jc w:val="center"/>
        </w:trPr>
        <w:tc>
          <w:tcPr>
            <w:tcW w:w="1890" w:type="dxa"/>
            <w:shd w:val="clear" w:color="auto" w:fill="auto"/>
            <w:noWrap/>
            <w:vAlign w:val="bottom"/>
          </w:tcPr>
          <w:p w14:paraId="0494158E" w14:textId="77777777" w:rsidR="008D19D8" w:rsidRPr="00F22A05" w:rsidRDefault="008D19D8" w:rsidP="00B82EFA">
            <w:r w:rsidRPr="00F22A05">
              <w:t>Range/Oven</w:t>
            </w:r>
          </w:p>
        </w:tc>
        <w:tc>
          <w:tcPr>
            <w:tcW w:w="1470" w:type="dxa"/>
          </w:tcPr>
          <w:p w14:paraId="400B976B" w14:textId="77777777" w:rsidR="008D19D8" w:rsidRPr="00F22A05" w:rsidRDefault="008D19D8" w:rsidP="00B82EFA">
            <w:pPr>
              <w:jc w:val="center"/>
            </w:pPr>
            <w:r w:rsidRPr="00F22A05">
              <w:t>kWh/y</w:t>
            </w:r>
          </w:p>
        </w:tc>
        <w:tc>
          <w:tcPr>
            <w:tcW w:w="1119" w:type="dxa"/>
            <w:shd w:val="clear" w:color="auto" w:fill="auto"/>
            <w:noWrap/>
            <w:vAlign w:val="bottom"/>
          </w:tcPr>
          <w:p w14:paraId="17BCAB81" w14:textId="77777777" w:rsidR="008D19D8" w:rsidRPr="00F22A05" w:rsidRDefault="008D19D8" w:rsidP="00B82EFA">
            <w:pPr>
              <w:jc w:val="right"/>
            </w:pPr>
            <w:r w:rsidRPr="00F22A05">
              <w:t>331</w:t>
            </w:r>
          </w:p>
        </w:tc>
        <w:tc>
          <w:tcPr>
            <w:tcW w:w="1120" w:type="dxa"/>
            <w:shd w:val="clear" w:color="auto" w:fill="auto"/>
            <w:noWrap/>
            <w:vAlign w:val="bottom"/>
          </w:tcPr>
          <w:p w14:paraId="3C0C4037" w14:textId="77777777" w:rsidR="008D19D8" w:rsidRPr="00F22A05" w:rsidRDefault="008D19D8" w:rsidP="00B82EFA"/>
        </w:tc>
        <w:tc>
          <w:tcPr>
            <w:tcW w:w="1120" w:type="dxa"/>
            <w:shd w:val="clear" w:color="auto" w:fill="auto"/>
            <w:noWrap/>
            <w:vAlign w:val="bottom"/>
          </w:tcPr>
          <w:p w14:paraId="3D085B57" w14:textId="77777777" w:rsidR="008D19D8" w:rsidRPr="00F22A05" w:rsidRDefault="008D19D8" w:rsidP="00B82EFA">
            <w:pPr>
              <w:jc w:val="right"/>
            </w:pPr>
            <w:r w:rsidRPr="00F22A05">
              <w:t>39</w:t>
            </w:r>
          </w:p>
        </w:tc>
        <w:tc>
          <w:tcPr>
            <w:tcW w:w="1016" w:type="dxa"/>
          </w:tcPr>
          <w:p w14:paraId="2BC99487" w14:textId="58DF89A4" w:rsidR="008D19D8" w:rsidRPr="00F22A05" w:rsidRDefault="00374261" w:rsidP="00B82EFA">
            <w:pPr>
              <w:jc w:val="right"/>
              <w:rPr>
                <w:u w:val="single"/>
              </w:rPr>
            </w:pPr>
            <w:r w:rsidRPr="00F22A05">
              <w:rPr>
                <w:u w:val="single"/>
              </w:rPr>
              <w:t>0.</w:t>
            </w:r>
            <w:r w:rsidR="00B82704" w:rsidRPr="00F22A05">
              <w:rPr>
                <w:u w:val="single"/>
              </w:rPr>
              <w:t>8</w:t>
            </w:r>
          </w:p>
        </w:tc>
        <w:tc>
          <w:tcPr>
            <w:tcW w:w="1080" w:type="dxa"/>
          </w:tcPr>
          <w:p w14:paraId="6C2AB777" w14:textId="4C953240" w:rsidR="008D19D8" w:rsidRPr="00F22A05" w:rsidRDefault="00374261" w:rsidP="00B82EFA">
            <w:pPr>
              <w:jc w:val="right"/>
              <w:rPr>
                <w:u w:val="single"/>
              </w:rPr>
            </w:pPr>
            <w:r w:rsidRPr="00F22A05">
              <w:rPr>
                <w:u w:val="single"/>
              </w:rPr>
              <w:t>0.9</w:t>
            </w:r>
          </w:p>
        </w:tc>
      </w:tr>
      <w:tr w:rsidR="00F22A05" w:rsidRPr="00F22A05" w14:paraId="4199EF05" w14:textId="04CA436E" w:rsidTr="006145CB">
        <w:trPr>
          <w:trHeight w:val="315"/>
          <w:jc w:val="center"/>
        </w:trPr>
        <w:tc>
          <w:tcPr>
            <w:tcW w:w="1890" w:type="dxa"/>
            <w:shd w:val="clear" w:color="auto" w:fill="auto"/>
            <w:noWrap/>
            <w:vAlign w:val="bottom"/>
          </w:tcPr>
          <w:p w14:paraId="48D2FB9E" w14:textId="34DC2ADD" w:rsidR="00CD4BD8" w:rsidRPr="00F22A05" w:rsidRDefault="00CD4BD8" w:rsidP="00B82EFA">
            <w:r w:rsidRPr="00F22A05">
              <w:t>Clothes Dryer</w:t>
            </w:r>
            <w:r w:rsidR="00A152B6" w:rsidRPr="00F22A05">
              <w:rPr>
                <w:u w:val="single"/>
              </w:rPr>
              <w:t xml:space="preserve"> </w:t>
            </w:r>
            <w:r w:rsidR="005560B0" w:rsidRPr="00F22A05">
              <w:rPr>
                <w:u w:val="single"/>
              </w:rPr>
              <w:t>(Vented)</w:t>
            </w:r>
          </w:p>
        </w:tc>
        <w:tc>
          <w:tcPr>
            <w:tcW w:w="1470" w:type="dxa"/>
            <w:vAlign w:val="center"/>
          </w:tcPr>
          <w:p w14:paraId="610BBC3B" w14:textId="77777777" w:rsidR="00CD4BD8" w:rsidRPr="00F22A05" w:rsidRDefault="00CD4BD8" w:rsidP="005560B0">
            <w:pPr>
              <w:jc w:val="center"/>
            </w:pPr>
            <w:r w:rsidRPr="00F22A05">
              <w:t>kWh/y</w:t>
            </w:r>
          </w:p>
        </w:tc>
        <w:tc>
          <w:tcPr>
            <w:tcW w:w="1119" w:type="dxa"/>
            <w:shd w:val="clear" w:color="auto" w:fill="auto"/>
            <w:noWrap/>
            <w:vAlign w:val="center"/>
          </w:tcPr>
          <w:p w14:paraId="1A41097D" w14:textId="02F3B8E6" w:rsidR="00CD4BD8" w:rsidRPr="00F22A05" w:rsidRDefault="00CD4BD8" w:rsidP="005560B0">
            <w:pPr>
              <w:jc w:val="right"/>
            </w:pPr>
            <w:r w:rsidRPr="00F22A05">
              <w:t>398</w:t>
            </w:r>
          </w:p>
        </w:tc>
        <w:tc>
          <w:tcPr>
            <w:tcW w:w="1120" w:type="dxa"/>
            <w:shd w:val="clear" w:color="auto" w:fill="auto"/>
            <w:noWrap/>
            <w:vAlign w:val="center"/>
          </w:tcPr>
          <w:p w14:paraId="4C15C305" w14:textId="77777777" w:rsidR="00CD4BD8" w:rsidRPr="00F22A05" w:rsidRDefault="00CD4BD8" w:rsidP="007158FA">
            <w:pPr>
              <w:jc w:val="right"/>
            </w:pPr>
          </w:p>
        </w:tc>
        <w:tc>
          <w:tcPr>
            <w:tcW w:w="1120" w:type="dxa"/>
            <w:shd w:val="clear" w:color="auto" w:fill="auto"/>
            <w:noWrap/>
            <w:vAlign w:val="center"/>
          </w:tcPr>
          <w:p w14:paraId="79E78302" w14:textId="5B08F05F" w:rsidR="00CD4BD8" w:rsidRPr="00F22A05" w:rsidRDefault="00CD4BD8" w:rsidP="005560B0">
            <w:pPr>
              <w:jc w:val="right"/>
            </w:pPr>
            <w:r w:rsidRPr="00F22A05">
              <w:t>113</w:t>
            </w:r>
          </w:p>
        </w:tc>
        <w:tc>
          <w:tcPr>
            <w:tcW w:w="1016" w:type="dxa"/>
            <w:vAlign w:val="center"/>
          </w:tcPr>
          <w:p w14:paraId="374F76BA" w14:textId="322F554D" w:rsidR="00CD4BD8" w:rsidRPr="00F22A05" w:rsidRDefault="00CD4BD8" w:rsidP="005560B0">
            <w:pPr>
              <w:jc w:val="right"/>
              <w:rPr>
                <w:u w:val="single"/>
              </w:rPr>
            </w:pPr>
            <w:r w:rsidRPr="00F22A05">
              <w:rPr>
                <w:u w:val="single"/>
              </w:rPr>
              <w:t>0.</w:t>
            </w:r>
            <w:r w:rsidR="00B82704" w:rsidRPr="00F22A05">
              <w:rPr>
                <w:u w:val="single"/>
              </w:rPr>
              <w:t>1</w:t>
            </w:r>
            <w:r w:rsidRPr="00F22A05">
              <w:rPr>
                <w:u w:val="single"/>
              </w:rPr>
              <w:t>5</w:t>
            </w:r>
          </w:p>
        </w:tc>
        <w:tc>
          <w:tcPr>
            <w:tcW w:w="1080" w:type="dxa"/>
            <w:vAlign w:val="center"/>
          </w:tcPr>
          <w:p w14:paraId="5E897FD7" w14:textId="66EA53F9" w:rsidR="00CD4BD8" w:rsidRPr="00F22A05" w:rsidRDefault="00CD4BD8" w:rsidP="005560B0">
            <w:pPr>
              <w:jc w:val="right"/>
              <w:rPr>
                <w:u w:val="single"/>
              </w:rPr>
            </w:pPr>
            <w:r w:rsidRPr="00F22A05">
              <w:rPr>
                <w:u w:val="single"/>
              </w:rPr>
              <w:t>0.9</w:t>
            </w:r>
          </w:p>
        </w:tc>
      </w:tr>
      <w:tr w:rsidR="00F22A05" w:rsidRPr="00F22A05" w14:paraId="20170442" w14:textId="0BF8C9F3" w:rsidTr="006145CB">
        <w:trPr>
          <w:trHeight w:val="315"/>
          <w:jc w:val="center"/>
        </w:trPr>
        <w:tc>
          <w:tcPr>
            <w:tcW w:w="1890" w:type="dxa"/>
            <w:shd w:val="clear" w:color="auto" w:fill="auto"/>
            <w:noWrap/>
            <w:vAlign w:val="bottom"/>
          </w:tcPr>
          <w:p w14:paraId="49736011" w14:textId="77777777" w:rsidR="008D19D8" w:rsidRPr="00F22A05" w:rsidRDefault="008D19D8" w:rsidP="00B82EFA">
            <w:r w:rsidRPr="00F22A05">
              <w:t>Dishwasher</w:t>
            </w:r>
          </w:p>
        </w:tc>
        <w:tc>
          <w:tcPr>
            <w:tcW w:w="1470" w:type="dxa"/>
          </w:tcPr>
          <w:p w14:paraId="6A39506D" w14:textId="4C78466E" w:rsidR="008D19D8" w:rsidRPr="00F22A05" w:rsidRDefault="008D19D8" w:rsidP="00B82EFA">
            <w:pPr>
              <w:jc w:val="center"/>
            </w:pPr>
            <w:r w:rsidRPr="00F22A05">
              <w:t>kWh/y</w:t>
            </w:r>
          </w:p>
        </w:tc>
        <w:tc>
          <w:tcPr>
            <w:tcW w:w="1119" w:type="dxa"/>
            <w:shd w:val="clear" w:color="auto" w:fill="auto"/>
            <w:noWrap/>
            <w:vAlign w:val="bottom"/>
          </w:tcPr>
          <w:p w14:paraId="33CF6726" w14:textId="00FA5BC9" w:rsidR="008D19D8" w:rsidRPr="00F22A05" w:rsidRDefault="008D19D8" w:rsidP="00B82EFA">
            <w:pPr>
              <w:jc w:val="right"/>
            </w:pPr>
            <w:r w:rsidRPr="00F22A05">
              <w:t>60</w:t>
            </w:r>
          </w:p>
        </w:tc>
        <w:tc>
          <w:tcPr>
            <w:tcW w:w="1120" w:type="dxa"/>
            <w:shd w:val="clear" w:color="auto" w:fill="auto"/>
            <w:noWrap/>
            <w:vAlign w:val="bottom"/>
          </w:tcPr>
          <w:p w14:paraId="36B4F8D1" w14:textId="77777777" w:rsidR="008D19D8" w:rsidRPr="00F22A05" w:rsidRDefault="008D19D8" w:rsidP="00B82EFA"/>
        </w:tc>
        <w:tc>
          <w:tcPr>
            <w:tcW w:w="1120" w:type="dxa"/>
            <w:shd w:val="clear" w:color="auto" w:fill="auto"/>
            <w:noWrap/>
            <w:vAlign w:val="bottom"/>
          </w:tcPr>
          <w:p w14:paraId="57BA45DD" w14:textId="1F9FEE63" w:rsidR="008D19D8" w:rsidRPr="00F22A05" w:rsidRDefault="008D19D8" w:rsidP="00B82EFA">
            <w:pPr>
              <w:jc w:val="right"/>
            </w:pPr>
            <w:r w:rsidRPr="00F22A05">
              <w:t>24</w:t>
            </w:r>
          </w:p>
        </w:tc>
        <w:tc>
          <w:tcPr>
            <w:tcW w:w="1016" w:type="dxa"/>
          </w:tcPr>
          <w:p w14:paraId="4DB0C1C1" w14:textId="378A6DB6" w:rsidR="008D19D8" w:rsidRPr="00F22A05" w:rsidRDefault="000C21F4" w:rsidP="00B82EFA">
            <w:pPr>
              <w:jc w:val="right"/>
              <w:rPr>
                <w:u w:val="single"/>
              </w:rPr>
            </w:pPr>
            <w:r w:rsidRPr="00F22A05">
              <w:rPr>
                <w:u w:val="single"/>
              </w:rPr>
              <w:t>0.</w:t>
            </w:r>
            <w:r w:rsidR="00B82704" w:rsidRPr="00F22A05">
              <w:rPr>
                <w:u w:val="single"/>
              </w:rPr>
              <w:t>6</w:t>
            </w:r>
          </w:p>
        </w:tc>
        <w:tc>
          <w:tcPr>
            <w:tcW w:w="1080" w:type="dxa"/>
          </w:tcPr>
          <w:p w14:paraId="626817A9" w14:textId="23888FF6" w:rsidR="008D19D8" w:rsidRPr="00F22A05" w:rsidRDefault="000C21F4" w:rsidP="00B82EFA">
            <w:pPr>
              <w:jc w:val="right"/>
              <w:rPr>
                <w:u w:val="single"/>
              </w:rPr>
            </w:pPr>
            <w:r w:rsidRPr="00F22A05">
              <w:rPr>
                <w:u w:val="single"/>
              </w:rPr>
              <w:t>0.5</w:t>
            </w:r>
          </w:p>
        </w:tc>
      </w:tr>
      <w:tr w:rsidR="008D19D8" w:rsidRPr="00F22A05" w14:paraId="711E8C38" w14:textId="6651535C" w:rsidTr="006145CB">
        <w:trPr>
          <w:trHeight w:val="315"/>
          <w:jc w:val="center"/>
        </w:trPr>
        <w:tc>
          <w:tcPr>
            <w:tcW w:w="1890" w:type="dxa"/>
            <w:shd w:val="clear" w:color="auto" w:fill="auto"/>
            <w:noWrap/>
            <w:vAlign w:val="bottom"/>
          </w:tcPr>
          <w:p w14:paraId="2E0B0AB4" w14:textId="77777777" w:rsidR="008D19D8" w:rsidRPr="00F22A05" w:rsidRDefault="008D19D8" w:rsidP="00B82EFA">
            <w:r w:rsidRPr="00F22A05">
              <w:t>Clothes Washer</w:t>
            </w:r>
          </w:p>
        </w:tc>
        <w:tc>
          <w:tcPr>
            <w:tcW w:w="1470" w:type="dxa"/>
          </w:tcPr>
          <w:p w14:paraId="78A6741A" w14:textId="77777777" w:rsidR="008D19D8" w:rsidRPr="00F22A05" w:rsidRDefault="008D19D8" w:rsidP="00B82EFA">
            <w:pPr>
              <w:jc w:val="center"/>
            </w:pPr>
            <w:r w:rsidRPr="00F22A05">
              <w:t>kWh/y</w:t>
            </w:r>
          </w:p>
        </w:tc>
        <w:tc>
          <w:tcPr>
            <w:tcW w:w="1119" w:type="dxa"/>
            <w:shd w:val="clear" w:color="auto" w:fill="auto"/>
            <w:noWrap/>
            <w:vAlign w:val="bottom"/>
          </w:tcPr>
          <w:p w14:paraId="24C10C0C" w14:textId="55890091" w:rsidR="008D19D8" w:rsidRPr="00F22A05" w:rsidRDefault="008D19D8" w:rsidP="00B82EFA">
            <w:pPr>
              <w:jc w:val="right"/>
            </w:pPr>
            <w:r w:rsidRPr="00F22A05">
              <w:t>53.53</w:t>
            </w:r>
          </w:p>
        </w:tc>
        <w:tc>
          <w:tcPr>
            <w:tcW w:w="1120" w:type="dxa"/>
            <w:shd w:val="clear" w:color="auto" w:fill="auto"/>
            <w:noWrap/>
            <w:vAlign w:val="bottom"/>
          </w:tcPr>
          <w:p w14:paraId="1CF7F2EA" w14:textId="77777777" w:rsidR="008D19D8" w:rsidRPr="00F22A05" w:rsidRDefault="008D19D8" w:rsidP="00B82EFA"/>
        </w:tc>
        <w:tc>
          <w:tcPr>
            <w:tcW w:w="1120" w:type="dxa"/>
            <w:shd w:val="clear" w:color="auto" w:fill="auto"/>
            <w:noWrap/>
            <w:vAlign w:val="bottom"/>
          </w:tcPr>
          <w:p w14:paraId="6F2ECA94" w14:textId="03E78D4A" w:rsidR="008D19D8" w:rsidRPr="00F22A05" w:rsidRDefault="008D19D8" w:rsidP="00B82EFA">
            <w:pPr>
              <w:jc w:val="right"/>
            </w:pPr>
            <w:r w:rsidRPr="00F22A05">
              <w:t>15.18</w:t>
            </w:r>
          </w:p>
        </w:tc>
        <w:tc>
          <w:tcPr>
            <w:tcW w:w="1016" w:type="dxa"/>
          </w:tcPr>
          <w:p w14:paraId="798F84C2" w14:textId="654126F7" w:rsidR="008D19D8" w:rsidRPr="00F22A05" w:rsidRDefault="00F20057" w:rsidP="00B82EFA">
            <w:pPr>
              <w:jc w:val="right"/>
              <w:rPr>
                <w:u w:val="single"/>
              </w:rPr>
            </w:pPr>
            <w:r w:rsidRPr="00F22A05">
              <w:rPr>
                <w:u w:val="single"/>
              </w:rPr>
              <w:t>0.</w:t>
            </w:r>
            <w:r w:rsidR="00B82704" w:rsidRPr="00F22A05">
              <w:rPr>
                <w:u w:val="single"/>
              </w:rPr>
              <w:t>3</w:t>
            </w:r>
          </w:p>
        </w:tc>
        <w:tc>
          <w:tcPr>
            <w:tcW w:w="1080" w:type="dxa"/>
          </w:tcPr>
          <w:p w14:paraId="58F7D2A7" w14:textId="5F4299DF" w:rsidR="008D19D8" w:rsidRPr="00F22A05" w:rsidRDefault="00B82704" w:rsidP="00B82EFA">
            <w:pPr>
              <w:jc w:val="right"/>
              <w:rPr>
                <w:u w:val="single"/>
              </w:rPr>
            </w:pPr>
            <w:r w:rsidRPr="00F22A05">
              <w:rPr>
                <w:u w:val="single"/>
              </w:rPr>
              <w:t>0.9</w:t>
            </w:r>
          </w:p>
        </w:tc>
      </w:tr>
    </w:tbl>
    <w:p w14:paraId="3BF6354F" w14:textId="77777777" w:rsidR="008F1DC1" w:rsidRPr="00F22A05" w:rsidRDefault="008F1DC1" w:rsidP="008F1DC1"/>
    <w:p w14:paraId="65680720" w14:textId="77777777" w:rsidR="008F484C" w:rsidRPr="00FA69E8" w:rsidRDefault="008F484C" w:rsidP="00581A21">
      <w:pPr>
        <w:ind w:left="630"/>
      </w:pPr>
    </w:p>
    <w:p w14:paraId="54F6D725" w14:textId="77777777" w:rsidR="008F484C" w:rsidRPr="00FA69E8" w:rsidRDefault="008F484C" w:rsidP="008F1DC1">
      <w:bookmarkStart w:id="58" w:name="_Hlk161054896"/>
      <w:bookmarkEnd w:id="57"/>
    </w:p>
    <w:p w14:paraId="50B09FAC" w14:textId="71849CE7" w:rsidR="004D298A" w:rsidRDefault="00455F74" w:rsidP="00671DAC">
      <w:pPr>
        <w:pStyle w:val="sixa"/>
        <w:numPr>
          <w:ilvl w:val="0"/>
          <w:numId w:val="0"/>
        </w:numPr>
        <w:ind w:left="2610"/>
        <w:rPr>
          <w:b/>
          <w:vertAlign w:val="superscript"/>
        </w:rPr>
      </w:pPr>
      <w:proofErr w:type="gramStart"/>
      <w:r w:rsidRPr="00F22A05">
        <w:rPr>
          <w:b/>
        </w:rPr>
        <w:t xml:space="preserve">4.2.2.7.1.2  </w:t>
      </w:r>
      <w:r w:rsidR="008F1DC1" w:rsidRPr="00F22A05">
        <w:rPr>
          <w:b/>
          <w:strike/>
        </w:rPr>
        <w:t>Reference</w:t>
      </w:r>
      <w:proofErr w:type="gramEnd"/>
      <w:r w:rsidR="008F1DC1" w:rsidRPr="00F22A05">
        <w:rPr>
          <w:b/>
          <w:strike/>
        </w:rPr>
        <w:t xml:space="preserve"> Home</w:t>
      </w:r>
      <w:r w:rsidR="004D298A" w:rsidRPr="00F22A05">
        <w:rPr>
          <w:b/>
          <w:strike/>
        </w:rPr>
        <w:t xml:space="preserve">s with </w:t>
      </w:r>
      <w:r w:rsidR="004D298A" w:rsidRPr="00F22A05">
        <w:rPr>
          <w:b/>
        </w:rPr>
        <w:t xml:space="preserve">Natural Gas Appliances. </w:t>
      </w:r>
      <w:r w:rsidR="008F1DC1" w:rsidRPr="00F22A05">
        <w:t xml:space="preserve">Where the Rated Home </w:t>
      </w:r>
      <w:r w:rsidR="00FF3797" w:rsidRPr="00F22A05">
        <w:t>has</w:t>
      </w:r>
      <w:r w:rsidR="008F1DC1" w:rsidRPr="00F22A05">
        <w:t xml:space="preserve"> gas appliances, </w:t>
      </w:r>
      <w:r w:rsidR="00FF3797" w:rsidRPr="00F22A05">
        <w:t xml:space="preserve">those appliances in </w:t>
      </w:r>
      <w:r w:rsidR="008F1DC1" w:rsidRPr="00F22A05">
        <w:t xml:space="preserve">the </w:t>
      </w:r>
      <w:r w:rsidR="00FF3797" w:rsidRPr="00F22A05">
        <w:t xml:space="preserve">Energy Rating </w:t>
      </w:r>
      <w:r w:rsidR="006F055E" w:rsidRPr="00F22A05">
        <w:t xml:space="preserve">Reference Home </w:t>
      </w:r>
      <w:r w:rsidR="008F1DC1" w:rsidRPr="00F22A05">
        <w:t xml:space="preserve">shall be </w:t>
      </w:r>
      <w:r w:rsidR="006F055E" w:rsidRPr="00F22A05">
        <w:t>d</w:t>
      </w:r>
      <w:r w:rsidR="00FF3797" w:rsidRPr="00F22A05">
        <w:t>etermined in accordance with the</w:t>
      </w:r>
      <w:r w:rsidR="008F1DC1" w:rsidRPr="00F22A05">
        <w:t xml:space="preserve"> natural gas and electric appliance loads provided below in Table 4.2.2.</w:t>
      </w:r>
      <w:r w:rsidR="008F1DC1" w:rsidRPr="00F22A05">
        <w:rPr>
          <w:strike/>
        </w:rPr>
        <w:t>5</w:t>
      </w:r>
      <w:r w:rsidR="005560B0" w:rsidRPr="00F22A05">
        <w:rPr>
          <w:u w:val="single"/>
        </w:rPr>
        <w:t>7</w:t>
      </w:r>
      <w:r w:rsidR="008F1DC1" w:rsidRPr="00F22A05">
        <w:t>(2), as applicable</w:t>
      </w:r>
      <w:r w:rsidR="00FF3797" w:rsidRPr="00F22A05">
        <w:t xml:space="preserve"> for each appliance</w:t>
      </w:r>
      <w:r w:rsidR="008F1DC1" w:rsidRPr="00F22A05">
        <w:t>.</w:t>
      </w:r>
      <w:r w:rsidR="003C228B" w:rsidRPr="00F22A05">
        <w:rPr>
          <w:b/>
          <w:vertAlign w:val="superscript"/>
        </w:rPr>
        <w:t xml:space="preserve"> 1</w:t>
      </w:r>
    </w:p>
    <w:p w14:paraId="3FC9A42D" w14:textId="77777777" w:rsidR="00DC54A7" w:rsidRDefault="00DC54A7" w:rsidP="00671DAC">
      <w:pPr>
        <w:pStyle w:val="sixa"/>
        <w:numPr>
          <w:ilvl w:val="0"/>
          <w:numId w:val="0"/>
        </w:numPr>
        <w:ind w:left="2610"/>
        <w:rPr>
          <w:b/>
          <w:vertAlign w:val="superscript"/>
        </w:rPr>
      </w:pPr>
    </w:p>
    <w:p w14:paraId="2A784FFB" w14:textId="77777777" w:rsidR="00DC54A7" w:rsidRDefault="00DC54A7" w:rsidP="00671DAC">
      <w:pPr>
        <w:pStyle w:val="sixa"/>
        <w:numPr>
          <w:ilvl w:val="0"/>
          <w:numId w:val="0"/>
        </w:numPr>
        <w:ind w:left="2610"/>
        <w:rPr>
          <w:b/>
          <w:vertAlign w:val="superscript"/>
        </w:rPr>
      </w:pPr>
    </w:p>
    <w:p w14:paraId="12804044" w14:textId="77777777" w:rsidR="00DC54A7" w:rsidRPr="00F22A05" w:rsidRDefault="00DC54A7" w:rsidP="00671DAC">
      <w:pPr>
        <w:pStyle w:val="sixa"/>
        <w:numPr>
          <w:ilvl w:val="0"/>
          <w:numId w:val="0"/>
        </w:numPr>
        <w:ind w:left="2610"/>
        <w:rPr>
          <w:b/>
        </w:rPr>
      </w:pPr>
    </w:p>
    <w:p w14:paraId="04B57B70" w14:textId="681ACE2B" w:rsidR="00DE6436" w:rsidRPr="00F22A05" w:rsidRDefault="00DE6436" w:rsidP="00DE6436">
      <w:pPr>
        <w:pStyle w:val="sixth"/>
        <w:numPr>
          <w:ilvl w:val="0"/>
          <w:numId w:val="0"/>
        </w:numPr>
        <w:ind w:left="2610"/>
        <w:rPr>
          <w:b/>
        </w:rPr>
      </w:pPr>
    </w:p>
    <w:p w14:paraId="275D49D0" w14:textId="28EB4D06" w:rsidR="008F1DC1" w:rsidRPr="00F22A05" w:rsidRDefault="008F1DC1" w:rsidP="008F1DC1">
      <w:pPr>
        <w:jc w:val="center"/>
        <w:rPr>
          <w:b/>
        </w:rPr>
      </w:pPr>
      <w:r w:rsidRPr="00F22A05">
        <w:rPr>
          <w:b/>
        </w:rPr>
        <w:lastRenderedPageBreak/>
        <w:t>Table 4.2.2.</w:t>
      </w:r>
      <w:r w:rsidRPr="00F22A05">
        <w:rPr>
          <w:b/>
          <w:strike/>
        </w:rPr>
        <w:t>5</w:t>
      </w:r>
      <w:r w:rsidR="001A22DE" w:rsidRPr="00F22A05">
        <w:rPr>
          <w:b/>
          <w:u w:val="single"/>
        </w:rPr>
        <w:t>7</w:t>
      </w:r>
      <w:r w:rsidRPr="00F22A05">
        <w:rPr>
          <w:b/>
        </w:rPr>
        <w:t xml:space="preserve">(2) Natural Gas Appliance Loads </w:t>
      </w:r>
      <w:r w:rsidRPr="00F22A05">
        <w:rPr>
          <w:b/>
        </w:rPr>
        <w:br/>
        <w:t xml:space="preserve">for Energy Rating Reference Homes with Gas </w:t>
      </w:r>
      <w:proofErr w:type="gramStart"/>
      <w:r w:rsidRPr="00F22A05">
        <w:rPr>
          <w:b/>
        </w:rPr>
        <w:t>Appliances</w:t>
      </w:r>
      <w:r w:rsidR="00DC54A7" w:rsidRPr="00DC54A7">
        <w:rPr>
          <w:b/>
          <w:color w:val="0070C0"/>
          <w:vertAlign w:val="superscript"/>
        </w:rPr>
        <w:t>(</w:t>
      </w:r>
      <w:proofErr w:type="gramEnd"/>
      <w:r w:rsidR="00DC54A7" w:rsidRPr="00DC54A7">
        <w:rPr>
          <w:b/>
          <w:color w:val="0070C0"/>
          <w:vertAlign w:val="superscript"/>
        </w:rPr>
        <w:t>1)</w:t>
      </w:r>
    </w:p>
    <w:tbl>
      <w:tblPr>
        <w:tblW w:w="0" w:type="auto"/>
        <w:jc w:val="center"/>
        <w:tblLayout w:type="fixed"/>
        <w:tblLook w:val="04A0" w:firstRow="1" w:lastRow="0" w:firstColumn="1" w:lastColumn="0" w:noHBand="0" w:noVBand="1"/>
      </w:tblPr>
      <w:tblGrid>
        <w:gridCol w:w="2430"/>
        <w:gridCol w:w="1518"/>
        <w:gridCol w:w="814"/>
        <w:gridCol w:w="814"/>
        <w:gridCol w:w="815"/>
        <w:gridCol w:w="894"/>
        <w:gridCol w:w="900"/>
      </w:tblGrid>
      <w:tr w:rsidR="00F22A05" w:rsidRPr="00F22A05" w14:paraId="78406AC7" w14:textId="420B9252" w:rsidTr="00581A21">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573EC" w14:textId="17C03076" w:rsidR="00374261" w:rsidRPr="00F22A05" w:rsidRDefault="00374261" w:rsidP="00B82EFA">
            <w:pPr>
              <w:rPr>
                <w:b/>
                <w:bCs/>
              </w:rPr>
            </w:pPr>
            <w:r w:rsidRPr="00F22A05">
              <w:rPr>
                <w:b/>
                <w:bCs/>
              </w:rPr>
              <w:t xml:space="preserve">End Use </w:t>
            </w:r>
            <w:r w:rsidRPr="00F22A05">
              <w:rPr>
                <w:b/>
                <w:bCs/>
              </w:rPr>
              <w:br/>
              <w:t>Component</w:t>
            </w:r>
            <w:r w:rsidRPr="00F22A05">
              <w:rPr>
                <w:b/>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14:paraId="3D9D09E3" w14:textId="77777777" w:rsidR="00374261" w:rsidRPr="00F22A05" w:rsidRDefault="00374261" w:rsidP="00B82EFA">
            <w:pPr>
              <w:jc w:val="center"/>
              <w:rPr>
                <w:b/>
                <w:bCs/>
              </w:rPr>
            </w:pPr>
            <w:r w:rsidRPr="00F22A05">
              <w:rPr>
                <w:b/>
                <w:bCs/>
              </w:rPr>
              <w:t>Units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912B8C" w14:textId="77777777" w:rsidR="00374261" w:rsidRPr="00F22A05" w:rsidRDefault="00374261" w:rsidP="00B82EFA">
            <w:pPr>
              <w:jc w:val="center"/>
              <w:rPr>
                <w:b/>
                <w:bCs/>
              </w:rPr>
            </w:pPr>
            <w:r w:rsidRPr="00F22A05">
              <w:rPr>
                <w:b/>
                <w:bCs/>
              </w:rPr>
              <w:t>Equation Coefficients</w:t>
            </w:r>
          </w:p>
        </w:tc>
        <w:tc>
          <w:tcPr>
            <w:tcW w:w="894" w:type="dxa"/>
            <w:vMerge w:val="restart"/>
            <w:tcBorders>
              <w:top w:val="single" w:sz="4" w:space="0" w:color="auto"/>
              <w:left w:val="single" w:sz="4" w:space="0" w:color="auto"/>
              <w:right w:val="single" w:sz="4" w:space="0" w:color="auto"/>
            </w:tcBorders>
          </w:tcPr>
          <w:p w14:paraId="1669DFA4" w14:textId="2542567A" w:rsidR="00374261" w:rsidRPr="00F22A05" w:rsidRDefault="00374261" w:rsidP="00B82EFA">
            <w:pPr>
              <w:jc w:val="center"/>
              <w:rPr>
                <w:b/>
                <w:bCs/>
                <w:u w:val="single"/>
              </w:rPr>
            </w:pPr>
            <w:proofErr w:type="spellStart"/>
            <w:r w:rsidRPr="00F22A05">
              <w:rPr>
                <w:b/>
                <w:bCs/>
                <w:u w:val="single"/>
              </w:rPr>
              <w:t>f</w:t>
            </w:r>
            <w:r w:rsidR="00B82704" w:rsidRPr="00F22A05">
              <w:rPr>
                <w:b/>
                <w:bCs/>
                <w:u w:val="single"/>
                <w:vertAlign w:val="subscript"/>
              </w:rPr>
              <w:t>internal</w:t>
            </w:r>
            <w:proofErr w:type="spellEnd"/>
          </w:p>
        </w:tc>
        <w:tc>
          <w:tcPr>
            <w:tcW w:w="900" w:type="dxa"/>
            <w:vMerge w:val="restart"/>
            <w:tcBorders>
              <w:top w:val="single" w:sz="4" w:space="0" w:color="auto"/>
              <w:left w:val="single" w:sz="4" w:space="0" w:color="auto"/>
              <w:right w:val="single" w:sz="4" w:space="0" w:color="auto"/>
            </w:tcBorders>
          </w:tcPr>
          <w:p w14:paraId="50F92E14" w14:textId="75001556" w:rsidR="00374261" w:rsidRPr="00F22A05" w:rsidRDefault="00374261" w:rsidP="00B82EFA">
            <w:pPr>
              <w:jc w:val="center"/>
              <w:rPr>
                <w:b/>
                <w:bCs/>
                <w:u w:val="single"/>
              </w:rPr>
            </w:pPr>
            <w:proofErr w:type="spellStart"/>
            <w:r w:rsidRPr="00F22A05">
              <w:rPr>
                <w:b/>
                <w:bCs/>
                <w:u w:val="single"/>
              </w:rPr>
              <w:t>f</w:t>
            </w:r>
            <w:r w:rsidRPr="00F22A05">
              <w:rPr>
                <w:b/>
                <w:bCs/>
                <w:u w:val="single"/>
                <w:vertAlign w:val="subscript"/>
              </w:rPr>
              <w:t>sensible</w:t>
            </w:r>
            <w:proofErr w:type="spellEnd"/>
          </w:p>
        </w:tc>
      </w:tr>
      <w:tr w:rsidR="00F22A05" w:rsidRPr="00F22A05" w14:paraId="581A49B7" w14:textId="522DC8F6" w:rsidTr="00581A21">
        <w:trPr>
          <w:trHeight w:val="342"/>
          <w:tblHeader/>
          <w:jc w:val="center"/>
        </w:trPr>
        <w:tc>
          <w:tcPr>
            <w:tcW w:w="2430" w:type="dxa"/>
            <w:vMerge/>
            <w:tcBorders>
              <w:top w:val="single" w:sz="4" w:space="0" w:color="auto"/>
              <w:left w:val="single" w:sz="4" w:space="0" w:color="auto"/>
              <w:bottom w:val="single" w:sz="4" w:space="0" w:color="auto"/>
              <w:right w:val="single" w:sz="4" w:space="0" w:color="auto"/>
            </w:tcBorders>
            <w:vAlign w:val="center"/>
          </w:tcPr>
          <w:p w14:paraId="5A4D5B16" w14:textId="77777777" w:rsidR="00374261" w:rsidRPr="00F22A05" w:rsidRDefault="00374261" w:rsidP="00B82EFA">
            <w:pPr>
              <w:rPr>
                <w:bCs/>
              </w:rPr>
            </w:pPr>
          </w:p>
        </w:tc>
        <w:tc>
          <w:tcPr>
            <w:tcW w:w="1518" w:type="dxa"/>
            <w:vMerge/>
            <w:tcBorders>
              <w:top w:val="single" w:sz="4" w:space="0" w:color="auto"/>
              <w:left w:val="single" w:sz="4" w:space="0" w:color="auto"/>
              <w:bottom w:val="single" w:sz="4" w:space="0" w:color="auto"/>
              <w:right w:val="single" w:sz="4" w:space="0" w:color="auto"/>
            </w:tcBorders>
          </w:tcPr>
          <w:p w14:paraId="64AC5280" w14:textId="77777777" w:rsidR="00374261" w:rsidRPr="00F22A05" w:rsidRDefault="00374261" w:rsidP="00B82EFA">
            <w:pPr>
              <w:jc w:val="right"/>
              <w:rPr>
                <w:bCs/>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EDD7" w14:textId="77777777" w:rsidR="00374261" w:rsidRPr="00F22A05" w:rsidRDefault="00374261" w:rsidP="00B82EFA">
            <w:pPr>
              <w:jc w:val="right"/>
              <w:rPr>
                <w:bCs/>
              </w:rPr>
            </w:pPr>
            <w:r w:rsidRPr="00F22A05">
              <w:rPr>
                <w:bCs/>
              </w:rPr>
              <w: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215D1" w14:textId="77777777" w:rsidR="00374261" w:rsidRPr="00F22A05" w:rsidRDefault="00374261" w:rsidP="00B82EFA">
            <w:pPr>
              <w:jc w:val="right"/>
              <w:rPr>
                <w:bCs/>
              </w:rPr>
            </w:pPr>
            <w:r w:rsidRPr="00F22A05">
              <w:rPr>
                <w:bCs/>
              </w:rPr>
              <w:t>b</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BC0D" w14:textId="77777777" w:rsidR="00374261" w:rsidRPr="00F22A05" w:rsidRDefault="00374261" w:rsidP="00B82EFA">
            <w:pPr>
              <w:jc w:val="right"/>
              <w:rPr>
                <w:bCs/>
              </w:rPr>
            </w:pPr>
            <w:r w:rsidRPr="00F22A05">
              <w:rPr>
                <w:bCs/>
              </w:rPr>
              <w:t>c</w:t>
            </w:r>
          </w:p>
        </w:tc>
        <w:tc>
          <w:tcPr>
            <w:tcW w:w="894" w:type="dxa"/>
            <w:vMerge/>
            <w:tcBorders>
              <w:left w:val="single" w:sz="4" w:space="0" w:color="auto"/>
              <w:bottom w:val="single" w:sz="4" w:space="0" w:color="auto"/>
              <w:right w:val="single" w:sz="4" w:space="0" w:color="auto"/>
            </w:tcBorders>
          </w:tcPr>
          <w:p w14:paraId="0D7AD69D" w14:textId="77777777" w:rsidR="00374261" w:rsidRPr="00F22A05" w:rsidRDefault="00374261" w:rsidP="00B82EFA">
            <w:pPr>
              <w:jc w:val="right"/>
              <w:rPr>
                <w:bCs/>
              </w:rPr>
            </w:pPr>
          </w:p>
        </w:tc>
        <w:tc>
          <w:tcPr>
            <w:tcW w:w="900" w:type="dxa"/>
            <w:vMerge/>
            <w:tcBorders>
              <w:left w:val="single" w:sz="4" w:space="0" w:color="auto"/>
              <w:bottom w:val="single" w:sz="4" w:space="0" w:color="auto"/>
              <w:right w:val="single" w:sz="4" w:space="0" w:color="auto"/>
            </w:tcBorders>
          </w:tcPr>
          <w:p w14:paraId="4183795B" w14:textId="77777777" w:rsidR="00374261" w:rsidRPr="00F22A05" w:rsidRDefault="00374261" w:rsidP="00B82EFA">
            <w:pPr>
              <w:jc w:val="right"/>
              <w:rPr>
                <w:bCs/>
              </w:rPr>
            </w:pPr>
          </w:p>
        </w:tc>
      </w:tr>
      <w:tr w:rsidR="00F22A05" w:rsidRPr="00F22A05" w14:paraId="18FD806F" w14:textId="33D7D68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23B8FEA0" w14:textId="77777777" w:rsidR="00A152B6" w:rsidRPr="00F22A05" w:rsidRDefault="00A152B6" w:rsidP="00B82EFA">
            <w:pPr>
              <w:rPr>
                <w:strike/>
              </w:rPr>
            </w:pPr>
            <w:r w:rsidRPr="00F22A05">
              <w:t>Range/Oven</w:t>
            </w:r>
          </w:p>
          <w:p w14:paraId="038AC93A" w14:textId="0B0D1758" w:rsidR="00A152B6" w:rsidRPr="00F22A05" w:rsidRDefault="00A152B6" w:rsidP="00B82EFA">
            <w:r w:rsidRPr="00F22A05">
              <w:rPr>
                <w:strike/>
              </w:rPr>
              <w:t>Range/Oven</w:t>
            </w:r>
          </w:p>
        </w:tc>
        <w:tc>
          <w:tcPr>
            <w:tcW w:w="1518" w:type="dxa"/>
            <w:tcBorders>
              <w:top w:val="single" w:sz="4" w:space="0" w:color="auto"/>
              <w:left w:val="single" w:sz="4" w:space="0" w:color="auto"/>
              <w:bottom w:val="single" w:sz="4" w:space="0" w:color="auto"/>
              <w:right w:val="single" w:sz="4" w:space="0" w:color="auto"/>
            </w:tcBorders>
            <w:vAlign w:val="center"/>
          </w:tcPr>
          <w:p w14:paraId="7E565E14" w14:textId="77777777" w:rsidR="00A152B6" w:rsidRPr="00F22A05" w:rsidRDefault="00A152B6" w:rsidP="00B82EFA">
            <w:pPr>
              <w:jc w:val="center"/>
            </w:pPr>
            <w:proofErr w:type="spellStart"/>
            <w:r w:rsidRPr="00F22A05">
              <w:t>Therms</w:t>
            </w:r>
            <w:proofErr w:type="spellEnd"/>
            <w:r w:rsidRPr="00F22A05">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2551" w14:textId="77777777" w:rsidR="00A152B6" w:rsidRPr="00F22A05" w:rsidRDefault="00A152B6" w:rsidP="00B82EFA">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7E99" w14:textId="77777777" w:rsidR="00A152B6" w:rsidRPr="00F22A05"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9C2E" w14:textId="77777777" w:rsidR="00A152B6" w:rsidRPr="00F22A05" w:rsidRDefault="00A152B6" w:rsidP="00B82EFA">
            <w:pPr>
              <w:jc w:val="right"/>
            </w:pPr>
            <w:r w:rsidRPr="00F22A05">
              <w:t>2.7</w:t>
            </w:r>
          </w:p>
        </w:tc>
        <w:tc>
          <w:tcPr>
            <w:tcW w:w="894" w:type="dxa"/>
            <w:vMerge w:val="restart"/>
            <w:tcBorders>
              <w:top w:val="single" w:sz="4" w:space="0" w:color="auto"/>
              <w:left w:val="single" w:sz="4" w:space="0" w:color="auto"/>
              <w:right w:val="single" w:sz="4" w:space="0" w:color="auto"/>
            </w:tcBorders>
          </w:tcPr>
          <w:p w14:paraId="19BA9B95" w14:textId="0B99C610" w:rsidR="00A152B6" w:rsidRPr="00F22A05" w:rsidRDefault="00A152B6" w:rsidP="00B82EFA">
            <w:pPr>
              <w:jc w:val="right"/>
              <w:rPr>
                <w:u w:val="single"/>
              </w:rPr>
            </w:pPr>
            <w:r w:rsidRPr="00F22A05">
              <w:rPr>
                <w:u w:val="single"/>
              </w:rPr>
              <w:t>0.</w:t>
            </w:r>
            <w:r w:rsidR="00B82704" w:rsidRPr="00F22A05">
              <w:rPr>
                <w:u w:val="single"/>
              </w:rPr>
              <w:t>8</w:t>
            </w:r>
          </w:p>
        </w:tc>
        <w:tc>
          <w:tcPr>
            <w:tcW w:w="900" w:type="dxa"/>
            <w:vMerge w:val="restart"/>
            <w:tcBorders>
              <w:top w:val="single" w:sz="4" w:space="0" w:color="auto"/>
              <w:left w:val="single" w:sz="4" w:space="0" w:color="auto"/>
              <w:right w:val="single" w:sz="4" w:space="0" w:color="auto"/>
            </w:tcBorders>
          </w:tcPr>
          <w:p w14:paraId="7A4EB77C" w14:textId="1F1B3DE4" w:rsidR="00A152B6" w:rsidRPr="00F22A05" w:rsidRDefault="00A152B6" w:rsidP="00B82EFA">
            <w:pPr>
              <w:jc w:val="right"/>
              <w:rPr>
                <w:u w:val="single"/>
              </w:rPr>
            </w:pPr>
            <w:r w:rsidRPr="00F22A05">
              <w:rPr>
                <w:u w:val="single"/>
              </w:rPr>
              <w:t>0.8</w:t>
            </w:r>
          </w:p>
        </w:tc>
      </w:tr>
      <w:tr w:rsidR="00F22A05" w:rsidRPr="00F22A05" w14:paraId="1E140CFD" w14:textId="3D3BA487"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5034CF21" w14:textId="0A136B1E" w:rsidR="00A152B6" w:rsidRPr="00F22A05" w:rsidRDefault="00A152B6" w:rsidP="00B82EFA"/>
        </w:tc>
        <w:tc>
          <w:tcPr>
            <w:tcW w:w="1518" w:type="dxa"/>
            <w:tcBorders>
              <w:top w:val="single" w:sz="4" w:space="0" w:color="auto"/>
              <w:left w:val="single" w:sz="4" w:space="0" w:color="auto"/>
              <w:bottom w:val="single" w:sz="4" w:space="0" w:color="auto"/>
              <w:right w:val="single" w:sz="4" w:space="0" w:color="auto"/>
            </w:tcBorders>
            <w:vAlign w:val="center"/>
          </w:tcPr>
          <w:p w14:paraId="14FB16A8" w14:textId="77777777" w:rsidR="00A152B6" w:rsidRPr="00F22A05" w:rsidRDefault="00A152B6" w:rsidP="00B82EFA">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F38F" w14:textId="77777777" w:rsidR="00A152B6" w:rsidRPr="00F22A05" w:rsidRDefault="00A152B6" w:rsidP="00B82EFA">
            <w:pPr>
              <w:jc w:val="right"/>
            </w:pPr>
            <w:r w:rsidRPr="00F22A05">
              <w:t>22.6</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AE8E" w14:textId="77777777" w:rsidR="00A152B6" w:rsidRPr="00F22A05" w:rsidRDefault="00A152B6"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764B" w14:textId="77777777" w:rsidR="00A152B6" w:rsidRPr="00F22A05" w:rsidRDefault="00A152B6" w:rsidP="00B82EFA">
            <w:pPr>
              <w:jc w:val="right"/>
            </w:pPr>
            <w:r w:rsidRPr="00F22A05">
              <w:t>2.7</w:t>
            </w:r>
          </w:p>
        </w:tc>
        <w:tc>
          <w:tcPr>
            <w:tcW w:w="894" w:type="dxa"/>
            <w:vMerge/>
            <w:tcBorders>
              <w:left w:val="single" w:sz="4" w:space="0" w:color="auto"/>
              <w:bottom w:val="single" w:sz="4" w:space="0" w:color="auto"/>
              <w:right w:val="single" w:sz="4" w:space="0" w:color="auto"/>
            </w:tcBorders>
          </w:tcPr>
          <w:p w14:paraId="30FF4BEE" w14:textId="77777777" w:rsidR="00A152B6" w:rsidRPr="00F22A05" w:rsidRDefault="00A152B6" w:rsidP="00B82EFA">
            <w:pPr>
              <w:jc w:val="right"/>
            </w:pPr>
          </w:p>
        </w:tc>
        <w:tc>
          <w:tcPr>
            <w:tcW w:w="900" w:type="dxa"/>
            <w:vMerge/>
            <w:tcBorders>
              <w:left w:val="single" w:sz="4" w:space="0" w:color="auto"/>
              <w:bottom w:val="single" w:sz="4" w:space="0" w:color="auto"/>
              <w:right w:val="single" w:sz="4" w:space="0" w:color="auto"/>
            </w:tcBorders>
          </w:tcPr>
          <w:p w14:paraId="342393E7" w14:textId="77777777" w:rsidR="00A152B6" w:rsidRPr="00F22A05" w:rsidRDefault="00A152B6" w:rsidP="00B82EFA">
            <w:pPr>
              <w:jc w:val="right"/>
            </w:pPr>
          </w:p>
        </w:tc>
      </w:tr>
      <w:tr w:rsidR="00F22A05" w:rsidRPr="00F22A05" w14:paraId="4CA24519" w14:textId="659E5F3D" w:rsidTr="00581A21">
        <w:trPr>
          <w:trHeight w:val="315"/>
          <w:jc w:val="center"/>
        </w:trPr>
        <w:tc>
          <w:tcPr>
            <w:tcW w:w="2430" w:type="dxa"/>
            <w:vMerge w:val="restart"/>
            <w:tcBorders>
              <w:top w:val="single" w:sz="4" w:space="0" w:color="auto"/>
              <w:left w:val="single" w:sz="4" w:space="0" w:color="auto"/>
              <w:right w:val="single" w:sz="4" w:space="0" w:color="auto"/>
            </w:tcBorders>
            <w:shd w:val="clear" w:color="auto" w:fill="auto"/>
            <w:noWrap/>
            <w:vAlign w:val="center"/>
          </w:tcPr>
          <w:p w14:paraId="0CE1A9A4" w14:textId="677D0C9E" w:rsidR="00F1652F" w:rsidRPr="00F22A05" w:rsidRDefault="00F1652F" w:rsidP="00B82EFA">
            <w:pPr>
              <w:rPr>
                <w:strike/>
              </w:rPr>
            </w:pPr>
            <w:r w:rsidRPr="00F22A05">
              <w:t>Clothes Dryer</w:t>
            </w:r>
            <w:r w:rsidR="00C535A4" w:rsidRPr="00767F23">
              <w:rPr>
                <w:color w:val="FF0000"/>
                <w:u w:val="single"/>
              </w:rPr>
              <w:t xml:space="preserve"> (Vented)</w:t>
            </w:r>
          </w:p>
          <w:p w14:paraId="0243156A" w14:textId="4CC67082" w:rsidR="00F1652F" w:rsidRPr="00F22A05" w:rsidRDefault="00F1652F" w:rsidP="00B82EFA">
            <w:r w:rsidRPr="00F22A05">
              <w:rPr>
                <w:strike/>
              </w:rPr>
              <w:t>Clothes Dryer</w:t>
            </w:r>
          </w:p>
        </w:tc>
        <w:tc>
          <w:tcPr>
            <w:tcW w:w="1518" w:type="dxa"/>
            <w:tcBorders>
              <w:top w:val="single" w:sz="4" w:space="0" w:color="auto"/>
              <w:left w:val="single" w:sz="4" w:space="0" w:color="auto"/>
              <w:bottom w:val="single" w:sz="4" w:space="0" w:color="auto"/>
              <w:right w:val="single" w:sz="4" w:space="0" w:color="auto"/>
            </w:tcBorders>
            <w:vAlign w:val="center"/>
          </w:tcPr>
          <w:p w14:paraId="62992C44" w14:textId="77777777" w:rsidR="00F1652F" w:rsidRPr="00F22A05" w:rsidRDefault="00F1652F" w:rsidP="00B82EFA">
            <w:pPr>
              <w:jc w:val="center"/>
            </w:pPr>
            <w:proofErr w:type="spellStart"/>
            <w:r w:rsidRPr="00F22A05">
              <w:t>Therms</w:t>
            </w:r>
            <w:proofErr w:type="spellEnd"/>
            <w:r w:rsidRPr="00F22A05">
              <w:t>/y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25B7" w14:textId="3DC9D98C" w:rsidR="00F1652F" w:rsidRPr="00F22A05" w:rsidRDefault="00F1652F" w:rsidP="00B82EFA">
            <w:pPr>
              <w:jc w:val="right"/>
            </w:pPr>
            <w:r w:rsidRPr="00F22A05">
              <w:t>14.3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7B55F" w14:textId="77777777" w:rsidR="00F1652F" w:rsidRPr="00F22A05"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D9D3" w14:textId="6B74AB61" w:rsidR="00F1652F" w:rsidRPr="00F22A05" w:rsidRDefault="00F1652F" w:rsidP="00B82EFA">
            <w:pPr>
              <w:jc w:val="right"/>
              <w:rPr>
                <w:strike/>
              </w:rPr>
            </w:pPr>
            <w:r w:rsidRPr="00F22A05">
              <w:t>4.05</w:t>
            </w:r>
          </w:p>
        </w:tc>
        <w:tc>
          <w:tcPr>
            <w:tcW w:w="894" w:type="dxa"/>
            <w:vMerge w:val="restart"/>
            <w:tcBorders>
              <w:top w:val="single" w:sz="4" w:space="0" w:color="auto"/>
              <w:left w:val="single" w:sz="4" w:space="0" w:color="auto"/>
              <w:right w:val="single" w:sz="4" w:space="0" w:color="auto"/>
            </w:tcBorders>
          </w:tcPr>
          <w:p w14:paraId="6474FC9D" w14:textId="18BA446E" w:rsidR="00F1652F" w:rsidRPr="00F22A05" w:rsidRDefault="00F1652F" w:rsidP="00B82EFA">
            <w:pPr>
              <w:jc w:val="right"/>
              <w:rPr>
                <w:u w:val="single"/>
              </w:rPr>
            </w:pPr>
            <w:r w:rsidRPr="00F22A05">
              <w:rPr>
                <w:u w:val="single"/>
              </w:rPr>
              <w:t>0.</w:t>
            </w:r>
            <w:r w:rsidR="00B82704" w:rsidRPr="00F22A05">
              <w:rPr>
                <w:u w:val="single"/>
              </w:rPr>
              <w:t>1</w:t>
            </w:r>
            <w:r w:rsidRPr="00F22A05">
              <w:rPr>
                <w:u w:val="single"/>
              </w:rPr>
              <w:t>5</w:t>
            </w:r>
          </w:p>
        </w:tc>
        <w:tc>
          <w:tcPr>
            <w:tcW w:w="900" w:type="dxa"/>
            <w:vMerge w:val="restart"/>
            <w:tcBorders>
              <w:top w:val="single" w:sz="4" w:space="0" w:color="auto"/>
              <w:left w:val="single" w:sz="4" w:space="0" w:color="auto"/>
              <w:right w:val="single" w:sz="4" w:space="0" w:color="auto"/>
            </w:tcBorders>
          </w:tcPr>
          <w:p w14:paraId="07B88DE4" w14:textId="79D8BA9D" w:rsidR="00F1652F" w:rsidRPr="00F22A05" w:rsidRDefault="00F1652F" w:rsidP="00B82EFA">
            <w:pPr>
              <w:jc w:val="right"/>
              <w:rPr>
                <w:u w:val="single"/>
              </w:rPr>
            </w:pPr>
            <w:r w:rsidRPr="00F22A05">
              <w:rPr>
                <w:u w:val="single"/>
              </w:rPr>
              <w:t>0.9</w:t>
            </w:r>
          </w:p>
        </w:tc>
      </w:tr>
      <w:tr w:rsidR="00F22A05" w:rsidRPr="00F22A05" w14:paraId="5807C81F" w14:textId="2BD5A37A" w:rsidTr="00581A21">
        <w:trPr>
          <w:trHeight w:val="315"/>
          <w:jc w:val="center"/>
        </w:trPr>
        <w:tc>
          <w:tcPr>
            <w:tcW w:w="2430" w:type="dxa"/>
            <w:vMerge/>
            <w:tcBorders>
              <w:left w:val="single" w:sz="4" w:space="0" w:color="auto"/>
              <w:bottom w:val="single" w:sz="4" w:space="0" w:color="auto"/>
              <w:right w:val="single" w:sz="4" w:space="0" w:color="auto"/>
            </w:tcBorders>
            <w:shd w:val="clear" w:color="auto" w:fill="auto"/>
            <w:noWrap/>
            <w:vAlign w:val="center"/>
          </w:tcPr>
          <w:p w14:paraId="0841BAEF" w14:textId="7FA9C555" w:rsidR="00F1652F" w:rsidRPr="00F22A05" w:rsidRDefault="00F1652F" w:rsidP="00B82EFA"/>
        </w:tc>
        <w:tc>
          <w:tcPr>
            <w:tcW w:w="1518" w:type="dxa"/>
            <w:tcBorders>
              <w:top w:val="single" w:sz="4" w:space="0" w:color="auto"/>
              <w:left w:val="single" w:sz="4" w:space="0" w:color="auto"/>
              <w:bottom w:val="single" w:sz="4" w:space="0" w:color="auto"/>
              <w:right w:val="single" w:sz="4" w:space="0" w:color="auto"/>
            </w:tcBorders>
            <w:vAlign w:val="center"/>
          </w:tcPr>
          <w:p w14:paraId="5CAD170C" w14:textId="77777777" w:rsidR="00F1652F" w:rsidRPr="00F22A05" w:rsidRDefault="00F1652F" w:rsidP="00B82EFA">
            <w:pPr>
              <w:jc w:val="center"/>
            </w:pPr>
            <w:r w:rsidRPr="00F22A05">
              <w:t>kWh/y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1859" w14:textId="4A5044E1" w:rsidR="00F1652F" w:rsidRPr="00F22A05" w:rsidRDefault="00F1652F" w:rsidP="00B82EFA">
            <w:pPr>
              <w:jc w:val="right"/>
            </w:pPr>
            <w:r w:rsidRPr="00F22A05">
              <w:t>31.5</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0B3D" w14:textId="77777777" w:rsidR="00F1652F" w:rsidRPr="00F22A05" w:rsidRDefault="00F1652F" w:rsidP="00B82EFA"/>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534" w14:textId="5863DE5E" w:rsidR="00F1652F" w:rsidRPr="00F22A05" w:rsidRDefault="00F1652F" w:rsidP="00B82EFA">
            <w:pPr>
              <w:jc w:val="right"/>
            </w:pPr>
            <w:r w:rsidRPr="00F22A05">
              <w:t>8.93</w:t>
            </w:r>
          </w:p>
        </w:tc>
        <w:tc>
          <w:tcPr>
            <w:tcW w:w="894" w:type="dxa"/>
            <w:vMerge/>
            <w:tcBorders>
              <w:left w:val="single" w:sz="4" w:space="0" w:color="auto"/>
              <w:bottom w:val="single" w:sz="4" w:space="0" w:color="auto"/>
              <w:right w:val="single" w:sz="4" w:space="0" w:color="auto"/>
            </w:tcBorders>
          </w:tcPr>
          <w:p w14:paraId="25A96178" w14:textId="77777777" w:rsidR="00F1652F" w:rsidRPr="00F22A05" w:rsidRDefault="00F1652F" w:rsidP="00B82EFA">
            <w:pPr>
              <w:jc w:val="right"/>
            </w:pPr>
          </w:p>
        </w:tc>
        <w:tc>
          <w:tcPr>
            <w:tcW w:w="900" w:type="dxa"/>
            <w:vMerge/>
            <w:tcBorders>
              <w:left w:val="single" w:sz="4" w:space="0" w:color="auto"/>
              <w:bottom w:val="single" w:sz="4" w:space="0" w:color="auto"/>
              <w:right w:val="single" w:sz="4" w:space="0" w:color="auto"/>
            </w:tcBorders>
          </w:tcPr>
          <w:p w14:paraId="3DED532A" w14:textId="77777777" w:rsidR="00F1652F" w:rsidRPr="00F22A05" w:rsidRDefault="00F1652F" w:rsidP="00B82EFA">
            <w:pPr>
              <w:jc w:val="right"/>
            </w:pPr>
          </w:p>
        </w:tc>
      </w:tr>
      <w:tr w:rsidR="00D65796" w:rsidRPr="00F22A05" w14:paraId="2B4F311B" w14:textId="5A69F12E" w:rsidTr="00581A21">
        <w:trPr>
          <w:trHeight w:val="315"/>
          <w:jc w:val="center"/>
        </w:trPr>
        <w:tc>
          <w:tcPr>
            <w:tcW w:w="8185" w:type="dxa"/>
            <w:gridSpan w:val="7"/>
            <w:tcBorders>
              <w:top w:val="single" w:sz="4" w:space="0" w:color="auto"/>
              <w:left w:val="single" w:sz="4" w:space="0" w:color="auto"/>
              <w:bottom w:val="single" w:sz="4" w:space="0" w:color="auto"/>
              <w:right w:val="single" w:sz="4" w:space="0" w:color="auto"/>
            </w:tcBorders>
          </w:tcPr>
          <w:p w14:paraId="42A7CADA" w14:textId="77777777" w:rsidR="00D65796" w:rsidRPr="00F22A05" w:rsidRDefault="00D65796" w:rsidP="00B82EFA">
            <w:pPr>
              <w:rPr>
                <w:b/>
              </w:rPr>
            </w:pPr>
            <w:r w:rsidRPr="00F22A05">
              <w:rPr>
                <w:b/>
              </w:rPr>
              <w:t>Note:</w:t>
            </w:r>
          </w:p>
          <w:p w14:paraId="2D564AA7" w14:textId="5A71EE09" w:rsidR="00D65796" w:rsidRPr="00F22A05" w:rsidRDefault="00D65796" w:rsidP="00B82EFA">
            <w:pPr>
              <w:rPr>
                <w:b/>
              </w:rPr>
            </w:pPr>
            <w:r w:rsidRPr="00F22A05">
              <w:t xml:space="preserve">a. Both the natural gas and the electric components shall be </w:t>
            </w:r>
            <w:r w:rsidRPr="00F22A05">
              <w:br/>
              <w:t xml:space="preserve">    included in determining the Energy Rating Reference Home</w:t>
            </w:r>
            <w:r w:rsidRPr="00F22A05">
              <w:br/>
              <w:t xml:space="preserve">    appliances.</w:t>
            </w:r>
          </w:p>
        </w:tc>
      </w:tr>
    </w:tbl>
    <w:p w14:paraId="181BA025" w14:textId="77777777" w:rsidR="008F1DC1" w:rsidRPr="00F22A05" w:rsidRDefault="008F1DC1" w:rsidP="008F1DC1">
      <w:pPr>
        <w:ind w:left="540"/>
        <w:rPr>
          <w:b/>
        </w:rPr>
      </w:pPr>
    </w:p>
    <w:p w14:paraId="76DB5BEB" w14:textId="64961231" w:rsidR="008F1DC1" w:rsidRPr="00F22A05" w:rsidRDefault="00455F74" w:rsidP="00671DAC">
      <w:pPr>
        <w:pStyle w:val="sixa"/>
        <w:numPr>
          <w:ilvl w:val="0"/>
          <w:numId w:val="0"/>
        </w:numPr>
        <w:ind w:left="2610"/>
        <w:rPr>
          <w:b/>
        </w:rPr>
      </w:pPr>
      <w:r w:rsidRPr="00F22A05">
        <w:rPr>
          <w:b/>
        </w:rPr>
        <w:t>4.2.2.7.1.3</w:t>
      </w:r>
      <w:r w:rsidR="00A87B5A" w:rsidRPr="00F22A05">
        <w:rPr>
          <w:b/>
        </w:rPr>
        <w:t>.</w:t>
      </w:r>
      <w:r w:rsidRPr="00F22A05">
        <w:rPr>
          <w:b/>
        </w:rPr>
        <w:t xml:space="preserve">  </w:t>
      </w:r>
      <w:r w:rsidR="004D298A" w:rsidRPr="00F22A05">
        <w:rPr>
          <w:b/>
        </w:rPr>
        <w:t xml:space="preserve">Garage Lighting. </w:t>
      </w:r>
      <w:r w:rsidR="008F1DC1" w:rsidRPr="00F22A05">
        <w:t>Where the Rated Home includes an enclosed garage</w:t>
      </w:r>
      <w:r w:rsidR="00275377" w:rsidRPr="00F22A05">
        <w:t xml:space="preserve"> for the sole use of the occupants of the Rated Home</w:t>
      </w:r>
      <w:r w:rsidR="008F1DC1" w:rsidRPr="00F22A05">
        <w:t xml:space="preserve">, 100 kWh/y shall be added to the energy use of the Reference Home to account for garage lighting. </w:t>
      </w:r>
      <w:r w:rsidR="00275377" w:rsidRPr="00F22A05">
        <w:t>Lighting for shared parking garages or parking lots shall not be included in the Reference Home.</w:t>
      </w:r>
    </w:p>
    <w:p w14:paraId="58623437" w14:textId="4BCA76CA" w:rsidR="008F1DC1" w:rsidRPr="00F22A05" w:rsidRDefault="008F1DC1" w:rsidP="002F2B39">
      <w:pPr>
        <w:pStyle w:val="sixth"/>
        <w:numPr>
          <w:ilvl w:val="0"/>
          <w:numId w:val="0"/>
        </w:numPr>
        <w:ind w:left="2610"/>
        <w:rPr>
          <w:b/>
        </w:rPr>
      </w:pPr>
    </w:p>
    <w:p w14:paraId="4A7A06E9" w14:textId="4D90B17F" w:rsidR="008F1DC1" w:rsidRPr="00F22A05" w:rsidRDefault="00455F74" w:rsidP="00671DAC">
      <w:pPr>
        <w:pStyle w:val="sixa"/>
        <w:numPr>
          <w:ilvl w:val="0"/>
          <w:numId w:val="0"/>
        </w:numPr>
        <w:ind w:left="2610"/>
        <w:rPr>
          <w:b/>
        </w:rPr>
      </w:pPr>
      <w:bookmarkStart w:id="59" w:name="_Ref495403209"/>
      <w:r w:rsidRPr="00F22A05">
        <w:rPr>
          <w:b/>
        </w:rPr>
        <w:t>4.2.2.7.1.4</w:t>
      </w:r>
      <w:r w:rsidR="00A87B5A" w:rsidRPr="00F22A05">
        <w:rPr>
          <w:b/>
        </w:rPr>
        <w:t>.</w:t>
      </w:r>
      <w:r w:rsidRPr="00F22A05">
        <w:rPr>
          <w:b/>
        </w:rPr>
        <w:t xml:space="preserve">  </w:t>
      </w:r>
      <w:r w:rsidR="00F850C7" w:rsidRPr="00F22A05">
        <w:rPr>
          <w:b/>
        </w:rPr>
        <w:t>Service</w:t>
      </w:r>
      <w:r w:rsidR="008F1DC1" w:rsidRPr="00F22A05">
        <w:rPr>
          <w:b/>
        </w:rPr>
        <w:t xml:space="preserve"> Hot Water Use. </w:t>
      </w:r>
      <w:r w:rsidR="008F1DC1" w:rsidRPr="00F22A05">
        <w:t xml:space="preserve">Service hot water system use in gallons per </w:t>
      </w:r>
      <w:r w:rsidR="008F1DC1" w:rsidRPr="00F22A05">
        <w:rPr>
          <w:strike/>
        </w:rPr>
        <w:t xml:space="preserve">day </w:t>
      </w:r>
      <w:r w:rsidR="004E2430" w:rsidRPr="00F22A05">
        <w:rPr>
          <w:u w:val="single"/>
        </w:rPr>
        <w:t xml:space="preserve">hour </w:t>
      </w:r>
      <w:r w:rsidR="008F1DC1" w:rsidRPr="00F22A05">
        <w:t xml:space="preserve">for the Energy Rating Reference Home shall be determined in accordance with Equation </w:t>
      </w:r>
      <w:r w:rsidR="00885C17" w:rsidRPr="00F22A05">
        <w:t>4.2-29</w:t>
      </w:r>
      <w:r w:rsidR="008F1DC1" w:rsidRPr="00F22A05">
        <w:t>:</w:t>
      </w:r>
      <w:bookmarkEnd w:id="59"/>
      <w:r w:rsidR="003C228B" w:rsidRPr="00F22A05">
        <w:rPr>
          <w:b/>
          <w:vertAlign w:val="superscript"/>
        </w:rPr>
        <w:t xml:space="preserve"> </w:t>
      </w:r>
      <w:r w:rsidR="00DC54A7" w:rsidRPr="00DC54A7">
        <w:rPr>
          <w:b/>
          <w:color w:val="0070C0"/>
          <w:vertAlign w:val="superscript"/>
        </w:rPr>
        <w:t>(1)</w:t>
      </w:r>
    </w:p>
    <w:p w14:paraId="4667E5D2" w14:textId="77777777" w:rsidR="008F1DC1" w:rsidRPr="00F22A05" w:rsidRDefault="008F1DC1" w:rsidP="00BF0140">
      <w:pPr>
        <w:tabs>
          <w:tab w:val="left" w:pos="748"/>
        </w:tabs>
        <w:ind w:left="1440"/>
      </w:pPr>
    </w:p>
    <w:p w14:paraId="00D30B5D" w14:textId="74945CE6" w:rsidR="00671660" w:rsidRPr="0094335D" w:rsidRDefault="008F1DC1" w:rsidP="00671660">
      <w:pPr>
        <w:pStyle w:val="Equation6"/>
        <w:rPr>
          <w:b w:val="0"/>
          <w:bCs/>
        </w:rPr>
      </w:pPr>
      <w:proofErr w:type="spellStart"/>
      <w:r w:rsidRPr="0094335D">
        <w:rPr>
          <w:b w:val="0"/>
          <w:bCs/>
        </w:rPr>
        <w:t>HWgp</w:t>
      </w:r>
      <w:r w:rsidRPr="0094335D">
        <w:rPr>
          <w:b w:val="0"/>
          <w:bCs/>
          <w:strike/>
        </w:rPr>
        <w:t>d</w:t>
      </w:r>
      <w:r w:rsidR="00127ECF" w:rsidRPr="0094335D">
        <w:rPr>
          <w:b w:val="0"/>
          <w:bCs/>
          <w:u w:val="single"/>
        </w:rPr>
        <w:t>h</w:t>
      </w:r>
      <w:proofErr w:type="spellEnd"/>
      <w:r w:rsidRPr="0094335D">
        <w:rPr>
          <w:b w:val="0"/>
          <w:bCs/>
        </w:rPr>
        <w:t xml:space="preserve"> = (</w:t>
      </w:r>
      <w:proofErr w:type="spellStart"/>
      <w:r w:rsidRPr="0094335D">
        <w:rPr>
          <w:b w:val="0"/>
          <w:bCs/>
        </w:rPr>
        <w:t>refDWgp</w:t>
      </w:r>
      <w:r w:rsidRPr="0094335D">
        <w:rPr>
          <w:b w:val="0"/>
          <w:bCs/>
          <w:strike/>
        </w:rPr>
        <w:t>d</w:t>
      </w:r>
      <w:r w:rsidR="00127ECF" w:rsidRPr="0094335D">
        <w:rPr>
          <w:b w:val="0"/>
          <w:bCs/>
          <w:u w:val="single"/>
        </w:rPr>
        <w:t>h</w:t>
      </w:r>
      <w:proofErr w:type="spellEnd"/>
      <w:r w:rsidR="007628C5" w:rsidRPr="0094335D">
        <w:rPr>
          <w:b w:val="0"/>
          <w:bCs/>
        </w:rPr>
        <w:t xml:space="preserve"> </w:t>
      </w:r>
      <w:r w:rsidRPr="0094335D">
        <w:rPr>
          <w:b w:val="0"/>
          <w:bCs/>
        </w:rPr>
        <w:t>+</w:t>
      </w:r>
      <w:r w:rsidR="007628C5" w:rsidRPr="0094335D">
        <w:rPr>
          <w:b w:val="0"/>
          <w:bCs/>
        </w:rPr>
        <w:t xml:space="preserve"> </w:t>
      </w:r>
      <w:proofErr w:type="spellStart"/>
      <w:r w:rsidRPr="0094335D">
        <w:rPr>
          <w:b w:val="0"/>
          <w:bCs/>
        </w:rPr>
        <w:t>refCWgp</w:t>
      </w:r>
      <w:r w:rsidRPr="0094335D">
        <w:rPr>
          <w:b w:val="0"/>
          <w:bCs/>
          <w:strike/>
        </w:rPr>
        <w:t>d</w:t>
      </w:r>
      <w:r w:rsidR="00127ECF" w:rsidRPr="0094335D">
        <w:rPr>
          <w:b w:val="0"/>
          <w:bCs/>
          <w:u w:val="single"/>
        </w:rPr>
        <w:t>h</w:t>
      </w:r>
      <w:proofErr w:type="spellEnd"/>
      <w:r w:rsidR="00671660" w:rsidRPr="0094335D">
        <w:rPr>
          <w:b w:val="0"/>
          <w:bCs/>
        </w:rPr>
        <w:t xml:space="preserve"> </w:t>
      </w:r>
      <w:r w:rsidRPr="0094335D">
        <w:rPr>
          <w:b w:val="0"/>
          <w:bCs/>
        </w:rPr>
        <w:t>+</w:t>
      </w:r>
      <w:r w:rsidR="007628C5" w:rsidRPr="0094335D">
        <w:rPr>
          <w:b w:val="0"/>
          <w:bCs/>
        </w:rPr>
        <w:t xml:space="preserve"> </w:t>
      </w:r>
      <w:proofErr w:type="spellStart"/>
      <w:r w:rsidRPr="0094335D">
        <w:rPr>
          <w:b w:val="0"/>
          <w:bCs/>
        </w:rPr>
        <w:t>F</w:t>
      </w:r>
      <w:r w:rsidRPr="0094335D">
        <w:rPr>
          <w:b w:val="0"/>
          <w:bCs/>
          <w:vertAlign w:val="subscript"/>
        </w:rPr>
        <w:t>mix</w:t>
      </w:r>
      <w:proofErr w:type="spellEnd"/>
      <w:r w:rsidR="00671660" w:rsidRPr="0094335D">
        <w:rPr>
          <w:b w:val="0"/>
          <w:bCs/>
        </w:rPr>
        <w:t>*(</w:t>
      </w:r>
      <w:proofErr w:type="spellStart"/>
      <w:r w:rsidR="00671660" w:rsidRPr="0094335D">
        <w:rPr>
          <w:b w:val="0"/>
          <w:bCs/>
        </w:rPr>
        <w:t>refFgp</w:t>
      </w:r>
      <w:r w:rsidR="00671660" w:rsidRPr="0094335D">
        <w:rPr>
          <w:b w:val="0"/>
          <w:bCs/>
          <w:strike/>
        </w:rPr>
        <w:t>d</w:t>
      </w:r>
      <w:r w:rsidR="00127ECF" w:rsidRPr="0094335D">
        <w:rPr>
          <w:b w:val="0"/>
          <w:bCs/>
          <w:u w:val="single"/>
        </w:rPr>
        <w:t>h</w:t>
      </w:r>
      <w:proofErr w:type="spellEnd"/>
      <w:r w:rsidR="00671660" w:rsidRPr="0094335D">
        <w:rPr>
          <w:b w:val="0"/>
          <w:bCs/>
        </w:rPr>
        <w:t xml:space="preserve"> + </w:t>
      </w:r>
      <w:proofErr w:type="spellStart"/>
      <w:r w:rsidR="00671660" w:rsidRPr="0094335D">
        <w:rPr>
          <w:b w:val="0"/>
          <w:bCs/>
        </w:rPr>
        <w:t>refWgp</w:t>
      </w:r>
      <w:r w:rsidR="00671660" w:rsidRPr="0094335D">
        <w:rPr>
          <w:b w:val="0"/>
          <w:bCs/>
          <w:strike/>
        </w:rPr>
        <w:t>d</w:t>
      </w:r>
      <w:r w:rsidR="00127ECF" w:rsidRPr="0094335D">
        <w:rPr>
          <w:b w:val="0"/>
          <w:bCs/>
          <w:u w:val="single"/>
        </w:rPr>
        <w:t>h</w:t>
      </w:r>
      <w:proofErr w:type="spellEnd"/>
      <w:r w:rsidR="00671660" w:rsidRPr="0094335D">
        <w:rPr>
          <w:b w:val="0"/>
          <w:bCs/>
        </w:rPr>
        <w:t>))</w:t>
      </w:r>
    </w:p>
    <w:p w14:paraId="657F94B6" w14:textId="78DCA558" w:rsidR="008F1DC1" w:rsidRPr="00F22A05" w:rsidRDefault="00671660" w:rsidP="00D1043D">
      <w:pPr>
        <w:tabs>
          <w:tab w:val="right" w:pos="9360"/>
        </w:tabs>
        <w:ind w:left="1440" w:hanging="1080"/>
        <w:rPr>
          <w:b/>
        </w:rPr>
      </w:pPr>
      <w:r w:rsidRPr="00F22A05">
        <w:rPr>
          <w:b/>
        </w:rPr>
        <w:tab/>
      </w:r>
      <w:r w:rsidRPr="00F22A05">
        <w:rPr>
          <w:b/>
        </w:rPr>
        <w:tab/>
      </w:r>
      <w:r w:rsidR="008F1DC1" w:rsidRPr="00F22A05">
        <w:rPr>
          <w:b/>
        </w:rPr>
        <w:t>(</w:t>
      </w:r>
      <w:r w:rsidR="00A25E21" w:rsidRPr="00F22A05">
        <w:rPr>
          <w:b/>
        </w:rPr>
        <w:t>Equation</w:t>
      </w:r>
      <w:r w:rsidR="008F1DC1" w:rsidRPr="00F22A05">
        <w:rPr>
          <w:b/>
        </w:rPr>
        <w:t xml:space="preserve"> 4.2-</w:t>
      </w:r>
      <w:r w:rsidR="00FB0C85" w:rsidRPr="00F22A05">
        <w:rPr>
          <w:b/>
        </w:rPr>
        <w:t>29</w:t>
      </w:r>
      <w:r w:rsidR="008F1DC1" w:rsidRPr="00F22A05">
        <w:rPr>
          <w:b/>
        </w:rPr>
        <w:t>)</w:t>
      </w:r>
      <w:r w:rsidR="003C228B" w:rsidRPr="00F22A05">
        <w:rPr>
          <w:b/>
          <w:vertAlign w:val="superscript"/>
        </w:rPr>
        <w:t xml:space="preserve"> </w:t>
      </w:r>
      <w:r w:rsidR="00DC54A7" w:rsidRPr="00DC54A7">
        <w:rPr>
          <w:b/>
          <w:color w:val="0070C0"/>
          <w:vertAlign w:val="superscript"/>
        </w:rPr>
        <w:t>(1)</w:t>
      </w:r>
    </w:p>
    <w:p w14:paraId="77DED84A" w14:textId="77777777" w:rsidR="00C374D3" w:rsidRPr="00F22A05" w:rsidRDefault="00C374D3" w:rsidP="00D1043D">
      <w:pPr>
        <w:tabs>
          <w:tab w:val="right" w:pos="9360"/>
        </w:tabs>
        <w:ind w:left="1440" w:hanging="1080"/>
        <w:rPr>
          <w:b/>
        </w:rPr>
      </w:pPr>
    </w:p>
    <w:p w14:paraId="6A78E5C1" w14:textId="77777777" w:rsidR="008F1DC1" w:rsidRPr="00F22A05" w:rsidRDefault="008F1DC1" w:rsidP="00DE6436">
      <w:pPr>
        <w:pStyle w:val="where1"/>
        <w:ind w:left="3240"/>
      </w:pPr>
      <w:r w:rsidRPr="00F22A05">
        <w:t>where:</w:t>
      </w:r>
    </w:p>
    <w:p w14:paraId="3B12FC93" w14:textId="5403A956" w:rsidR="008F1DC1" w:rsidRPr="00F22A05" w:rsidRDefault="002F2B39" w:rsidP="00DE6436">
      <w:pPr>
        <w:pStyle w:val="equals"/>
        <w:ind w:left="4500"/>
      </w:pPr>
      <w:proofErr w:type="spellStart"/>
      <w:r w:rsidRPr="00F22A05">
        <w:rPr>
          <w:strike/>
        </w:rPr>
        <w:t>HWgpd</w:t>
      </w:r>
      <w:r w:rsidR="00127ECF" w:rsidRPr="00F22A05">
        <w:rPr>
          <w:u w:val="single"/>
        </w:rPr>
        <w:t>HWgph</w:t>
      </w:r>
      <w:proofErr w:type="spellEnd"/>
      <w:r w:rsidRPr="00F22A05">
        <w:tab/>
      </w:r>
      <w:r w:rsidR="008F1DC1" w:rsidRPr="00F22A05">
        <w:t xml:space="preserve">= gallons per </w:t>
      </w:r>
      <w:r w:rsidR="008F1DC1" w:rsidRPr="00F22A05">
        <w:rPr>
          <w:strike/>
        </w:rPr>
        <w:t xml:space="preserve">day </w:t>
      </w:r>
      <w:r w:rsidR="00127ECF" w:rsidRPr="00F22A05">
        <w:rPr>
          <w:u w:val="single"/>
        </w:rPr>
        <w:t xml:space="preserve">hour </w:t>
      </w:r>
      <w:r w:rsidR="008F1DC1" w:rsidRPr="00F22A05">
        <w:t>of hot water use</w:t>
      </w:r>
    </w:p>
    <w:p w14:paraId="6270569C" w14:textId="79D751BB" w:rsidR="008F1DC1" w:rsidRPr="00F22A05" w:rsidRDefault="002F2B39" w:rsidP="00DE6436">
      <w:pPr>
        <w:pStyle w:val="equals"/>
        <w:ind w:left="4500"/>
      </w:pPr>
      <w:proofErr w:type="spellStart"/>
      <w:r w:rsidRPr="00F22A05">
        <w:rPr>
          <w:strike/>
        </w:rPr>
        <w:t>refDWgpd</w:t>
      </w:r>
      <w:r w:rsidR="00127ECF" w:rsidRPr="00F22A05">
        <w:rPr>
          <w:u w:val="single"/>
        </w:rPr>
        <w:t>refDWgph</w:t>
      </w:r>
      <w:proofErr w:type="spellEnd"/>
      <w:r w:rsidRPr="00F22A05">
        <w:tab/>
      </w:r>
      <w:r w:rsidR="008F1DC1" w:rsidRPr="00F22A05">
        <w:t xml:space="preserve">= reference dishwasher gallons per </w:t>
      </w:r>
      <w:r w:rsidR="008F1DC1" w:rsidRPr="00F22A05">
        <w:rPr>
          <w:strike/>
        </w:rPr>
        <w:t xml:space="preserve">day </w:t>
      </w:r>
      <w:r w:rsidR="00127ECF" w:rsidRPr="00F22A05">
        <w:rPr>
          <w:u w:val="single"/>
        </w:rPr>
        <w:t xml:space="preserve">hour </w:t>
      </w:r>
    </w:p>
    <w:p w14:paraId="0AB79C41" w14:textId="2935101D" w:rsidR="008F1DC1" w:rsidRPr="00F22A05" w:rsidRDefault="004D298A" w:rsidP="00DE6436">
      <w:pPr>
        <w:pStyle w:val="equals"/>
        <w:ind w:left="4500"/>
      </w:pPr>
      <w:r w:rsidRPr="00F22A05">
        <w:tab/>
      </w:r>
      <w:r w:rsidR="008F1DC1" w:rsidRPr="00F22A05">
        <w:t xml:space="preserve">= </w:t>
      </w:r>
      <w:r w:rsidR="00127ECF" w:rsidRPr="00F22A05">
        <w:rPr>
          <w:u w:val="single"/>
        </w:rPr>
        <w:t>(</w:t>
      </w:r>
      <w:r w:rsidR="0043461C" w:rsidRPr="00F22A05">
        <w:t>0.7801*Nbr+1.</w:t>
      </w:r>
      <w:proofErr w:type="gramStart"/>
      <w:r w:rsidR="0043461C" w:rsidRPr="00F22A05">
        <w:t>976</w:t>
      </w:r>
      <w:r w:rsidR="00127ECF" w:rsidRPr="00F22A05">
        <w:rPr>
          <w:u w:val="single"/>
        </w:rPr>
        <w:t>)</w:t>
      </w:r>
      <w:r w:rsidR="008C0635" w:rsidRPr="00F22A05">
        <w:rPr>
          <w:u w:val="single"/>
        </w:rPr>
        <w:t>*</w:t>
      </w:r>
      <w:proofErr w:type="spellStart"/>
      <w:proofErr w:type="gramEnd"/>
      <w:r w:rsidR="008C0635" w:rsidRPr="00F22A05">
        <w:rPr>
          <w:u w:val="single"/>
        </w:rPr>
        <w:t>h</w:t>
      </w:r>
      <w:r w:rsidR="008C0635" w:rsidRPr="00F22A05">
        <w:rPr>
          <w:u w:val="single"/>
          <w:vertAlign w:val="subscript"/>
        </w:rPr>
        <w:t>DW</w:t>
      </w:r>
      <w:proofErr w:type="spellEnd"/>
    </w:p>
    <w:p w14:paraId="40F22D93" w14:textId="4626220D" w:rsidR="008F1DC1" w:rsidRPr="00F22A05" w:rsidRDefault="002F2B39" w:rsidP="00DE6436">
      <w:pPr>
        <w:pStyle w:val="equals"/>
        <w:ind w:left="4500"/>
      </w:pPr>
      <w:proofErr w:type="spellStart"/>
      <w:r w:rsidRPr="00F22A05">
        <w:rPr>
          <w:strike/>
        </w:rPr>
        <w:t>refCWgpd</w:t>
      </w:r>
      <w:r w:rsidR="008C0635" w:rsidRPr="00F22A05">
        <w:rPr>
          <w:u w:val="single"/>
        </w:rPr>
        <w:t>refCWgph</w:t>
      </w:r>
      <w:proofErr w:type="spellEnd"/>
      <w:r w:rsidRPr="00F22A05">
        <w:tab/>
      </w:r>
      <w:r w:rsidR="008F1DC1" w:rsidRPr="00F22A05">
        <w:t xml:space="preserve">= reference clothes washer gallons per </w:t>
      </w:r>
      <w:r w:rsidR="008F1DC1" w:rsidRPr="00F22A05">
        <w:rPr>
          <w:strike/>
        </w:rPr>
        <w:t xml:space="preserve">day </w:t>
      </w:r>
      <w:r w:rsidR="008C0635" w:rsidRPr="00F22A05">
        <w:rPr>
          <w:u w:val="single"/>
        </w:rPr>
        <w:t xml:space="preserve">hour </w:t>
      </w:r>
    </w:p>
    <w:p w14:paraId="7F135EE0" w14:textId="67E422E5" w:rsidR="008F1DC1" w:rsidRPr="00F22A05" w:rsidRDefault="004D298A" w:rsidP="00141B2C">
      <w:pPr>
        <w:pStyle w:val="equals"/>
        <w:ind w:left="4500"/>
      </w:pPr>
      <w:r w:rsidRPr="00F22A05">
        <w:tab/>
      </w:r>
      <w:r w:rsidR="008F1DC1" w:rsidRPr="00F22A05">
        <w:t xml:space="preserve">= </w:t>
      </w:r>
      <w:r w:rsidR="008C0635" w:rsidRPr="00F22A05">
        <w:rPr>
          <w:u w:val="single"/>
        </w:rPr>
        <w:t>(</w:t>
      </w:r>
      <w:r w:rsidR="00715454" w:rsidRPr="00F22A05">
        <w:t>0.6762*</w:t>
      </w:r>
      <w:proofErr w:type="spellStart"/>
      <w:r w:rsidR="00715454" w:rsidRPr="00F22A05">
        <w:t>Nbr</w:t>
      </w:r>
      <w:proofErr w:type="spellEnd"/>
      <w:r w:rsidR="00715454" w:rsidRPr="00F22A05">
        <w:t xml:space="preserve"> + </w:t>
      </w:r>
      <w:proofErr w:type="gramStart"/>
      <w:r w:rsidR="00715454" w:rsidRPr="00F22A05">
        <w:t>2.3847</w:t>
      </w:r>
      <w:r w:rsidR="008C0635" w:rsidRPr="00F22A05">
        <w:rPr>
          <w:u w:val="single"/>
        </w:rPr>
        <w:t>)*</w:t>
      </w:r>
      <w:proofErr w:type="spellStart"/>
      <w:proofErr w:type="gramEnd"/>
      <w:r w:rsidR="008C0635" w:rsidRPr="00F22A05">
        <w:rPr>
          <w:u w:val="single"/>
        </w:rPr>
        <w:t>h</w:t>
      </w:r>
      <w:r w:rsidR="008C0635" w:rsidRPr="00F22A05">
        <w:rPr>
          <w:u w:val="single"/>
          <w:vertAlign w:val="subscript"/>
        </w:rPr>
        <w:t>CW</w:t>
      </w:r>
      <w:proofErr w:type="spellEnd"/>
    </w:p>
    <w:p w14:paraId="252BB1A9" w14:textId="22A91528" w:rsidR="008F1DC1" w:rsidRPr="00F22A05" w:rsidRDefault="008F1DC1" w:rsidP="00DE6436">
      <w:pPr>
        <w:pStyle w:val="equals"/>
        <w:ind w:left="4500"/>
      </w:pPr>
      <w:proofErr w:type="spellStart"/>
      <w:r w:rsidRPr="00F22A05">
        <w:t>F</w:t>
      </w:r>
      <w:r w:rsidRPr="00F22A05">
        <w:rPr>
          <w:vertAlign w:val="subscript"/>
        </w:rPr>
        <w:t>mix</w:t>
      </w:r>
      <w:proofErr w:type="spellEnd"/>
      <w:r w:rsidR="002F2B39" w:rsidRPr="00F22A05">
        <w:tab/>
      </w:r>
      <w:r w:rsidRPr="00F22A05">
        <w:t>= 1 - ((</w:t>
      </w:r>
      <w:proofErr w:type="spellStart"/>
      <w:r w:rsidRPr="00F22A05">
        <w:t>T</w:t>
      </w:r>
      <w:r w:rsidRPr="00F22A05">
        <w:rPr>
          <w:vertAlign w:val="subscript"/>
        </w:rPr>
        <w:t>set</w:t>
      </w:r>
      <w:proofErr w:type="spellEnd"/>
      <w:r w:rsidRPr="00F22A05">
        <w:t xml:space="preserve"> – </w:t>
      </w:r>
      <w:proofErr w:type="spellStart"/>
      <w:r w:rsidRPr="00F22A05">
        <w:t>T</w:t>
      </w:r>
      <w:r w:rsidRPr="00F22A05">
        <w:rPr>
          <w:vertAlign w:val="subscript"/>
        </w:rPr>
        <w:t>use</w:t>
      </w:r>
      <w:proofErr w:type="spellEnd"/>
      <w:r w:rsidRPr="00F22A05">
        <w:t>)/ (</w:t>
      </w:r>
      <w:proofErr w:type="spellStart"/>
      <w:r w:rsidRPr="00F22A05">
        <w:t>T</w:t>
      </w:r>
      <w:r w:rsidRPr="00F22A05">
        <w:rPr>
          <w:vertAlign w:val="subscript"/>
        </w:rPr>
        <w:t>set</w:t>
      </w:r>
      <w:proofErr w:type="spellEnd"/>
      <w:r w:rsidRPr="00F22A05">
        <w:t xml:space="preserve"> – </w:t>
      </w:r>
      <w:proofErr w:type="spellStart"/>
      <w:r w:rsidRPr="00F22A05">
        <w:t>T</w:t>
      </w:r>
      <w:r w:rsidRPr="00F22A05">
        <w:rPr>
          <w:vertAlign w:val="subscript"/>
        </w:rPr>
        <w:t>mains</w:t>
      </w:r>
      <w:proofErr w:type="spellEnd"/>
      <w:r w:rsidRPr="00F22A05">
        <w:t>))</w:t>
      </w:r>
    </w:p>
    <w:p w14:paraId="184B64A8" w14:textId="317FD649" w:rsidR="008F1DC1" w:rsidRPr="00F22A05" w:rsidRDefault="008F1DC1" w:rsidP="00DE6436">
      <w:pPr>
        <w:pStyle w:val="where1"/>
        <w:ind w:left="3240"/>
      </w:pPr>
      <w:r w:rsidRPr="00F22A05">
        <w:t>where</w:t>
      </w:r>
      <w:r w:rsidR="00296D08" w:rsidRPr="00F22A05">
        <w:t>:</w:t>
      </w:r>
    </w:p>
    <w:p w14:paraId="1F6146B8" w14:textId="39165275" w:rsidR="008F1DC1" w:rsidRPr="00F22A05" w:rsidRDefault="008F1DC1" w:rsidP="00DE6436">
      <w:pPr>
        <w:pStyle w:val="equals"/>
        <w:ind w:left="4500"/>
      </w:pPr>
      <w:proofErr w:type="spellStart"/>
      <w:r w:rsidRPr="00F22A05">
        <w:t>T</w:t>
      </w:r>
      <w:r w:rsidRPr="00F22A05">
        <w:rPr>
          <w:vertAlign w:val="subscript"/>
        </w:rPr>
        <w:t>set</w:t>
      </w:r>
      <w:proofErr w:type="spellEnd"/>
      <w:r w:rsidR="002F2B39" w:rsidRPr="00F22A05">
        <w:rPr>
          <w:vertAlign w:val="subscript"/>
        </w:rPr>
        <w:tab/>
      </w:r>
      <w:r w:rsidRPr="00F22A05">
        <w:t>= Water heater set point temperature = 125 F</w:t>
      </w:r>
    </w:p>
    <w:p w14:paraId="71E2B178" w14:textId="55B392AE" w:rsidR="008F1DC1" w:rsidRPr="00F22A05" w:rsidRDefault="008F1DC1" w:rsidP="00DE6436">
      <w:pPr>
        <w:pStyle w:val="equals"/>
        <w:ind w:left="4500"/>
      </w:pPr>
      <w:proofErr w:type="spellStart"/>
      <w:r w:rsidRPr="00F22A05">
        <w:t>T</w:t>
      </w:r>
      <w:r w:rsidRPr="00F22A05">
        <w:rPr>
          <w:vertAlign w:val="subscript"/>
        </w:rPr>
        <w:t>use</w:t>
      </w:r>
      <w:proofErr w:type="spellEnd"/>
      <w:r w:rsidR="002F2B39" w:rsidRPr="00F22A05">
        <w:rPr>
          <w:vertAlign w:val="subscript"/>
        </w:rPr>
        <w:tab/>
      </w:r>
      <w:r w:rsidRPr="00F22A05">
        <w:t>= Temperature of mixed water at fixtures = 105 F</w:t>
      </w:r>
    </w:p>
    <w:p w14:paraId="20BF4461" w14:textId="3FE1F6B9" w:rsidR="008F1DC1" w:rsidRPr="00F22A05" w:rsidRDefault="008F1DC1" w:rsidP="008F6F2C">
      <w:pPr>
        <w:pStyle w:val="equals"/>
        <w:tabs>
          <w:tab w:val="clear" w:pos="3060"/>
          <w:tab w:val="left" w:pos="4500"/>
        </w:tabs>
        <w:ind w:left="4680" w:hanging="1404"/>
      </w:pPr>
      <w:proofErr w:type="spellStart"/>
      <w:r w:rsidRPr="00F22A05">
        <w:t>T</w:t>
      </w:r>
      <w:r w:rsidRPr="00F22A05">
        <w:rPr>
          <w:vertAlign w:val="subscript"/>
        </w:rPr>
        <w:t>mains</w:t>
      </w:r>
      <w:proofErr w:type="spellEnd"/>
      <w:r w:rsidR="002F2B39" w:rsidRPr="00F22A05">
        <w:rPr>
          <w:vertAlign w:val="subscript"/>
        </w:rPr>
        <w:tab/>
      </w:r>
      <w:r w:rsidRPr="00F22A05">
        <w:t>= (</w:t>
      </w:r>
      <w:proofErr w:type="spellStart"/>
      <w:proofErr w:type="gramStart"/>
      <w:r w:rsidRPr="00F22A05">
        <w:t>T</w:t>
      </w:r>
      <w:r w:rsidRPr="00F22A05">
        <w:rPr>
          <w:vertAlign w:val="subscript"/>
        </w:rPr>
        <w:t>amb,avg</w:t>
      </w:r>
      <w:proofErr w:type="spellEnd"/>
      <w:proofErr w:type="gramEnd"/>
      <w:r w:rsidRPr="00F22A05">
        <w:t xml:space="preserve"> + </w:t>
      </w:r>
      <w:r w:rsidRPr="00F22A05">
        <w:rPr>
          <w:i/>
        </w:rPr>
        <w:t>offset</w:t>
      </w:r>
      <w:r w:rsidRPr="00F22A05">
        <w:t>) + ratio * (</w:t>
      </w:r>
      <w:proofErr w:type="spellStart"/>
      <w:r w:rsidRPr="00F22A05">
        <w:t>ΔT</w:t>
      </w:r>
      <w:r w:rsidRPr="00F22A05">
        <w:rPr>
          <w:vertAlign w:val="subscript"/>
        </w:rPr>
        <w:t>amb,max</w:t>
      </w:r>
      <w:proofErr w:type="spellEnd"/>
      <w:r w:rsidRPr="00F22A05">
        <w:t xml:space="preserve"> / 2) </w:t>
      </w:r>
    </w:p>
    <w:p w14:paraId="64AEF369" w14:textId="1669090F" w:rsidR="008F1DC1" w:rsidRPr="00F22A05" w:rsidRDefault="008F1DC1" w:rsidP="00A0784D">
      <w:pPr>
        <w:pStyle w:val="equals"/>
        <w:ind w:left="4680"/>
      </w:pPr>
      <w:r w:rsidRPr="00F22A05">
        <w:tab/>
      </w:r>
      <w:r w:rsidR="001634EA" w:rsidRPr="00F22A05">
        <w:tab/>
      </w:r>
      <w:r w:rsidRPr="00F22A05">
        <w:t xml:space="preserve">* </w:t>
      </w:r>
      <w:proofErr w:type="gramStart"/>
      <w:r w:rsidRPr="00F22A05">
        <w:t>sin</w:t>
      </w:r>
      <w:proofErr w:type="gramEnd"/>
      <w:r w:rsidRPr="00F22A05">
        <w:t xml:space="preserve"> (0.986 * (day# - 15 - </w:t>
      </w:r>
      <w:r w:rsidRPr="00F22A05">
        <w:rPr>
          <w:i/>
        </w:rPr>
        <w:t>lag</w:t>
      </w:r>
      <w:r w:rsidRPr="00F22A05">
        <w:t xml:space="preserve">) </w:t>
      </w:r>
      <w:r w:rsidRPr="00F22A05">
        <w:rPr>
          <w:strike/>
        </w:rPr>
        <w:t>-</w:t>
      </w:r>
      <w:r w:rsidR="009116BA" w:rsidRPr="00F22A05">
        <w:rPr>
          <w:u w:val="single"/>
        </w:rPr>
        <w:t>–</w:t>
      </w:r>
      <w:r w:rsidRPr="00F22A05">
        <w:t xml:space="preserve"> </w:t>
      </w:r>
      <w:r w:rsidR="00900CD0" w:rsidRPr="00F22A05">
        <w:rPr>
          <w:i/>
          <w:iCs/>
          <w:u w:val="single"/>
        </w:rPr>
        <w:t>hemisphere</w:t>
      </w:r>
      <w:r w:rsidR="009116BA" w:rsidRPr="00F22A05">
        <w:rPr>
          <w:u w:val="single"/>
        </w:rPr>
        <w:t xml:space="preserve"> * </w:t>
      </w:r>
      <w:r w:rsidRPr="00F22A05">
        <w:t>90)</w:t>
      </w:r>
      <w:r w:rsidR="006B33C6" w:rsidRPr="00F22A05">
        <w:rPr>
          <w:u w:val="single"/>
        </w:rPr>
        <w:t xml:space="preserve"> </w:t>
      </w:r>
      <w:r w:rsidR="005244EA" w:rsidRPr="00F22A05">
        <w:rPr>
          <w:u w:val="single"/>
        </w:rPr>
        <w:br/>
      </w:r>
      <w:r w:rsidR="005244EA" w:rsidRPr="00F22A05">
        <w:t xml:space="preserve">(with a minimum value of </w:t>
      </w:r>
      <w:r w:rsidR="00B05D1A" w:rsidRPr="00F22A05">
        <w:t>32</w:t>
      </w:r>
      <w:r w:rsidR="009E75B0" w:rsidRPr="00F22A05">
        <w:t>º</w:t>
      </w:r>
      <w:r w:rsidR="00B05D1A" w:rsidRPr="00F22A05">
        <w:t>F)</w:t>
      </w:r>
    </w:p>
    <w:p w14:paraId="26BCE980" w14:textId="18050C83" w:rsidR="008F1DC1" w:rsidRPr="00F22A05" w:rsidRDefault="008F1DC1" w:rsidP="00DE6436">
      <w:pPr>
        <w:pStyle w:val="where1"/>
        <w:ind w:left="3240"/>
      </w:pPr>
      <w:r w:rsidRPr="00F22A05">
        <w:t>where</w:t>
      </w:r>
      <w:r w:rsidR="00296D08" w:rsidRPr="00F22A05">
        <w:t>:</w:t>
      </w:r>
    </w:p>
    <w:p w14:paraId="38568B9F" w14:textId="14C5A392" w:rsidR="008F1DC1" w:rsidRPr="00F22A05" w:rsidRDefault="008F1DC1" w:rsidP="008F6F2C">
      <w:pPr>
        <w:pStyle w:val="equals"/>
        <w:tabs>
          <w:tab w:val="clear" w:pos="3060"/>
          <w:tab w:val="left" w:pos="4500"/>
        </w:tabs>
        <w:ind w:left="4680" w:hanging="1404"/>
      </w:pPr>
      <w:proofErr w:type="spellStart"/>
      <w:r w:rsidRPr="00F22A05">
        <w:lastRenderedPageBreak/>
        <w:t>T</w:t>
      </w:r>
      <w:r w:rsidRPr="00F22A05">
        <w:rPr>
          <w:vertAlign w:val="subscript"/>
        </w:rPr>
        <w:t>mains</w:t>
      </w:r>
      <w:proofErr w:type="spellEnd"/>
      <w:r w:rsidR="002F2B39" w:rsidRPr="00F22A05">
        <w:tab/>
      </w:r>
      <w:r w:rsidRPr="00F22A05">
        <w:t>= temperature o</w:t>
      </w:r>
      <w:r w:rsidR="00DE6436" w:rsidRPr="00F22A05">
        <w:t xml:space="preserve">f potable water supply entering </w:t>
      </w:r>
      <w:r w:rsidRPr="00F22A05">
        <w:t>residence (ºF)</w:t>
      </w:r>
    </w:p>
    <w:p w14:paraId="6B372E79" w14:textId="291970E5" w:rsidR="008F1DC1" w:rsidRPr="00F22A05" w:rsidRDefault="008F1DC1" w:rsidP="008F6F2C">
      <w:pPr>
        <w:pStyle w:val="equals"/>
        <w:tabs>
          <w:tab w:val="clear" w:pos="3060"/>
          <w:tab w:val="left" w:pos="4500"/>
        </w:tabs>
        <w:ind w:left="4680" w:hanging="1404"/>
      </w:pPr>
      <w:proofErr w:type="spellStart"/>
      <w:proofErr w:type="gramStart"/>
      <w:r w:rsidRPr="00F22A05">
        <w:t>T</w:t>
      </w:r>
      <w:r w:rsidRPr="00F22A05">
        <w:rPr>
          <w:vertAlign w:val="subscript"/>
        </w:rPr>
        <w:t>amb,avg</w:t>
      </w:r>
      <w:proofErr w:type="spellEnd"/>
      <w:proofErr w:type="gramEnd"/>
      <w:r w:rsidR="002F2B39" w:rsidRPr="00F22A05">
        <w:tab/>
      </w:r>
      <w:r w:rsidRPr="00F22A05">
        <w:t>= annual average ambient air temperature (ºF)</w:t>
      </w:r>
    </w:p>
    <w:p w14:paraId="3EFEBE62" w14:textId="51D742F4" w:rsidR="008F1DC1" w:rsidRPr="00F22A05" w:rsidRDefault="008F1DC1" w:rsidP="008F6F2C">
      <w:pPr>
        <w:pStyle w:val="equals"/>
        <w:tabs>
          <w:tab w:val="clear" w:pos="3060"/>
          <w:tab w:val="left" w:pos="4500"/>
        </w:tabs>
        <w:ind w:left="4680" w:hanging="1404"/>
      </w:pPr>
      <w:proofErr w:type="spellStart"/>
      <w:r w:rsidRPr="00F22A05">
        <w:t>Δ</w:t>
      </w:r>
      <w:proofErr w:type="gramStart"/>
      <w:r w:rsidRPr="00F22A05">
        <w:t>T</w:t>
      </w:r>
      <w:r w:rsidRPr="00F22A05">
        <w:rPr>
          <w:vertAlign w:val="subscript"/>
        </w:rPr>
        <w:t>amb,max</w:t>
      </w:r>
      <w:proofErr w:type="spellEnd"/>
      <w:proofErr w:type="gramEnd"/>
      <w:r w:rsidR="002F2B39" w:rsidRPr="00F22A05">
        <w:tab/>
      </w:r>
      <w:r w:rsidRPr="00F22A05">
        <w:t>= maximum difference between monthly average ambient temperatures</w:t>
      </w:r>
      <w:r w:rsidRPr="00F22A05">
        <w:rPr>
          <w:rStyle w:val="FootnoteReference"/>
        </w:rPr>
        <w:footnoteReference w:id="12"/>
      </w:r>
      <w:r w:rsidRPr="00F22A05">
        <w:t xml:space="preserve"> (ºF)</w:t>
      </w:r>
    </w:p>
    <w:p w14:paraId="4DDA9B21" w14:textId="1CA830E0" w:rsidR="008F1DC1" w:rsidRPr="00F22A05" w:rsidRDefault="008F1DC1" w:rsidP="008F6F2C">
      <w:pPr>
        <w:pStyle w:val="equals"/>
        <w:tabs>
          <w:tab w:val="clear" w:pos="3060"/>
          <w:tab w:val="left" w:pos="4500"/>
        </w:tabs>
        <w:ind w:left="4680" w:hanging="1404"/>
      </w:pPr>
      <w:r w:rsidRPr="00F22A05">
        <w:t xml:space="preserve">0.986 </w:t>
      </w:r>
      <w:r w:rsidR="001634EA" w:rsidRPr="00F22A05">
        <w:tab/>
      </w:r>
      <w:r w:rsidRPr="00F22A05">
        <w:t>= degrees/day (360/365)</w:t>
      </w:r>
    </w:p>
    <w:p w14:paraId="567E1F8C" w14:textId="19B29195" w:rsidR="008F1DC1" w:rsidRPr="00F22A05" w:rsidRDefault="008F1DC1" w:rsidP="008F6F2C">
      <w:pPr>
        <w:pStyle w:val="equals"/>
        <w:tabs>
          <w:tab w:val="clear" w:pos="3060"/>
          <w:tab w:val="left" w:pos="4500"/>
        </w:tabs>
        <w:ind w:left="4680" w:hanging="1404"/>
      </w:pPr>
      <w:r w:rsidRPr="00F22A05">
        <w:t xml:space="preserve">day# </w:t>
      </w:r>
      <w:r w:rsidR="001634EA" w:rsidRPr="00F22A05">
        <w:tab/>
      </w:r>
      <w:r w:rsidRPr="00F22A05">
        <w:t>= Julian day of the year (1-365)</w:t>
      </w:r>
    </w:p>
    <w:p w14:paraId="3F8D208A" w14:textId="75C32549" w:rsidR="008F1DC1" w:rsidRPr="00F22A05" w:rsidRDefault="008F1DC1" w:rsidP="008F6F2C">
      <w:pPr>
        <w:pStyle w:val="equals"/>
        <w:tabs>
          <w:tab w:val="clear" w:pos="3060"/>
          <w:tab w:val="left" w:pos="4500"/>
        </w:tabs>
        <w:ind w:left="4680" w:hanging="1404"/>
      </w:pPr>
      <w:r w:rsidRPr="00F22A05">
        <w:rPr>
          <w:i/>
        </w:rPr>
        <w:t>offset</w:t>
      </w:r>
      <w:r w:rsidRPr="00F22A05">
        <w:t xml:space="preserve"> </w:t>
      </w:r>
      <w:r w:rsidR="001634EA" w:rsidRPr="00F22A05">
        <w:tab/>
      </w:r>
      <w:r w:rsidRPr="00F22A05">
        <w:t>= 6°F</w:t>
      </w:r>
    </w:p>
    <w:p w14:paraId="24263071" w14:textId="1E4DBEC9" w:rsidR="008F1DC1" w:rsidRPr="00F22A05" w:rsidRDefault="008F1DC1" w:rsidP="008F6F2C">
      <w:pPr>
        <w:pStyle w:val="equals"/>
        <w:tabs>
          <w:tab w:val="clear" w:pos="3060"/>
          <w:tab w:val="left" w:pos="4500"/>
        </w:tabs>
        <w:ind w:left="4680" w:hanging="1404"/>
      </w:pPr>
      <w:r w:rsidRPr="00F22A05">
        <w:rPr>
          <w:i/>
        </w:rPr>
        <w:t>ratio</w:t>
      </w:r>
      <w:r w:rsidRPr="00F22A05">
        <w:t xml:space="preserve"> </w:t>
      </w:r>
      <w:r w:rsidR="001634EA" w:rsidRPr="00F22A05">
        <w:tab/>
      </w:r>
      <w:r w:rsidRPr="00F22A05">
        <w:t>= 0.4 + 0.01 (</w:t>
      </w:r>
      <w:proofErr w:type="spellStart"/>
      <w:proofErr w:type="gramStart"/>
      <w:r w:rsidRPr="00F22A05">
        <w:rPr>
          <w:i/>
        </w:rPr>
        <w:t>T</w:t>
      </w:r>
      <w:r w:rsidRPr="00F22A05">
        <w:rPr>
          <w:i/>
          <w:vertAlign w:val="subscript"/>
        </w:rPr>
        <w:t>amb</w:t>
      </w:r>
      <w:r w:rsidRPr="00F22A05">
        <w:rPr>
          <w:vertAlign w:val="subscript"/>
        </w:rPr>
        <w:t>,avg</w:t>
      </w:r>
      <w:proofErr w:type="spellEnd"/>
      <w:proofErr w:type="gramEnd"/>
      <w:r w:rsidRPr="00F22A05">
        <w:t xml:space="preserve"> – 44)</w:t>
      </w:r>
    </w:p>
    <w:p w14:paraId="0CCD6541" w14:textId="73D73A70" w:rsidR="001634EA" w:rsidRPr="00F22A05" w:rsidRDefault="008F1DC1" w:rsidP="008F6F2C">
      <w:pPr>
        <w:pStyle w:val="equals"/>
        <w:tabs>
          <w:tab w:val="clear" w:pos="3060"/>
          <w:tab w:val="left" w:pos="4500"/>
        </w:tabs>
        <w:ind w:left="4680" w:hanging="1404"/>
        <w:rPr>
          <w:u w:val="single"/>
        </w:rPr>
      </w:pPr>
      <w:r w:rsidRPr="00F22A05">
        <w:rPr>
          <w:i/>
        </w:rPr>
        <w:t>lag</w:t>
      </w:r>
      <w:r w:rsidRPr="00F22A05">
        <w:t xml:space="preserve"> </w:t>
      </w:r>
      <w:r w:rsidR="001634EA" w:rsidRPr="00F22A05">
        <w:tab/>
      </w:r>
      <w:r w:rsidRPr="00F22A05">
        <w:t>= 35 – 1.0 (</w:t>
      </w:r>
      <w:proofErr w:type="spellStart"/>
      <w:proofErr w:type="gramStart"/>
      <w:r w:rsidRPr="00F22A05">
        <w:t>T</w:t>
      </w:r>
      <w:r w:rsidRPr="00F22A05">
        <w:rPr>
          <w:vertAlign w:val="subscript"/>
        </w:rPr>
        <w:t>amb,avg</w:t>
      </w:r>
      <w:proofErr w:type="spellEnd"/>
      <w:proofErr w:type="gramEnd"/>
      <w:r w:rsidR="001634EA" w:rsidRPr="00F22A05">
        <w:t xml:space="preserve"> – 44)</w:t>
      </w:r>
    </w:p>
    <w:p w14:paraId="7B680DD3" w14:textId="7EAE644C" w:rsidR="00144798" w:rsidRPr="00F22A05" w:rsidRDefault="00144798" w:rsidP="00144798">
      <w:pPr>
        <w:pStyle w:val="equals"/>
        <w:tabs>
          <w:tab w:val="clear" w:pos="3060"/>
          <w:tab w:val="left" w:pos="4500"/>
        </w:tabs>
        <w:ind w:left="4680" w:hanging="1404"/>
      </w:pPr>
      <w:r w:rsidRPr="00F22A05">
        <w:rPr>
          <w:i/>
          <w:iCs/>
          <w:u w:val="single"/>
        </w:rPr>
        <w:t>hemisphere</w:t>
      </w:r>
      <w:r w:rsidRPr="00F22A05">
        <w:rPr>
          <w:u w:val="single"/>
        </w:rPr>
        <w:tab/>
        <w:t>= 1 for northern hemisphere, -1 for southern hemisphere</w:t>
      </w:r>
    </w:p>
    <w:p w14:paraId="78A2827F" w14:textId="18E514DA" w:rsidR="001634EA" w:rsidRPr="00F22A05" w:rsidRDefault="008F1DC1" w:rsidP="008F6F2C">
      <w:pPr>
        <w:pStyle w:val="equals"/>
        <w:tabs>
          <w:tab w:val="clear" w:pos="3060"/>
          <w:tab w:val="left" w:pos="4500"/>
        </w:tabs>
        <w:ind w:left="4680" w:hanging="1404"/>
        <w:rPr>
          <w:u w:val="single"/>
        </w:rPr>
      </w:pPr>
      <w:proofErr w:type="spellStart"/>
      <w:r w:rsidRPr="00F22A05">
        <w:rPr>
          <w:strike/>
        </w:rPr>
        <w:t>refFgpd</w:t>
      </w:r>
      <w:proofErr w:type="spellEnd"/>
      <w:r w:rsidRPr="00F22A05">
        <w:rPr>
          <w:strike/>
        </w:rPr>
        <w:t xml:space="preserve"> </w:t>
      </w:r>
      <w:proofErr w:type="spellStart"/>
      <w:r w:rsidR="00D37361" w:rsidRPr="00F22A05">
        <w:rPr>
          <w:u w:val="single"/>
        </w:rPr>
        <w:t>refFgph</w:t>
      </w:r>
      <w:proofErr w:type="spellEnd"/>
      <w:r w:rsidR="00D37361" w:rsidRPr="00F22A05">
        <w:rPr>
          <w:u w:val="single"/>
        </w:rPr>
        <w:t xml:space="preserve"> </w:t>
      </w:r>
      <w:r w:rsidR="001634EA" w:rsidRPr="00F22A05">
        <w:tab/>
      </w:r>
      <w:r w:rsidRPr="00F22A05">
        <w:t xml:space="preserve">= </w:t>
      </w:r>
      <w:r w:rsidR="00DC195E" w:rsidRPr="00F22A05">
        <w:rPr>
          <w:u w:val="single"/>
        </w:rPr>
        <w:t>(</w:t>
      </w:r>
      <w:r w:rsidRPr="00F22A05">
        <w:t>14.6 +</w:t>
      </w:r>
      <w:r w:rsidR="001634EA" w:rsidRPr="00F22A05">
        <w:t xml:space="preserve"> 10.0*</w:t>
      </w:r>
      <w:proofErr w:type="spellStart"/>
      <w:proofErr w:type="gramStart"/>
      <w:r w:rsidR="001634EA" w:rsidRPr="00F22A05">
        <w:t>Nbr</w:t>
      </w:r>
      <w:proofErr w:type="spellEnd"/>
      <w:r w:rsidR="00DC195E" w:rsidRPr="00F22A05">
        <w:rPr>
          <w:u w:val="single"/>
        </w:rPr>
        <w:t>)*</w:t>
      </w:r>
      <w:proofErr w:type="spellStart"/>
      <w:proofErr w:type="gramEnd"/>
      <w:r w:rsidR="00DC195E" w:rsidRPr="00F22A05">
        <w:rPr>
          <w:u w:val="single"/>
        </w:rPr>
        <w:t>h</w:t>
      </w:r>
      <w:r w:rsidR="00DC195E" w:rsidRPr="00F22A05">
        <w:rPr>
          <w:u w:val="single"/>
          <w:vertAlign w:val="subscript"/>
        </w:rPr>
        <w:t>F</w:t>
      </w:r>
      <w:proofErr w:type="spellEnd"/>
    </w:p>
    <w:p w14:paraId="78F8C668" w14:textId="31D24F0B" w:rsidR="001634EA" w:rsidRPr="00F22A05" w:rsidRDefault="002F2B39" w:rsidP="008F6F2C">
      <w:pPr>
        <w:pStyle w:val="equals"/>
        <w:tabs>
          <w:tab w:val="clear" w:pos="3060"/>
          <w:tab w:val="left" w:pos="4500"/>
        </w:tabs>
        <w:ind w:left="4680" w:hanging="1404"/>
      </w:pPr>
      <w:r w:rsidRPr="00F22A05">
        <w:tab/>
      </w:r>
      <w:r w:rsidR="008F1DC1" w:rsidRPr="00F22A05">
        <w:t xml:space="preserve">= reference climate-normalized </w:t>
      </w:r>
      <w:r w:rsidR="008F1DC1" w:rsidRPr="00F22A05">
        <w:rPr>
          <w:strike/>
        </w:rPr>
        <w:t xml:space="preserve">daily </w:t>
      </w:r>
      <w:r w:rsidR="005E178A" w:rsidRPr="00F22A05">
        <w:rPr>
          <w:u w:val="single"/>
        </w:rPr>
        <w:t xml:space="preserve">hourly </w:t>
      </w:r>
      <w:r w:rsidR="008F1DC1" w:rsidRPr="00F22A05">
        <w:t xml:space="preserve">fixture water </w:t>
      </w:r>
      <w:proofErr w:type="gramStart"/>
      <w:r w:rsidR="008F1DC1" w:rsidRPr="00F22A05">
        <w:t>use</w:t>
      </w:r>
      <w:proofErr w:type="gramEnd"/>
      <w:r w:rsidR="008F1DC1" w:rsidRPr="00F22A05">
        <w:t xml:space="preserve"> in Energy Rating Refe</w:t>
      </w:r>
      <w:r w:rsidR="001634EA" w:rsidRPr="00F22A05">
        <w:t xml:space="preserve">rence Home (in gallons per </w:t>
      </w:r>
      <w:proofErr w:type="spellStart"/>
      <w:r w:rsidR="001634EA" w:rsidRPr="00F22A05">
        <w:rPr>
          <w:strike/>
        </w:rPr>
        <w:t>day</w:t>
      </w:r>
      <w:r w:rsidR="005E178A" w:rsidRPr="00F22A05">
        <w:rPr>
          <w:u w:val="single"/>
        </w:rPr>
        <w:t>hour</w:t>
      </w:r>
      <w:proofErr w:type="spellEnd"/>
      <w:r w:rsidR="001634EA" w:rsidRPr="00F22A05">
        <w:t>)</w:t>
      </w:r>
    </w:p>
    <w:p w14:paraId="3E2F30AE" w14:textId="3021D831" w:rsidR="008F1DC1" w:rsidRPr="00FA69E8" w:rsidRDefault="008F1DC1" w:rsidP="008F6F2C">
      <w:pPr>
        <w:pStyle w:val="equals"/>
        <w:tabs>
          <w:tab w:val="clear" w:pos="3060"/>
          <w:tab w:val="left" w:pos="4500"/>
        </w:tabs>
        <w:ind w:left="4680" w:hanging="1404"/>
      </w:pPr>
      <w:proofErr w:type="spellStart"/>
      <w:r w:rsidRPr="00F22A05">
        <w:rPr>
          <w:strike/>
        </w:rPr>
        <w:t>refWgpd</w:t>
      </w:r>
      <w:proofErr w:type="spellEnd"/>
      <w:r w:rsidRPr="00F22A05">
        <w:rPr>
          <w:strike/>
        </w:rPr>
        <w:t xml:space="preserve"> </w:t>
      </w:r>
      <w:proofErr w:type="spellStart"/>
      <w:r w:rsidR="00D37361" w:rsidRPr="00F22A05">
        <w:rPr>
          <w:u w:val="single"/>
        </w:rPr>
        <w:t>refWgph</w:t>
      </w:r>
      <w:proofErr w:type="spellEnd"/>
      <w:r w:rsidR="00D37361" w:rsidRPr="00F22A05">
        <w:rPr>
          <w:u w:val="single"/>
        </w:rPr>
        <w:t xml:space="preserve"> </w:t>
      </w:r>
      <w:r w:rsidR="001634EA" w:rsidRPr="00F22A05">
        <w:tab/>
      </w:r>
      <w:r w:rsidRPr="00F22A05">
        <w:t xml:space="preserve">= </w:t>
      </w:r>
      <w:r w:rsidR="00DC195E" w:rsidRPr="00F22A05">
        <w:rPr>
          <w:u w:val="single"/>
        </w:rPr>
        <w:t>(</w:t>
      </w:r>
      <w:r w:rsidRPr="00FA69E8">
        <w:t>9.</w:t>
      </w:r>
      <w:r w:rsidRPr="00F22A05">
        <w:t>8*</w:t>
      </w:r>
      <w:proofErr w:type="spellStart"/>
      <w:r w:rsidRPr="00F22A05">
        <w:t>Nbr</w:t>
      </w:r>
      <w:proofErr w:type="spellEnd"/>
      <w:r w:rsidRPr="00F22A05">
        <w:t xml:space="preserve"> </w:t>
      </w:r>
      <w:proofErr w:type="gramStart"/>
      <w:r w:rsidRPr="00F22A05">
        <w:rPr>
          <w:vertAlign w:val="superscript"/>
        </w:rPr>
        <w:t>0.43</w:t>
      </w:r>
      <w:r w:rsidR="00DC195E" w:rsidRPr="00F22A05">
        <w:rPr>
          <w:u w:val="single"/>
        </w:rPr>
        <w:t>)*</w:t>
      </w:r>
      <w:proofErr w:type="spellStart"/>
      <w:proofErr w:type="gramEnd"/>
      <w:r w:rsidR="00DC195E" w:rsidRPr="00F22A05">
        <w:rPr>
          <w:u w:val="single"/>
        </w:rPr>
        <w:t>h</w:t>
      </w:r>
      <w:r w:rsidR="000B4F4D" w:rsidRPr="00F22A05">
        <w:rPr>
          <w:u w:val="single"/>
          <w:vertAlign w:val="subscript"/>
        </w:rPr>
        <w:t>F</w:t>
      </w:r>
      <w:proofErr w:type="spellEnd"/>
      <w:r w:rsidRPr="00F22A05">
        <w:t xml:space="preserve"> </w:t>
      </w:r>
    </w:p>
    <w:p w14:paraId="336B5AF4" w14:textId="4C56332B" w:rsidR="008F1DC1" w:rsidRPr="00F22A05" w:rsidRDefault="002F2B39" w:rsidP="00DE6436">
      <w:pPr>
        <w:pStyle w:val="equals"/>
        <w:tabs>
          <w:tab w:val="clear" w:pos="3060"/>
          <w:tab w:val="left" w:pos="4500"/>
        </w:tabs>
        <w:ind w:left="4680" w:hanging="1404"/>
      </w:pPr>
      <w:r w:rsidRPr="00FA69E8">
        <w:tab/>
      </w:r>
      <w:r w:rsidR="008F1DC1" w:rsidRPr="00F22A05">
        <w:t xml:space="preserve">= reference climate-normalized </w:t>
      </w:r>
      <w:r w:rsidR="008F1DC1" w:rsidRPr="00F22A05">
        <w:rPr>
          <w:strike/>
        </w:rPr>
        <w:t xml:space="preserve">daily </w:t>
      </w:r>
      <w:r w:rsidR="005E178A" w:rsidRPr="00F22A05">
        <w:rPr>
          <w:u w:val="single"/>
        </w:rPr>
        <w:t xml:space="preserve">hourly </w:t>
      </w:r>
      <w:r w:rsidR="008F1DC1" w:rsidRPr="00F22A05">
        <w:t xml:space="preserve">hot water waste due to distribution system losses in Energy Rating Reference Home (in gallons per </w:t>
      </w:r>
      <w:proofErr w:type="spellStart"/>
      <w:r w:rsidR="008F1DC1" w:rsidRPr="00F22A05">
        <w:rPr>
          <w:strike/>
        </w:rPr>
        <w:t>day</w:t>
      </w:r>
      <w:r w:rsidR="005E178A" w:rsidRPr="00F22A05">
        <w:rPr>
          <w:u w:val="single"/>
        </w:rPr>
        <w:t>hour</w:t>
      </w:r>
      <w:proofErr w:type="spellEnd"/>
      <w:r w:rsidR="008F1DC1" w:rsidRPr="00F22A05">
        <w:t>)</w:t>
      </w:r>
    </w:p>
    <w:p w14:paraId="388D1104" w14:textId="4A41CF82" w:rsidR="008F1DC1" w:rsidRPr="00F22A05" w:rsidRDefault="008F1DC1" w:rsidP="008F6F2C">
      <w:pPr>
        <w:pStyle w:val="where1"/>
        <w:ind w:left="3240"/>
      </w:pPr>
      <w:r w:rsidRPr="00F22A05">
        <w:t>where</w:t>
      </w:r>
      <w:r w:rsidR="00296D08" w:rsidRPr="00F22A05">
        <w:t>:</w:t>
      </w:r>
    </w:p>
    <w:p w14:paraId="16D2A025" w14:textId="4FEF3CD0" w:rsidR="008F1DC1" w:rsidRPr="00F22A05" w:rsidRDefault="008F1DC1" w:rsidP="008F6F2C">
      <w:pPr>
        <w:pStyle w:val="equals"/>
        <w:tabs>
          <w:tab w:val="clear" w:pos="3060"/>
          <w:tab w:val="left" w:pos="4500"/>
        </w:tabs>
        <w:ind w:left="4680" w:hanging="1404"/>
      </w:pPr>
      <w:proofErr w:type="spellStart"/>
      <w:r w:rsidRPr="00F22A05">
        <w:t>Nbr</w:t>
      </w:r>
      <w:proofErr w:type="spellEnd"/>
      <w:r w:rsidRPr="00F22A05">
        <w:t xml:space="preserve"> </w:t>
      </w:r>
      <w:r w:rsidR="001634EA" w:rsidRPr="00F22A05">
        <w:tab/>
      </w:r>
      <w:r w:rsidRPr="00F22A05">
        <w:t xml:space="preserve">= number of </w:t>
      </w:r>
      <w:r w:rsidR="003C5DD7" w:rsidRPr="00F22A05">
        <w:t>B</w:t>
      </w:r>
      <w:r w:rsidRPr="00F22A05">
        <w:t xml:space="preserve">edrooms in </w:t>
      </w:r>
      <w:r w:rsidR="00584061" w:rsidRPr="00F22A05">
        <w:t xml:space="preserve">the </w:t>
      </w:r>
      <w:r w:rsidR="00662CEE" w:rsidRPr="00F22A05">
        <w:t>Rated Home</w:t>
      </w:r>
      <w:r w:rsidR="00584061" w:rsidRPr="00F22A05">
        <w:t>, not to be less than 1.</w:t>
      </w:r>
    </w:p>
    <w:p w14:paraId="5A1B4E63" w14:textId="68F7D214" w:rsidR="005E178A" w:rsidRPr="00E63BFC" w:rsidRDefault="005E178A" w:rsidP="005E178A">
      <w:pPr>
        <w:pStyle w:val="equals"/>
        <w:tabs>
          <w:tab w:val="clear" w:pos="3060"/>
          <w:tab w:val="left" w:pos="4500"/>
        </w:tabs>
        <w:ind w:left="4680" w:hanging="1404"/>
        <w:rPr>
          <w:color w:val="FF0000"/>
          <w:u w:val="single"/>
        </w:rPr>
      </w:pPr>
      <w:proofErr w:type="spellStart"/>
      <w:r w:rsidRPr="00E63BFC">
        <w:rPr>
          <w:color w:val="FF0000"/>
          <w:u w:val="single"/>
        </w:rPr>
        <w:t>h</w:t>
      </w:r>
      <w:r w:rsidRPr="00E63BFC">
        <w:rPr>
          <w:color w:val="FF0000"/>
          <w:u w:val="single"/>
          <w:vertAlign w:val="subscript"/>
        </w:rPr>
        <w:t>DW</w:t>
      </w:r>
      <w:proofErr w:type="spellEnd"/>
      <w:r w:rsidRPr="00E63BFC">
        <w:rPr>
          <w:color w:val="FF0000"/>
          <w:u w:val="single"/>
        </w:rPr>
        <w:t xml:space="preserve"> </w:t>
      </w:r>
      <w:r w:rsidRPr="00E63BFC">
        <w:rPr>
          <w:color w:val="FF0000"/>
          <w:u w:val="single"/>
        </w:rPr>
        <w:tab/>
        <w:t xml:space="preserve">= hourly profile schedule </w:t>
      </w:r>
      <w:r w:rsidR="00E97637" w:rsidRPr="00E63BFC">
        <w:rPr>
          <w:color w:val="FF0000"/>
          <w:u w:val="single"/>
        </w:rPr>
        <w:t xml:space="preserve">value </w:t>
      </w:r>
      <w:r w:rsidRPr="00E63BFC">
        <w:rPr>
          <w:color w:val="FF0000"/>
          <w:u w:val="single"/>
        </w:rPr>
        <w:t xml:space="preserve">for dishwashers in Normative Appendix </w:t>
      </w:r>
      <w:r w:rsidR="00F85D95" w:rsidRPr="00E63BFC">
        <w:rPr>
          <w:color w:val="FF0000"/>
          <w:u w:val="single"/>
        </w:rPr>
        <w:t>C3</w:t>
      </w:r>
      <w:r w:rsidR="00F85D95" w:rsidRPr="00E63BFC">
        <w:rPr>
          <w:bCs/>
          <w:color w:val="FF0000"/>
          <w:u w:val="single"/>
        </w:rPr>
        <w:t>.</w:t>
      </w:r>
      <w:r w:rsidR="006172EC" w:rsidRPr="00E63BFC">
        <w:rPr>
          <w:color w:val="FF0000"/>
          <w:u w:val="single"/>
        </w:rPr>
        <w:t xml:space="preserve"> Table </w:t>
      </w:r>
      <w:r w:rsidR="00F85D95" w:rsidRPr="00E63BFC">
        <w:rPr>
          <w:color w:val="FF0000"/>
          <w:u w:val="single"/>
        </w:rPr>
        <w:t>C</w:t>
      </w:r>
      <w:r w:rsidR="00A17DBD" w:rsidRPr="00E63BFC">
        <w:rPr>
          <w:color w:val="FF0000"/>
          <w:u w:val="single"/>
        </w:rPr>
        <w:t>.</w:t>
      </w:r>
      <w:r w:rsidR="00F85D95" w:rsidRPr="00E63BFC">
        <w:rPr>
          <w:color w:val="FF0000"/>
          <w:u w:val="single"/>
        </w:rPr>
        <w:t>3</w:t>
      </w:r>
      <w:r w:rsidR="006172EC" w:rsidRPr="00E63BFC">
        <w:rPr>
          <w:color w:val="FF0000"/>
          <w:u w:val="single"/>
        </w:rPr>
        <w:t>(1)</w:t>
      </w:r>
      <w:r w:rsidRPr="00E63BFC">
        <w:rPr>
          <w:color w:val="FF0000"/>
          <w:u w:val="single"/>
        </w:rPr>
        <w:t>.</w:t>
      </w:r>
    </w:p>
    <w:p w14:paraId="200B7B0C" w14:textId="6B2AEDF5" w:rsidR="000B4F4D" w:rsidRPr="00E63BFC" w:rsidRDefault="000B4F4D" w:rsidP="000B4F4D">
      <w:pPr>
        <w:pStyle w:val="equals"/>
        <w:tabs>
          <w:tab w:val="clear" w:pos="3060"/>
          <w:tab w:val="left" w:pos="4500"/>
        </w:tabs>
        <w:ind w:left="4680" w:hanging="1404"/>
        <w:rPr>
          <w:color w:val="FF0000"/>
          <w:u w:val="single"/>
        </w:rPr>
      </w:pPr>
      <w:proofErr w:type="spellStart"/>
      <w:r w:rsidRPr="00E63BFC">
        <w:rPr>
          <w:color w:val="FF0000"/>
          <w:u w:val="single"/>
        </w:rPr>
        <w:t>h</w:t>
      </w:r>
      <w:r w:rsidRPr="00E63BFC">
        <w:rPr>
          <w:color w:val="FF0000"/>
          <w:u w:val="single"/>
          <w:vertAlign w:val="subscript"/>
        </w:rPr>
        <w:t>CW</w:t>
      </w:r>
      <w:proofErr w:type="spellEnd"/>
      <w:r w:rsidRPr="00E63BFC">
        <w:rPr>
          <w:color w:val="FF0000"/>
          <w:u w:val="single"/>
        </w:rPr>
        <w:t xml:space="preserve"> </w:t>
      </w:r>
      <w:r w:rsidRPr="00E63BFC">
        <w:rPr>
          <w:color w:val="FF0000"/>
          <w:u w:val="single"/>
        </w:rPr>
        <w:tab/>
        <w:t xml:space="preserve">= hourly </w:t>
      </w:r>
      <w:r w:rsidR="002D3ACF" w:rsidRPr="00E63BFC">
        <w:rPr>
          <w:color w:val="FF0000"/>
          <w:u w:val="single"/>
        </w:rPr>
        <w:t xml:space="preserve">profile schedule </w:t>
      </w:r>
      <w:r w:rsidR="00E97637" w:rsidRPr="00E63BFC">
        <w:rPr>
          <w:color w:val="FF0000"/>
          <w:u w:val="single"/>
        </w:rPr>
        <w:t xml:space="preserve">value </w:t>
      </w:r>
      <w:r w:rsidR="002D3ACF" w:rsidRPr="00E63BFC">
        <w:rPr>
          <w:color w:val="FF0000"/>
          <w:u w:val="single"/>
        </w:rPr>
        <w:t xml:space="preserve">for clothes washers in Normative Appendix </w:t>
      </w:r>
      <w:r w:rsidR="00A17DBD" w:rsidRPr="00E63BFC">
        <w:rPr>
          <w:color w:val="FF0000"/>
          <w:u w:val="single"/>
        </w:rPr>
        <w:t>C3</w:t>
      </w:r>
      <w:r w:rsidR="00880AC8" w:rsidRPr="00E63BFC">
        <w:rPr>
          <w:color w:val="FF0000"/>
          <w:u w:val="single"/>
        </w:rPr>
        <w:t>.</w:t>
      </w:r>
      <w:r w:rsidR="006172EC" w:rsidRPr="00E63BFC">
        <w:rPr>
          <w:color w:val="FF0000"/>
          <w:u w:val="single"/>
        </w:rPr>
        <w:t xml:space="preserve"> Table </w:t>
      </w:r>
      <w:r w:rsidR="00880AC8" w:rsidRPr="00E63BFC">
        <w:rPr>
          <w:color w:val="FF0000"/>
          <w:u w:val="single"/>
        </w:rPr>
        <w:t>C</w:t>
      </w:r>
      <w:r w:rsidR="0033538E" w:rsidRPr="00E63BFC">
        <w:rPr>
          <w:color w:val="FF0000"/>
          <w:u w:val="single"/>
        </w:rPr>
        <w:t>.</w:t>
      </w:r>
      <w:r w:rsidR="00880AC8" w:rsidRPr="00E63BFC">
        <w:rPr>
          <w:color w:val="FF0000"/>
          <w:u w:val="single"/>
        </w:rPr>
        <w:t>3</w:t>
      </w:r>
      <w:r w:rsidR="006172EC" w:rsidRPr="00E63BFC">
        <w:rPr>
          <w:color w:val="FF0000"/>
          <w:u w:val="single"/>
        </w:rPr>
        <w:t>(1).</w:t>
      </w:r>
    </w:p>
    <w:p w14:paraId="1DB19AF9" w14:textId="31C13149" w:rsidR="005E178A" w:rsidRPr="00F22A05" w:rsidRDefault="005E178A" w:rsidP="005E178A">
      <w:pPr>
        <w:pStyle w:val="equals"/>
        <w:tabs>
          <w:tab w:val="clear" w:pos="3060"/>
          <w:tab w:val="left" w:pos="4500"/>
        </w:tabs>
        <w:ind w:left="4680" w:hanging="1404"/>
      </w:pPr>
      <w:proofErr w:type="spellStart"/>
      <w:r w:rsidRPr="00E63BFC">
        <w:rPr>
          <w:color w:val="FF0000"/>
          <w:u w:val="single"/>
        </w:rPr>
        <w:t>h</w:t>
      </w:r>
      <w:r w:rsidRPr="00E63BFC">
        <w:rPr>
          <w:color w:val="FF0000"/>
          <w:u w:val="single"/>
          <w:vertAlign w:val="subscript"/>
        </w:rPr>
        <w:t>F</w:t>
      </w:r>
      <w:proofErr w:type="spellEnd"/>
      <w:r w:rsidRPr="00E63BFC">
        <w:rPr>
          <w:color w:val="FF0000"/>
          <w:u w:val="single"/>
        </w:rPr>
        <w:t xml:space="preserve"> </w:t>
      </w:r>
      <w:r w:rsidRPr="00E63BFC">
        <w:rPr>
          <w:color w:val="FF0000"/>
          <w:u w:val="single"/>
        </w:rPr>
        <w:tab/>
        <w:t>= hourly profile schedule</w:t>
      </w:r>
      <w:r w:rsidR="00E97637" w:rsidRPr="00E63BFC">
        <w:rPr>
          <w:color w:val="FF0000"/>
          <w:u w:val="single"/>
        </w:rPr>
        <w:t xml:space="preserve"> value</w:t>
      </w:r>
      <w:r w:rsidRPr="00E63BFC">
        <w:rPr>
          <w:color w:val="FF0000"/>
          <w:u w:val="single"/>
        </w:rPr>
        <w:t xml:space="preserve"> for fixtures in Normative Appendix </w:t>
      </w:r>
      <w:r w:rsidR="00A17DBD" w:rsidRPr="00E63BFC">
        <w:rPr>
          <w:color w:val="FF0000"/>
          <w:u w:val="single"/>
        </w:rPr>
        <w:t>C3</w:t>
      </w:r>
      <w:r w:rsidR="00A17DBD" w:rsidRPr="00E63BFC">
        <w:rPr>
          <w:bCs/>
          <w:color w:val="FF0000"/>
          <w:u w:val="single"/>
        </w:rPr>
        <w:t>.</w:t>
      </w:r>
      <w:r w:rsidR="00880AC8" w:rsidRPr="00E63BFC">
        <w:rPr>
          <w:bCs/>
          <w:color w:val="FF0000"/>
          <w:u w:val="single"/>
        </w:rPr>
        <w:t xml:space="preserve"> </w:t>
      </w:r>
      <w:r w:rsidR="006172EC" w:rsidRPr="00E63BFC">
        <w:rPr>
          <w:color w:val="FF0000"/>
          <w:u w:val="single"/>
        </w:rPr>
        <w:t xml:space="preserve">Table </w:t>
      </w:r>
      <w:r w:rsidR="0033538E" w:rsidRPr="00E63BFC">
        <w:rPr>
          <w:color w:val="FF0000"/>
          <w:u w:val="single"/>
        </w:rPr>
        <w:t>C.3</w:t>
      </w:r>
      <w:r w:rsidR="006172EC" w:rsidRPr="00E63BFC">
        <w:rPr>
          <w:color w:val="FF0000"/>
          <w:u w:val="single"/>
        </w:rPr>
        <w:t>(</w:t>
      </w:r>
      <w:r w:rsidR="00096094" w:rsidRPr="00E63BFC">
        <w:rPr>
          <w:color w:val="FF0000"/>
          <w:u w:val="single"/>
        </w:rPr>
        <w:t>5</w:t>
      </w:r>
      <w:r w:rsidR="006172EC" w:rsidRPr="00E63BFC">
        <w:rPr>
          <w:color w:val="FF0000"/>
          <w:u w:val="single"/>
        </w:rPr>
        <w:t>).</w:t>
      </w:r>
    </w:p>
    <w:p w14:paraId="70BD54A8" w14:textId="77777777" w:rsidR="008F1DC1" w:rsidRPr="00F22A05" w:rsidRDefault="008F1DC1" w:rsidP="00CE1D7B">
      <w:pPr>
        <w:tabs>
          <w:tab w:val="left" w:pos="748"/>
        </w:tabs>
      </w:pPr>
    </w:p>
    <w:p w14:paraId="2A65AA58" w14:textId="3AF0DBBD" w:rsidR="008F1DC1" w:rsidRPr="00F22A05" w:rsidRDefault="00C42695" w:rsidP="00671DAC">
      <w:pPr>
        <w:pStyle w:val="sixa"/>
        <w:numPr>
          <w:ilvl w:val="0"/>
          <w:numId w:val="0"/>
        </w:numPr>
        <w:ind w:left="2610"/>
        <w:rPr>
          <w:u w:val="single"/>
        </w:rPr>
      </w:pPr>
      <w:r w:rsidRPr="00F22A05">
        <w:rPr>
          <w:b/>
        </w:rPr>
        <w:t>4.2.2.7.1.5</w:t>
      </w:r>
      <w:r w:rsidR="00A87B5A" w:rsidRPr="00F22A05">
        <w:rPr>
          <w:b/>
        </w:rPr>
        <w:t>.</w:t>
      </w:r>
      <w:r w:rsidRPr="00F22A05">
        <w:rPr>
          <w:b/>
        </w:rPr>
        <w:t xml:space="preserve">  </w:t>
      </w:r>
      <w:r w:rsidR="008F1DC1" w:rsidRPr="00F22A05">
        <w:rPr>
          <w:b/>
        </w:rPr>
        <w:t xml:space="preserve">Ceiling Fans.  </w:t>
      </w:r>
      <w:r w:rsidR="008F1DC1" w:rsidRPr="00F22A05">
        <w:t>Where ceiling fans are included in the Rated Home</w:t>
      </w:r>
      <w:r w:rsidR="00EB076F" w:rsidRPr="00F22A05">
        <w:t>,</w:t>
      </w:r>
      <w:r w:rsidR="008F1DC1" w:rsidRPr="00F22A05">
        <w:t xml:space="preserve"> they shall also be included in the Reference Home in accordance with the provisions of Section</w:t>
      </w:r>
      <w:r w:rsidR="00671DAC" w:rsidRPr="00F22A05">
        <w:t xml:space="preserve"> </w:t>
      </w:r>
      <w:r w:rsidR="00251C98" w:rsidRPr="00F22A05">
        <w:t>4.2.2.7.</w:t>
      </w:r>
      <w:r w:rsidR="00815AF1" w:rsidRPr="00F22A05">
        <w:t>2.12</w:t>
      </w:r>
      <w:r w:rsidR="008F1DC1" w:rsidRPr="00F22A05">
        <w:t>.</w:t>
      </w:r>
      <w:r w:rsidR="003C228B" w:rsidRPr="00F22A05">
        <w:rPr>
          <w:b/>
          <w:vertAlign w:val="superscript"/>
        </w:rPr>
        <w:t xml:space="preserve"> </w:t>
      </w:r>
      <w:r w:rsidR="00DC54A7" w:rsidRPr="00DC54A7">
        <w:rPr>
          <w:b/>
          <w:color w:val="0070C0"/>
          <w:vertAlign w:val="superscript"/>
        </w:rPr>
        <w:t>(1)</w:t>
      </w:r>
    </w:p>
    <w:p w14:paraId="141075A6" w14:textId="77777777" w:rsidR="00D5269C" w:rsidRPr="00F22A05" w:rsidRDefault="00D5269C" w:rsidP="00671DAC">
      <w:pPr>
        <w:pStyle w:val="sixa"/>
        <w:numPr>
          <w:ilvl w:val="0"/>
          <w:numId w:val="0"/>
        </w:numPr>
        <w:ind w:left="2610"/>
        <w:rPr>
          <w:b/>
          <w:u w:val="single"/>
        </w:rPr>
      </w:pPr>
    </w:p>
    <w:p w14:paraId="14900D3C" w14:textId="349DA0A4" w:rsidR="00D5269C" w:rsidRDefault="00D5269C" w:rsidP="00D5269C">
      <w:pPr>
        <w:pStyle w:val="sixa"/>
        <w:numPr>
          <w:ilvl w:val="0"/>
          <w:numId w:val="0"/>
        </w:numPr>
        <w:ind w:left="2610"/>
        <w:rPr>
          <w:b/>
          <w:color w:val="0070C0"/>
          <w:vertAlign w:val="superscript"/>
        </w:rPr>
      </w:pPr>
      <w:r w:rsidRPr="00F22A05">
        <w:rPr>
          <w:b/>
          <w:u w:val="single"/>
        </w:rPr>
        <w:t xml:space="preserve">4.2.2.7.1.6.  Other Internal Gains.  </w:t>
      </w:r>
      <w:r w:rsidR="00B8507F" w:rsidRPr="00F22A05">
        <w:rPr>
          <w:u w:val="single"/>
        </w:rPr>
        <w:t xml:space="preserve">Hourly </w:t>
      </w:r>
      <w:r w:rsidR="00C861FE" w:rsidRPr="00F22A05">
        <w:rPr>
          <w:u w:val="single"/>
        </w:rPr>
        <w:t xml:space="preserve">Internal Gains not associated with </w:t>
      </w:r>
      <w:r w:rsidR="005C4104" w:rsidRPr="00F22A05">
        <w:rPr>
          <w:u w:val="single"/>
        </w:rPr>
        <w:t>Lighting, Appliances, or Miscellaneous Energy Loads shall be</w:t>
      </w:r>
      <w:r w:rsidR="00CC1ACC" w:rsidRPr="00F22A05">
        <w:rPr>
          <w:u w:val="single"/>
        </w:rPr>
        <w:t xml:space="preserve"> </w:t>
      </w:r>
      <w:r w:rsidR="00ED625D" w:rsidRPr="00F22A05">
        <w:rPr>
          <w:u w:val="single"/>
        </w:rPr>
        <w:t xml:space="preserve">calculated by multiplying the daily </w:t>
      </w:r>
      <w:r w:rsidR="00014271" w:rsidRPr="00F22A05">
        <w:rPr>
          <w:u w:val="single"/>
        </w:rPr>
        <w:t xml:space="preserve">values </w:t>
      </w:r>
      <w:r w:rsidR="00941CF4" w:rsidRPr="00F22A05">
        <w:rPr>
          <w:u w:val="single"/>
        </w:rPr>
        <w:t xml:space="preserve">derived using Equation 4.2-28 and the coefficients </w:t>
      </w:r>
      <w:r w:rsidR="00014271" w:rsidRPr="00F22A05">
        <w:rPr>
          <w:u w:val="single"/>
        </w:rPr>
        <w:t xml:space="preserve">in Table 4.2.2.7(3) by the </w:t>
      </w:r>
      <w:r w:rsidR="00220A0E" w:rsidRPr="00F22A05">
        <w:rPr>
          <w:u w:val="single"/>
        </w:rPr>
        <w:t xml:space="preserve">corresponding </w:t>
      </w:r>
      <w:r w:rsidR="00014271" w:rsidRPr="00F22A05">
        <w:rPr>
          <w:u w:val="single"/>
        </w:rPr>
        <w:t>profile schedule values</w:t>
      </w:r>
      <w:r w:rsidR="00220A0E" w:rsidRPr="00F22A05">
        <w:rPr>
          <w:u w:val="single"/>
        </w:rPr>
        <w:t xml:space="preserve"> in</w:t>
      </w:r>
      <w:r w:rsidR="00ED625D" w:rsidRPr="00F22A05">
        <w:rPr>
          <w:u w:val="single"/>
        </w:rPr>
        <w:t xml:space="preserve"> </w:t>
      </w:r>
      <w:r w:rsidR="00B8507F" w:rsidRPr="00F22A05">
        <w:rPr>
          <w:u w:val="single"/>
        </w:rPr>
        <w:t xml:space="preserve">Normative Appendix </w:t>
      </w:r>
      <w:bookmarkStart w:id="60" w:name="_Hlk161503321"/>
      <w:r w:rsidR="00A9642D" w:rsidRPr="008657D7">
        <w:rPr>
          <w:bCs w:val="0"/>
          <w:strike/>
          <w:color w:val="FF0000"/>
          <w:u w:val="single"/>
        </w:rPr>
        <w:t>C.4</w:t>
      </w:r>
      <w:r w:rsidR="00A9642D">
        <w:rPr>
          <w:bCs w:val="0"/>
          <w:color w:val="FF0000"/>
          <w:u w:val="single"/>
        </w:rPr>
        <w:t>C3</w:t>
      </w:r>
      <w:bookmarkEnd w:id="60"/>
      <w:r w:rsidR="00E05DAC">
        <w:rPr>
          <w:bCs w:val="0"/>
          <w:u w:val="single"/>
        </w:rPr>
        <w:t>.</w:t>
      </w:r>
      <w:r w:rsidR="007136AE" w:rsidRPr="00F22A05">
        <w:rPr>
          <w:u w:val="single"/>
        </w:rPr>
        <w:t xml:space="preserve"> Table </w:t>
      </w:r>
      <w:bookmarkStart w:id="61" w:name="_Hlk161503331"/>
      <w:r w:rsidR="00A9642D" w:rsidRPr="00A9642D">
        <w:rPr>
          <w:strike/>
          <w:color w:val="FF0000"/>
          <w:u w:val="single"/>
        </w:rPr>
        <w:t>C4</w:t>
      </w:r>
      <w:r w:rsidR="007136AE" w:rsidRPr="00A9642D">
        <w:rPr>
          <w:color w:val="FF0000"/>
          <w:u w:val="single"/>
        </w:rPr>
        <w:t>C</w:t>
      </w:r>
      <w:r w:rsidR="00256126" w:rsidRPr="00C8516C">
        <w:rPr>
          <w:color w:val="FF0000"/>
          <w:u w:val="single"/>
        </w:rPr>
        <w:t>.</w:t>
      </w:r>
      <w:r w:rsidR="005F01EE" w:rsidRPr="00C8516C">
        <w:rPr>
          <w:color w:val="FF0000"/>
          <w:u w:val="single"/>
        </w:rPr>
        <w:t>3</w:t>
      </w:r>
      <w:bookmarkEnd w:id="61"/>
      <w:r w:rsidR="007136AE" w:rsidRPr="00F22A05">
        <w:rPr>
          <w:u w:val="single"/>
        </w:rPr>
        <w:t>(5)</w:t>
      </w:r>
      <w:r w:rsidRPr="00F22A05">
        <w:rPr>
          <w:u w:val="single"/>
        </w:rPr>
        <w:t>.</w:t>
      </w:r>
      <w:r w:rsidR="00A40ED7" w:rsidRPr="00F22A05">
        <w:t xml:space="preserve"> </w:t>
      </w:r>
      <w:r w:rsidR="00DC54A7" w:rsidRPr="00DC54A7">
        <w:rPr>
          <w:b/>
          <w:color w:val="0070C0"/>
          <w:vertAlign w:val="superscript"/>
        </w:rPr>
        <w:t>(1)</w:t>
      </w:r>
    </w:p>
    <w:p w14:paraId="4D6260FD" w14:textId="77777777" w:rsidR="00DC54A7" w:rsidRDefault="00DC54A7" w:rsidP="00D5269C">
      <w:pPr>
        <w:pStyle w:val="sixa"/>
        <w:numPr>
          <w:ilvl w:val="0"/>
          <w:numId w:val="0"/>
        </w:numPr>
        <w:ind w:left="2610"/>
        <w:rPr>
          <w:b/>
          <w:u w:val="single"/>
        </w:rPr>
      </w:pPr>
    </w:p>
    <w:p w14:paraId="09F45F8E" w14:textId="77777777" w:rsidR="00DC54A7" w:rsidRPr="00F22A05" w:rsidRDefault="00DC54A7" w:rsidP="00D5269C">
      <w:pPr>
        <w:pStyle w:val="sixa"/>
        <w:numPr>
          <w:ilvl w:val="0"/>
          <w:numId w:val="0"/>
        </w:numPr>
        <w:ind w:left="2610"/>
        <w:rPr>
          <w:b/>
          <w:u w:val="single"/>
        </w:rPr>
      </w:pPr>
    </w:p>
    <w:p w14:paraId="3F05EA9E" w14:textId="77777777" w:rsidR="00D5269C" w:rsidRPr="00F22A05" w:rsidRDefault="00D5269C" w:rsidP="00D5269C">
      <w:pPr>
        <w:rPr>
          <w:u w:val="single"/>
        </w:rPr>
      </w:pPr>
    </w:p>
    <w:p w14:paraId="29669009" w14:textId="550F0106" w:rsidR="00220A0E" w:rsidRPr="00F22A05" w:rsidRDefault="001A22DE" w:rsidP="00220A0E">
      <w:pPr>
        <w:tabs>
          <w:tab w:val="left" w:pos="561"/>
        </w:tabs>
        <w:jc w:val="center"/>
        <w:rPr>
          <w:b/>
          <w:u w:val="single"/>
        </w:rPr>
      </w:pPr>
      <w:r w:rsidRPr="00F22A05">
        <w:rPr>
          <w:b/>
          <w:u w:val="single"/>
        </w:rPr>
        <w:t>Table 4.2.2</w:t>
      </w:r>
      <w:r w:rsidR="00B76B04" w:rsidRPr="00F22A05">
        <w:rPr>
          <w:b/>
          <w:u w:val="single"/>
        </w:rPr>
        <w:t>.7</w:t>
      </w:r>
      <w:r w:rsidRPr="00F22A05">
        <w:rPr>
          <w:b/>
          <w:u w:val="single"/>
        </w:rPr>
        <w:t>(3</w:t>
      </w:r>
      <w:proofErr w:type="gramStart"/>
      <w:r w:rsidRPr="00F22A05">
        <w:rPr>
          <w:b/>
          <w:u w:val="single"/>
        </w:rPr>
        <w:t xml:space="preserve">)  </w:t>
      </w:r>
      <w:r w:rsidR="00B76B04" w:rsidRPr="00F22A05">
        <w:rPr>
          <w:b/>
          <w:u w:val="single"/>
        </w:rPr>
        <w:t>Other</w:t>
      </w:r>
      <w:proofErr w:type="gramEnd"/>
      <w:r w:rsidR="00B76B04" w:rsidRPr="00F22A05">
        <w:rPr>
          <w:b/>
          <w:u w:val="single"/>
        </w:rPr>
        <w:t xml:space="preserve"> </w:t>
      </w:r>
      <w:r w:rsidRPr="00F22A05">
        <w:rPr>
          <w:b/>
          <w:u w:val="single"/>
        </w:rPr>
        <w:t>Internal Gains for Energy Rating Reference Homes</w:t>
      </w:r>
      <w:r w:rsidR="003C228B" w:rsidRPr="00F22A05">
        <w:rPr>
          <w:b/>
          <w:vertAlign w:val="superscript"/>
        </w:rPr>
        <w:t>1</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900"/>
        <w:gridCol w:w="720"/>
        <w:gridCol w:w="1170"/>
        <w:gridCol w:w="900"/>
        <w:gridCol w:w="720"/>
        <w:gridCol w:w="1080"/>
      </w:tblGrid>
      <w:tr w:rsidR="00F22A05" w:rsidRPr="00F22A05" w14:paraId="5A80427B" w14:textId="77777777" w:rsidTr="00581A21">
        <w:trPr>
          <w:trHeight w:val="305"/>
          <w:jc w:val="center"/>
        </w:trPr>
        <w:tc>
          <w:tcPr>
            <w:tcW w:w="2515" w:type="dxa"/>
            <w:vMerge w:val="restart"/>
          </w:tcPr>
          <w:p w14:paraId="66336D7C" w14:textId="77777777" w:rsidR="001A22DE" w:rsidRPr="00F22A05" w:rsidRDefault="001A22DE" w:rsidP="00F3759E">
            <w:pPr>
              <w:rPr>
                <w:b/>
                <w:bCs/>
                <w:u w:val="single"/>
              </w:rPr>
            </w:pPr>
            <w:r w:rsidRPr="00F22A05">
              <w:rPr>
                <w:b/>
                <w:bCs/>
                <w:u w:val="single"/>
              </w:rPr>
              <w:t xml:space="preserve">End Use </w:t>
            </w:r>
            <w:r w:rsidRPr="00F22A05">
              <w:rPr>
                <w:b/>
                <w:bCs/>
                <w:u w:val="single"/>
              </w:rPr>
              <w:br/>
              <w:t>Component</w:t>
            </w:r>
          </w:p>
        </w:tc>
        <w:tc>
          <w:tcPr>
            <w:tcW w:w="2790" w:type="dxa"/>
            <w:gridSpan w:val="3"/>
            <w:noWrap/>
          </w:tcPr>
          <w:p w14:paraId="5DFC09AF" w14:textId="77777777" w:rsidR="001A22DE" w:rsidRPr="00F22A05" w:rsidRDefault="001A22DE" w:rsidP="00F3759E">
            <w:pPr>
              <w:jc w:val="center"/>
              <w:rPr>
                <w:b/>
                <w:bCs/>
                <w:u w:val="single"/>
              </w:rPr>
            </w:pPr>
            <w:r w:rsidRPr="00F22A05">
              <w:rPr>
                <w:b/>
                <w:bCs/>
                <w:u w:val="single"/>
              </w:rPr>
              <w:t>Sensible Gains (Btu/day)</w:t>
            </w:r>
          </w:p>
        </w:tc>
        <w:tc>
          <w:tcPr>
            <w:tcW w:w="2700" w:type="dxa"/>
            <w:gridSpan w:val="3"/>
            <w:noWrap/>
          </w:tcPr>
          <w:p w14:paraId="290C5E09" w14:textId="77777777" w:rsidR="001A22DE" w:rsidRPr="00F22A05" w:rsidRDefault="001A22DE" w:rsidP="00F3759E">
            <w:pPr>
              <w:jc w:val="center"/>
              <w:rPr>
                <w:b/>
                <w:bCs/>
                <w:u w:val="single"/>
              </w:rPr>
            </w:pPr>
            <w:r w:rsidRPr="00F22A05">
              <w:rPr>
                <w:b/>
                <w:bCs/>
                <w:u w:val="single"/>
              </w:rPr>
              <w:t>Latent Gains (Btu/day)</w:t>
            </w:r>
          </w:p>
        </w:tc>
      </w:tr>
      <w:tr w:rsidR="00F22A05" w:rsidRPr="00F22A05" w14:paraId="45175817" w14:textId="77777777" w:rsidTr="00220A0E">
        <w:trPr>
          <w:trHeight w:val="20"/>
          <w:jc w:val="center"/>
        </w:trPr>
        <w:tc>
          <w:tcPr>
            <w:tcW w:w="2515" w:type="dxa"/>
            <w:vMerge/>
          </w:tcPr>
          <w:p w14:paraId="05833FE7" w14:textId="77777777" w:rsidR="001A22DE" w:rsidRPr="00F22A05" w:rsidRDefault="001A22DE" w:rsidP="00F3759E">
            <w:pPr>
              <w:rPr>
                <w:b/>
                <w:bCs/>
                <w:u w:val="single"/>
              </w:rPr>
            </w:pPr>
          </w:p>
        </w:tc>
        <w:tc>
          <w:tcPr>
            <w:tcW w:w="900" w:type="dxa"/>
            <w:noWrap/>
          </w:tcPr>
          <w:p w14:paraId="173744E1" w14:textId="77777777" w:rsidR="001A22DE" w:rsidRPr="00F22A05" w:rsidRDefault="001A22DE" w:rsidP="00F3759E">
            <w:pPr>
              <w:jc w:val="right"/>
              <w:rPr>
                <w:b/>
                <w:bCs/>
                <w:u w:val="single"/>
              </w:rPr>
            </w:pPr>
            <w:r w:rsidRPr="00F22A05">
              <w:rPr>
                <w:b/>
                <w:bCs/>
                <w:u w:val="single"/>
              </w:rPr>
              <w:t>a</w:t>
            </w:r>
          </w:p>
        </w:tc>
        <w:tc>
          <w:tcPr>
            <w:tcW w:w="720" w:type="dxa"/>
            <w:noWrap/>
          </w:tcPr>
          <w:p w14:paraId="3E5A3BE9" w14:textId="77777777" w:rsidR="001A22DE" w:rsidRPr="00F22A05" w:rsidRDefault="001A22DE" w:rsidP="00F3759E">
            <w:pPr>
              <w:jc w:val="right"/>
              <w:rPr>
                <w:b/>
                <w:bCs/>
                <w:u w:val="single"/>
              </w:rPr>
            </w:pPr>
            <w:r w:rsidRPr="00F22A05">
              <w:rPr>
                <w:b/>
                <w:bCs/>
                <w:u w:val="single"/>
              </w:rPr>
              <w:t>b</w:t>
            </w:r>
          </w:p>
        </w:tc>
        <w:tc>
          <w:tcPr>
            <w:tcW w:w="1170" w:type="dxa"/>
            <w:noWrap/>
          </w:tcPr>
          <w:p w14:paraId="26B9411F" w14:textId="77777777" w:rsidR="001A22DE" w:rsidRPr="00F22A05" w:rsidRDefault="001A22DE" w:rsidP="00F3759E">
            <w:pPr>
              <w:jc w:val="right"/>
              <w:rPr>
                <w:b/>
                <w:bCs/>
                <w:u w:val="single"/>
              </w:rPr>
            </w:pPr>
            <w:r w:rsidRPr="00F22A05">
              <w:rPr>
                <w:b/>
                <w:bCs/>
                <w:u w:val="single"/>
              </w:rPr>
              <w:t>c</w:t>
            </w:r>
          </w:p>
        </w:tc>
        <w:tc>
          <w:tcPr>
            <w:tcW w:w="900" w:type="dxa"/>
            <w:noWrap/>
          </w:tcPr>
          <w:p w14:paraId="2C04162F" w14:textId="77777777" w:rsidR="001A22DE" w:rsidRPr="00F22A05" w:rsidRDefault="001A22DE" w:rsidP="00F3759E">
            <w:pPr>
              <w:jc w:val="right"/>
              <w:rPr>
                <w:b/>
                <w:bCs/>
                <w:u w:val="single"/>
              </w:rPr>
            </w:pPr>
            <w:r w:rsidRPr="00F22A05">
              <w:rPr>
                <w:b/>
                <w:bCs/>
                <w:u w:val="single"/>
              </w:rPr>
              <w:t>a</w:t>
            </w:r>
          </w:p>
        </w:tc>
        <w:tc>
          <w:tcPr>
            <w:tcW w:w="720" w:type="dxa"/>
            <w:noWrap/>
          </w:tcPr>
          <w:p w14:paraId="33D3CD56" w14:textId="77777777" w:rsidR="001A22DE" w:rsidRPr="00F22A05" w:rsidRDefault="001A22DE" w:rsidP="00F3759E">
            <w:pPr>
              <w:jc w:val="right"/>
              <w:rPr>
                <w:b/>
                <w:bCs/>
                <w:u w:val="single"/>
              </w:rPr>
            </w:pPr>
            <w:r w:rsidRPr="00F22A05">
              <w:rPr>
                <w:b/>
                <w:bCs/>
                <w:u w:val="single"/>
              </w:rPr>
              <w:t>b</w:t>
            </w:r>
          </w:p>
        </w:tc>
        <w:tc>
          <w:tcPr>
            <w:tcW w:w="1080" w:type="dxa"/>
            <w:noWrap/>
          </w:tcPr>
          <w:p w14:paraId="5F7921ED" w14:textId="77777777" w:rsidR="001A22DE" w:rsidRPr="00F22A05" w:rsidRDefault="001A22DE" w:rsidP="00F3759E">
            <w:pPr>
              <w:jc w:val="right"/>
              <w:rPr>
                <w:b/>
                <w:bCs/>
                <w:u w:val="single"/>
              </w:rPr>
            </w:pPr>
            <w:r w:rsidRPr="00F22A05">
              <w:rPr>
                <w:b/>
                <w:bCs/>
                <w:u w:val="single"/>
              </w:rPr>
              <w:t>c</w:t>
            </w:r>
          </w:p>
        </w:tc>
      </w:tr>
      <w:tr w:rsidR="00F22A05" w:rsidRPr="00F22A05" w14:paraId="30F66CDF" w14:textId="77777777" w:rsidTr="00220A0E">
        <w:trPr>
          <w:trHeight w:val="20"/>
          <w:jc w:val="center"/>
        </w:trPr>
        <w:tc>
          <w:tcPr>
            <w:tcW w:w="2515" w:type="dxa"/>
            <w:noWrap/>
          </w:tcPr>
          <w:p w14:paraId="1585AEBF" w14:textId="02620F6F" w:rsidR="001A22DE" w:rsidRPr="00F22A05" w:rsidRDefault="001A22DE" w:rsidP="00F3759E">
            <w:pPr>
              <w:rPr>
                <w:u w:val="single"/>
              </w:rPr>
            </w:pPr>
            <w:r w:rsidRPr="00F22A05">
              <w:rPr>
                <w:u w:val="single"/>
              </w:rPr>
              <w:t xml:space="preserve">General water use </w:t>
            </w:r>
            <w:r w:rsidRPr="00F22A05">
              <w:rPr>
                <w:u w:val="single"/>
                <w:vertAlign w:val="superscript"/>
              </w:rPr>
              <w:t>(</w:t>
            </w:r>
            <w:r w:rsidR="00B76B04" w:rsidRPr="00F22A05">
              <w:rPr>
                <w:u w:val="single"/>
                <w:vertAlign w:val="superscript"/>
              </w:rPr>
              <w:t>a</w:t>
            </w:r>
            <w:r w:rsidRPr="00F22A05">
              <w:rPr>
                <w:u w:val="single"/>
                <w:vertAlign w:val="superscript"/>
              </w:rPr>
              <w:t>)</w:t>
            </w:r>
          </w:p>
        </w:tc>
        <w:tc>
          <w:tcPr>
            <w:tcW w:w="900" w:type="dxa"/>
            <w:noWrap/>
          </w:tcPr>
          <w:p w14:paraId="448D8484" w14:textId="77777777" w:rsidR="001A22DE" w:rsidRPr="00F22A05" w:rsidRDefault="001A22DE" w:rsidP="00F3759E">
            <w:pPr>
              <w:jc w:val="right"/>
              <w:rPr>
                <w:u w:val="single"/>
              </w:rPr>
            </w:pPr>
            <w:r w:rsidRPr="00F22A05">
              <w:rPr>
                <w:u w:val="single"/>
              </w:rPr>
              <w:t>-1227</w:t>
            </w:r>
          </w:p>
        </w:tc>
        <w:tc>
          <w:tcPr>
            <w:tcW w:w="720" w:type="dxa"/>
            <w:noWrap/>
          </w:tcPr>
          <w:p w14:paraId="04219F76" w14:textId="77777777" w:rsidR="001A22DE" w:rsidRPr="00F22A05" w:rsidRDefault="001A22DE" w:rsidP="00F3759E">
            <w:pPr>
              <w:jc w:val="right"/>
              <w:rPr>
                <w:u w:val="single"/>
              </w:rPr>
            </w:pPr>
          </w:p>
        </w:tc>
        <w:tc>
          <w:tcPr>
            <w:tcW w:w="1170" w:type="dxa"/>
            <w:noWrap/>
          </w:tcPr>
          <w:p w14:paraId="18EF2DBD" w14:textId="77777777" w:rsidR="001A22DE" w:rsidRPr="00F22A05" w:rsidRDefault="001A22DE" w:rsidP="00F3759E">
            <w:pPr>
              <w:jc w:val="right"/>
              <w:rPr>
                <w:u w:val="single"/>
              </w:rPr>
            </w:pPr>
            <w:r w:rsidRPr="00F22A05">
              <w:rPr>
                <w:u w:val="single"/>
              </w:rPr>
              <w:t>-409</w:t>
            </w:r>
          </w:p>
        </w:tc>
        <w:tc>
          <w:tcPr>
            <w:tcW w:w="900" w:type="dxa"/>
            <w:noWrap/>
          </w:tcPr>
          <w:p w14:paraId="2ABA6428" w14:textId="77777777" w:rsidR="001A22DE" w:rsidRPr="00F22A05" w:rsidRDefault="001A22DE" w:rsidP="00F3759E">
            <w:pPr>
              <w:jc w:val="right"/>
              <w:rPr>
                <w:u w:val="single"/>
              </w:rPr>
            </w:pPr>
            <w:r w:rsidRPr="00F22A05">
              <w:rPr>
                <w:u w:val="single"/>
              </w:rPr>
              <w:t>1,245</w:t>
            </w:r>
          </w:p>
        </w:tc>
        <w:tc>
          <w:tcPr>
            <w:tcW w:w="720" w:type="dxa"/>
            <w:noWrap/>
          </w:tcPr>
          <w:p w14:paraId="4BA12AB9" w14:textId="77777777" w:rsidR="001A22DE" w:rsidRPr="00F22A05" w:rsidRDefault="001A22DE" w:rsidP="00F3759E">
            <w:pPr>
              <w:jc w:val="right"/>
              <w:rPr>
                <w:u w:val="single"/>
              </w:rPr>
            </w:pPr>
          </w:p>
        </w:tc>
        <w:tc>
          <w:tcPr>
            <w:tcW w:w="1080" w:type="dxa"/>
            <w:noWrap/>
          </w:tcPr>
          <w:p w14:paraId="00F0CD08" w14:textId="77777777" w:rsidR="001A22DE" w:rsidRPr="00F22A05" w:rsidRDefault="001A22DE" w:rsidP="00F3759E">
            <w:pPr>
              <w:jc w:val="right"/>
              <w:rPr>
                <w:u w:val="single"/>
              </w:rPr>
            </w:pPr>
            <w:r w:rsidRPr="00F22A05">
              <w:rPr>
                <w:u w:val="single"/>
              </w:rPr>
              <w:t>415</w:t>
            </w:r>
          </w:p>
        </w:tc>
      </w:tr>
      <w:tr w:rsidR="00F22A05" w:rsidRPr="00F22A05" w14:paraId="7B65A0BB" w14:textId="77777777" w:rsidTr="00220A0E">
        <w:trPr>
          <w:trHeight w:val="20"/>
          <w:jc w:val="center"/>
        </w:trPr>
        <w:tc>
          <w:tcPr>
            <w:tcW w:w="2515" w:type="dxa"/>
            <w:noWrap/>
          </w:tcPr>
          <w:p w14:paraId="78BB6CFE" w14:textId="04E1D7F0" w:rsidR="001A22DE" w:rsidRPr="00F22A05" w:rsidRDefault="001A22DE" w:rsidP="00F3759E">
            <w:pPr>
              <w:rPr>
                <w:u w:val="single"/>
              </w:rPr>
            </w:pPr>
            <w:r w:rsidRPr="00F22A05">
              <w:rPr>
                <w:u w:val="single"/>
              </w:rPr>
              <w:t xml:space="preserve">Occupants </w:t>
            </w:r>
            <w:r w:rsidRPr="00F22A05">
              <w:rPr>
                <w:u w:val="single"/>
                <w:vertAlign w:val="superscript"/>
              </w:rPr>
              <w:t>(</w:t>
            </w:r>
            <w:r w:rsidR="00B76B04" w:rsidRPr="00F22A05">
              <w:rPr>
                <w:u w:val="single"/>
                <w:vertAlign w:val="superscript"/>
              </w:rPr>
              <w:t>b</w:t>
            </w:r>
            <w:r w:rsidRPr="00F22A05">
              <w:rPr>
                <w:u w:val="single"/>
                <w:vertAlign w:val="superscript"/>
              </w:rPr>
              <w:t>)</w:t>
            </w:r>
          </w:p>
        </w:tc>
        <w:tc>
          <w:tcPr>
            <w:tcW w:w="900" w:type="dxa"/>
            <w:noWrap/>
          </w:tcPr>
          <w:p w14:paraId="49514AA4" w14:textId="77777777" w:rsidR="001A22DE" w:rsidRPr="00F22A05" w:rsidRDefault="001A22DE" w:rsidP="00F3759E">
            <w:pPr>
              <w:jc w:val="right"/>
              <w:rPr>
                <w:u w:val="single"/>
              </w:rPr>
            </w:pPr>
          </w:p>
        </w:tc>
        <w:tc>
          <w:tcPr>
            <w:tcW w:w="720" w:type="dxa"/>
            <w:noWrap/>
          </w:tcPr>
          <w:p w14:paraId="4EA94946" w14:textId="77777777" w:rsidR="001A22DE" w:rsidRPr="00F22A05" w:rsidRDefault="001A22DE" w:rsidP="00F3759E">
            <w:pPr>
              <w:jc w:val="right"/>
              <w:rPr>
                <w:u w:val="single"/>
              </w:rPr>
            </w:pPr>
          </w:p>
        </w:tc>
        <w:tc>
          <w:tcPr>
            <w:tcW w:w="1170" w:type="dxa"/>
            <w:noWrap/>
          </w:tcPr>
          <w:p w14:paraId="4F6CD826" w14:textId="77777777" w:rsidR="001A22DE" w:rsidRPr="00F22A05" w:rsidRDefault="001A22DE" w:rsidP="00F3759E">
            <w:pPr>
              <w:jc w:val="right"/>
              <w:rPr>
                <w:u w:val="single"/>
              </w:rPr>
            </w:pPr>
            <w:r w:rsidRPr="00F22A05">
              <w:rPr>
                <w:u w:val="single"/>
              </w:rPr>
              <w:t>3716</w:t>
            </w:r>
          </w:p>
        </w:tc>
        <w:tc>
          <w:tcPr>
            <w:tcW w:w="900" w:type="dxa"/>
            <w:noWrap/>
          </w:tcPr>
          <w:p w14:paraId="1DACFBDB" w14:textId="77777777" w:rsidR="001A22DE" w:rsidRPr="00F22A05" w:rsidRDefault="001A22DE" w:rsidP="00F3759E">
            <w:pPr>
              <w:jc w:val="right"/>
              <w:rPr>
                <w:u w:val="single"/>
              </w:rPr>
            </w:pPr>
          </w:p>
        </w:tc>
        <w:tc>
          <w:tcPr>
            <w:tcW w:w="720" w:type="dxa"/>
            <w:noWrap/>
          </w:tcPr>
          <w:p w14:paraId="1046B011" w14:textId="77777777" w:rsidR="001A22DE" w:rsidRPr="00F22A05" w:rsidRDefault="001A22DE" w:rsidP="00F3759E">
            <w:pPr>
              <w:jc w:val="right"/>
              <w:rPr>
                <w:u w:val="single"/>
              </w:rPr>
            </w:pPr>
          </w:p>
        </w:tc>
        <w:tc>
          <w:tcPr>
            <w:tcW w:w="1080" w:type="dxa"/>
            <w:noWrap/>
          </w:tcPr>
          <w:p w14:paraId="02DD35CD" w14:textId="77777777" w:rsidR="001A22DE" w:rsidRPr="00F22A05" w:rsidRDefault="001A22DE" w:rsidP="00F3759E">
            <w:pPr>
              <w:jc w:val="right"/>
              <w:rPr>
                <w:u w:val="single"/>
              </w:rPr>
            </w:pPr>
            <w:r w:rsidRPr="00F22A05">
              <w:rPr>
                <w:u w:val="single"/>
              </w:rPr>
              <w:t>2,884</w:t>
            </w:r>
          </w:p>
        </w:tc>
      </w:tr>
      <w:tr w:rsidR="00F22A05" w:rsidRPr="00F22A05" w14:paraId="45CD7C27" w14:textId="77777777" w:rsidTr="00581A21">
        <w:trPr>
          <w:trHeight w:val="20"/>
          <w:jc w:val="center"/>
        </w:trPr>
        <w:tc>
          <w:tcPr>
            <w:tcW w:w="8005" w:type="dxa"/>
            <w:gridSpan w:val="7"/>
            <w:noWrap/>
          </w:tcPr>
          <w:p w14:paraId="68314914" w14:textId="61006297" w:rsidR="00B76B04" w:rsidRPr="00F22A05" w:rsidRDefault="001A22DE" w:rsidP="00B8507F">
            <w:pPr>
              <w:ind w:left="360" w:hanging="360"/>
              <w:rPr>
                <w:u w:val="single"/>
              </w:rPr>
            </w:pPr>
            <w:r w:rsidRPr="00F22A05">
              <w:rPr>
                <w:u w:val="single"/>
              </w:rPr>
              <w:t>(</w:t>
            </w:r>
            <w:r w:rsidR="00B76B04" w:rsidRPr="00F22A05">
              <w:rPr>
                <w:u w:val="single"/>
              </w:rPr>
              <w:t>a</w:t>
            </w:r>
            <w:r w:rsidRPr="00F22A05">
              <w:rPr>
                <w:u w:val="single"/>
              </w:rPr>
              <w:t>) (Informative Note) Accounts for evaporation of roughly 2 gal of water per week from mopping, shower/tub/sink surfaces, plant watering, etc.</w:t>
            </w:r>
          </w:p>
        </w:tc>
      </w:tr>
    </w:tbl>
    <w:p w14:paraId="20ABA1CB" w14:textId="77777777" w:rsidR="00D5269C" w:rsidRPr="00FA69E8" w:rsidRDefault="00D5269C" w:rsidP="00671DAC">
      <w:pPr>
        <w:pStyle w:val="sixa"/>
        <w:numPr>
          <w:ilvl w:val="0"/>
          <w:numId w:val="0"/>
        </w:numPr>
        <w:ind w:left="2610"/>
        <w:rPr>
          <w:b/>
        </w:rPr>
      </w:pPr>
    </w:p>
    <w:p w14:paraId="79FED2E9" w14:textId="77777777" w:rsidR="008F1DC1" w:rsidRPr="00FA69E8" w:rsidRDefault="008F1DC1" w:rsidP="008F1DC1">
      <w:pPr>
        <w:tabs>
          <w:tab w:val="left" w:pos="748"/>
        </w:tabs>
        <w:ind w:left="1080"/>
        <w:rPr>
          <w:b/>
        </w:rPr>
      </w:pPr>
    </w:p>
    <w:p w14:paraId="79E2053D" w14:textId="1F3FF511" w:rsidR="005560B0" w:rsidRPr="00F22A05" w:rsidRDefault="00C42695" w:rsidP="005560B0">
      <w:pPr>
        <w:pStyle w:val="five"/>
        <w:numPr>
          <w:ilvl w:val="0"/>
          <w:numId w:val="0"/>
        </w:numPr>
        <w:ind w:left="720"/>
        <w:rPr>
          <w:u w:val="single"/>
        </w:rPr>
      </w:pPr>
      <w:bookmarkStart w:id="62" w:name="_Ref495403049"/>
      <w:r w:rsidRPr="00F22A05">
        <w:rPr>
          <w:b/>
        </w:rPr>
        <w:t>4.2.2.7.2</w:t>
      </w:r>
      <w:r w:rsidR="00072FA6" w:rsidRPr="00F22A05">
        <w:rPr>
          <w:b/>
        </w:rPr>
        <w:t>.</w:t>
      </w:r>
      <w:r w:rsidRPr="00F22A05">
        <w:rPr>
          <w:b/>
        </w:rPr>
        <w:t xml:space="preserve">  </w:t>
      </w:r>
      <w:r w:rsidR="008F1DC1" w:rsidRPr="00F22A05">
        <w:rPr>
          <w:b/>
        </w:rPr>
        <w:t>Energy Rating Rated Homes.</w:t>
      </w:r>
      <w:r w:rsidR="003C228B" w:rsidRPr="00F22A05">
        <w:rPr>
          <w:b/>
          <w:vertAlign w:val="superscript"/>
        </w:rPr>
        <w:t xml:space="preserve"> </w:t>
      </w:r>
      <w:r w:rsidR="00DC54A7" w:rsidRPr="00DC54A7">
        <w:rPr>
          <w:b/>
          <w:color w:val="0070C0"/>
          <w:vertAlign w:val="superscript"/>
        </w:rPr>
        <w:t>(1)</w:t>
      </w:r>
      <w:r w:rsidR="008F1DC1" w:rsidRPr="00F22A05">
        <w:t xml:space="preserve">  The lighting, appliance</w:t>
      </w:r>
      <w:r w:rsidR="003F0D4A" w:rsidRPr="00F22A05">
        <w:t>, hot water heating</w:t>
      </w:r>
      <w:r w:rsidR="008220CA" w:rsidRPr="00F22A05">
        <w:rPr>
          <w:u w:val="single"/>
        </w:rPr>
        <w:t>, ventilation systems</w:t>
      </w:r>
      <w:r w:rsidR="008F1DC1" w:rsidRPr="00F22A05">
        <w:t xml:space="preserve"> and </w:t>
      </w:r>
      <w:r w:rsidR="0041280B" w:rsidRPr="00F22A05">
        <w:t>M</w:t>
      </w:r>
      <w:r w:rsidR="008F1DC1" w:rsidRPr="00F22A05">
        <w:t xml:space="preserve">iscellaneous </w:t>
      </w:r>
      <w:r w:rsidR="0041280B" w:rsidRPr="00F22A05">
        <w:t>Energy</w:t>
      </w:r>
      <w:r w:rsidR="008F1DC1" w:rsidRPr="00F22A05">
        <w:t xml:space="preserve"> </w:t>
      </w:r>
      <w:r w:rsidR="0041280B" w:rsidRPr="00F22A05">
        <w:t>L</w:t>
      </w:r>
      <w:r w:rsidR="008F1DC1" w:rsidRPr="00F22A05">
        <w:t>oads in the Energy Rating Rated Home shall be determined in accordance with Sections</w:t>
      </w:r>
      <w:r w:rsidR="00671DAC" w:rsidRPr="00F22A05">
        <w:t xml:space="preserve"> </w:t>
      </w:r>
      <w:r w:rsidR="005B55B7" w:rsidRPr="00F22A05">
        <w:t>4.2.2.</w:t>
      </w:r>
      <w:r w:rsidR="002204D5" w:rsidRPr="00F22A05">
        <w:t>7.</w:t>
      </w:r>
      <w:r w:rsidR="007A6BA0" w:rsidRPr="00F22A05">
        <w:rPr>
          <w:u w:val="single"/>
        </w:rPr>
        <w:t>2.</w:t>
      </w:r>
      <w:r w:rsidR="002204D5" w:rsidRPr="00F22A05">
        <w:t>1</w:t>
      </w:r>
      <w:r w:rsidR="008F1DC1" w:rsidRPr="00F22A05">
        <w:t xml:space="preserve"> through</w:t>
      </w:r>
      <w:r w:rsidR="00671DAC" w:rsidRPr="00F22A05">
        <w:t xml:space="preserve"> </w:t>
      </w:r>
      <w:r w:rsidR="002204D5" w:rsidRPr="00F22A05">
        <w:rPr>
          <w:strike/>
        </w:rPr>
        <w:t>4.2.2.7.2.1</w:t>
      </w:r>
      <w:r w:rsidR="00815AF1" w:rsidRPr="00F22A05">
        <w:rPr>
          <w:strike/>
        </w:rPr>
        <w:t>2</w:t>
      </w:r>
      <w:r w:rsidR="0003343E" w:rsidRPr="00F22A05">
        <w:rPr>
          <w:u w:val="single"/>
        </w:rPr>
        <w:t>4.2.2.7.2.</w:t>
      </w:r>
      <w:r w:rsidR="0003343E" w:rsidRPr="00767F23">
        <w:rPr>
          <w:strike/>
          <w:color w:val="FF0000"/>
          <w:u w:val="single"/>
        </w:rPr>
        <w:t>14</w:t>
      </w:r>
      <w:r w:rsidR="00767F23" w:rsidRPr="00767F23">
        <w:rPr>
          <w:color w:val="FF0000"/>
          <w:u w:val="single"/>
        </w:rPr>
        <w:t>1</w:t>
      </w:r>
      <w:r w:rsidR="00C535A4" w:rsidRPr="00767F23">
        <w:rPr>
          <w:color w:val="FF0000"/>
          <w:u w:val="single"/>
        </w:rPr>
        <w:t>3</w:t>
      </w:r>
      <w:r w:rsidR="001B4C9C" w:rsidRPr="00F22A05">
        <w:t>.</w:t>
      </w:r>
      <w:bookmarkEnd w:id="62"/>
      <w:r w:rsidR="003F0D4A" w:rsidRPr="00F22A05">
        <w:t xml:space="preserve"> For a Rated Home without a refrigerator, dishwasher,</w:t>
      </w:r>
      <w:r w:rsidR="00245C09" w:rsidRPr="00F22A05">
        <w:t xml:space="preserve"> range/oven,</w:t>
      </w:r>
      <w:r w:rsidR="003F0D4A" w:rsidRPr="00F22A05">
        <w:t xml:space="preserve"> clothes washer or clothes dryer, the </w:t>
      </w:r>
      <w:r w:rsidR="00245C09" w:rsidRPr="00F22A05">
        <w:t>values from Table 4.2.2.</w:t>
      </w:r>
      <w:r w:rsidR="00245C09" w:rsidRPr="00F22A05">
        <w:rPr>
          <w:strike/>
        </w:rPr>
        <w:t>5</w:t>
      </w:r>
      <w:r w:rsidR="005560B0" w:rsidRPr="00F22A05">
        <w:rPr>
          <w:u w:val="single"/>
        </w:rPr>
        <w:t>7</w:t>
      </w:r>
      <w:r w:rsidR="00245C09" w:rsidRPr="00F22A05">
        <w:t xml:space="preserve">(1) </w:t>
      </w:r>
      <w:r w:rsidR="003F0D4A" w:rsidRPr="00F22A05">
        <w:t>shall be assumed for both the Energy Rating Reference Home and Rated Home.</w:t>
      </w:r>
      <w:r w:rsidR="005560B0" w:rsidRPr="00F22A05">
        <w:rPr>
          <w:u w:val="single"/>
        </w:rPr>
        <w:t xml:space="preserve"> Unless specified, the values of </w:t>
      </w:r>
      <w:proofErr w:type="spellStart"/>
      <w:r w:rsidR="005560B0" w:rsidRPr="00F22A05">
        <w:rPr>
          <w:u w:val="single"/>
        </w:rPr>
        <w:t>f</w:t>
      </w:r>
      <w:r w:rsidR="005560B0" w:rsidRPr="00F22A05">
        <w:rPr>
          <w:u w:val="single"/>
          <w:vertAlign w:val="subscript"/>
        </w:rPr>
        <w:t>internal</w:t>
      </w:r>
      <w:proofErr w:type="spellEnd"/>
      <w:r w:rsidR="005560B0" w:rsidRPr="00F22A05">
        <w:rPr>
          <w:u w:val="single"/>
        </w:rPr>
        <w:t xml:space="preserve"> and </w:t>
      </w:r>
      <w:proofErr w:type="spellStart"/>
      <w:r w:rsidR="005560B0" w:rsidRPr="00F22A05">
        <w:rPr>
          <w:u w:val="single"/>
        </w:rPr>
        <w:t>f</w:t>
      </w:r>
      <w:r w:rsidR="005560B0" w:rsidRPr="00F22A05">
        <w:rPr>
          <w:u w:val="single"/>
          <w:vertAlign w:val="subscript"/>
        </w:rPr>
        <w:t>sensible</w:t>
      </w:r>
      <w:proofErr w:type="spellEnd"/>
      <w:r w:rsidR="005560B0" w:rsidRPr="00F22A05">
        <w:rPr>
          <w:u w:val="single"/>
        </w:rPr>
        <w:t xml:space="preserve"> for end uses in the Rated Home shall be the same as those listed in Tables 4.2.2.7(1) and Tables 4.2.2.7(2) according to the fuel type of the appliance in the Rated Home.</w:t>
      </w:r>
    </w:p>
    <w:p w14:paraId="4AC7466E" w14:textId="4BB259F6" w:rsidR="005560B0" w:rsidRPr="00F22A05" w:rsidRDefault="005560B0" w:rsidP="005560B0">
      <w:pPr>
        <w:pStyle w:val="five"/>
        <w:numPr>
          <w:ilvl w:val="0"/>
          <w:numId w:val="0"/>
        </w:numPr>
        <w:ind w:left="720"/>
      </w:pPr>
      <w:r w:rsidRPr="00F22A05">
        <w:rPr>
          <w:u w:val="single"/>
        </w:rPr>
        <w:t>Internal Gains shall be included in the simulation of the appropriate space</w:t>
      </w:r>
      <w:r w:rsidR="002A5F02" w:rsidRPr="00F22A05">
        <w:rPr>
          <w:u w:val="single"/>
        </w:rPr>
        <w:t xml:space="preserve"> </w:t>
      </w:r>
      <w:r w:rsidR="00C44F5B" w:rsidRPr="00F22A05">
        <w:rPr>
          <w:u w:val="single"/>
        </w:rPr>
        <w:t xml:space="preserve">within the </w:t>
      </w:r>
      <w:r w:rsidRPr="00F22A05">
        <w:rPr>
          <w:u w:val="single"/>
        </w:rPr>
        <w:t xml:space="preserve">Rated Home </w:t>
      </w:r>
      <w:r w:rsidR="00C44F5B" w:rsidRPr="00767F23">
        <w:rPr>
          <w:strike/>
          <w:color w:val="FF0000"/>
          <w:u w:val="single"/>
        </w:rPr>
        <w:t xml:space="preserve">and </w:t>
      </w:r>
      <w:r w:rsidR="00502E0B" w:rsidRPr="00767F23">
        <w:rPr>
          <w:color w:val="FF0000"/>
          <w:u w:val="single"/>
        </w:rPr>
        <w:t xml:space="preserve">where </w:t>
      </w:r>
      <w:r w:rsidR="00C44F5B" w:rsidRPr="00F22A05">
        <w:rPr>
          <w:u w:val="single"/>
        </w:rPr>
        <w:t>a heat balance of the space is explicitly modeled by the software.</w:t>
      </w:r>
    </w:p>
    <w:p w14:paraId="2EA80F03" w14:textId="77777777" w:rsidR="008F1DC1" w:rsidRPr="00F22A05" w:rsidRDefault="008F1DC1" w:rsidP="008F1DC1">
      <w:pPr>
        <w:tabs>
          <w:tab w:val="left" w:pos="748"/>
        </w:tabs>
        <w:ind w:left="1080"/>
        <w:rPr>
          <w:b/>
        </w:rPr>
      </w:pPr>
    </w:p>
    <w:p w14:paraId="266611B3" w14:textId="77777777" w:rsidR="00A97FD3" w:rsidRPr="00F22A05" w:rsidRDefault="00A97FD3" w:rsidP="00E45002">
      <w:pPr>
        <w:pStyle w:val="ListParagraph"/>
        <w:numPr>
          <w:ilvl w:val="4"/>
          <w:numId w:val="15"/>
        </w:numPr>
        <w:tabs>
          <w:tab w:val="num" w:pos="1800"/>
          <w:tab w:val="num" w:pos="1905"/>
        </w:tabs>
        <w:spacing w:after="120"/>
        <w:outlineLvl w:val="2"/>
        <w:rPr>
          <w:b/>
          <w:bCs/>
          <w:vanish/>
          <w:u w:val="single"/>
        </w:rPr>
      </w:pPr>
      <w:bookmarkStart w:id="63" w:name="_Ref495403935"/>
      <w:bookmarkEnd w:id="58"/>
    </w:p>
    <w:p w14:paraId="091E0A5D" w14:textId="77777777" w:rsidR="00A97FD3" w:rsidRPr="00F22A05" w:rsidRDefault="00A97FD3" w:rsidP="00E45002">
      <w:pPr>
        <w:pStyle w:val="ListParagraph"/>
        <w:numPr>
          <w:ilvl w:val="4"/>
          <w:numId w:val="15"/>
        </w:numPr>
        <w:tabs>
          <w:tab w:val="num" w:pos="1800"/>
          <w:tab w:val="num" w:pos="1905"/>
        </w:tabs>
        <w:spacing w:after="120"/>
        <w:outlineLvl w:val="2"/>
        <w:rPr>
          <w:b/>
          <w:bCs/>
          <w:vanish/>
          <w:u w:val="single"/>
        </w:rPr>
      </w:pPr>
    </w:p>
    <w:p w14:paraId="4F25B5B1" w14:textId="7F72FDDC" w:rsidR="008F1DC1" w:rsidRPr="00FA69E8" w:rsidRDefault="00C42695" w:rsidP="00B46795">
      <w:pPr>
        <w:pStyle w:val="sixth"/>
        <w:numPr>
          <w:ilvl w:val="0"/>
          <w:numId w:val="0"/>
        </w:numPr>
        <w:tabs>
          <w:tab w:val="num" w:pos="720"/>
          <w:tab w:val="num" w:pos="1800"/>
          <w:tab w:val="num" w:pos="1905"/>
        </w:tabs>
        <w:ind w:left="2610"/>
        <w:rPr>
          <w:b/>
        </w:rPr>
      </w:pPr>
      <w:r w:rsidRPr="00F22A05">
        <w:rPr>
          <w:b/>
        </w:rPr>
        <w:t>4.2.2.7.2.1</w:t>
      </w:r>
      <w:r w:rsidR="00A87B5A" w:rsidRPr="00F22A05">
        <w:rPr>
          <w:b/>
        </w:rPr>
        <w:t>.</w:t>
      </w:r>
      <w:r w:rsidRPr="00F22A05">
        <w:rPr>
          <w:b/>
        </w:rPr>
        <w:t xml:space="preserve">  </w:t>
      </w:r>
      <w:r w:rsidR="008F1DC1" w:rsidRPr="00F22A05">
        <w:rPr>
          <w:b/>
        </w:rPr>
        <w:t xml:space="preserve">Residual MELs.  </w:t>
      </w:r>
      <w:r w:rsidR="008F1DC1" w:rsidRPr="00F22A05">
        <w:t xml:space="preserve">Residual miscellaneous annual electric energy use in the Rated Home shall be the same as in the Energy </w:t>
      </w:r>
      <w:r w:rsidR="008F1DC1" w:rsidRPr="00FA69E8">
        <w:t>Rating Reference Home and shall be calculated as 0.91*CFA.</w:t>
      </w:r>
      <w:bookmarkEnd w:id="63"/>
    </w:p>
    <w:p w14:paraId="4CB61AA6" w14:textId="77777777" w:rsidR="004D298A" w:rsidRPr="00FA69E8" w:rsidRDefault="004D298A" w:rsidP="00B46795">
      <w:pPr>
        <w:pStyle w:val="six"/>
        <w:tabs>
          <w:tab w:val="clear" w:pos="2304"/>
        </w:tabs>
        <w:ind w:left="2610"/>
        <w:rPr>
          <w:b/>
        </w:rPr>
      </w:pPr>
    </w:p>
    <w:p w14:paraId="74B826C2" w14:textId="022A7BDF" w:rsidR="008F1DC1" w:rsidRPr="00FA69E8" w:rsidRDefault="00C42695" w:rsidP="00B46795">
      <w:pPr>
        <w:pStyle w:val="sixa"/>
        <w:numPr>
          <w:ilvl w:val="0"/>
          <w:numId w:val="0"/>
        </w:numPr>
        <w:ind w:left="2610"/>
        <w:rPr>
          <w:b/>
        </w:rPr>
      </w:pPr>
      <w:r w:rsidRPr="00FA69E8">
        <w:rPr>
          <w:b/>
        </w:rPr>
        <w:t>4.2.2.</w:t>
      </w:r>
      <w:r w:rsidR="00F9653F" w:rsidRPr="00FA69E8">
        <w:rPr>
          <w:b/>
        </w:rPr>
        <w:t>7</w:t>
      </w:r>
      <w:r w:rsidRPr="00FA69E8">
        <w:rPr>
          <w:b/>
        </w:rPr>
        <w:t>.2.2</w:t>
      </w:r>
      <w:r w:rsidR="00A87B5A" w:rsidRPr="00FA69E8">
        <w:rPr>
          <w:b/>
        </w:rPr>
        <w:t>.</w:t>
      </w:r>
      <w:r w:rsidRPr="00FA69E8">
        <w:rPr>
          <w:b/>
        </w:rPr>
        <w:t xml:space="preserve">  </w:t>
      </w:r>
      <w:r w:rsidR="008F1DC1" w:rsidRPr="00FA69E8">
        <w:rPr>
          <w:b/>
        </w:rPr>
        <w:t>Interior Lighting.</w:t>
      </w:r>
      <w:r w:rsidR="008F1DC1" w:rsidRPr="00FA69E8">
        <w:t xml:space="preserve">  Interior lighting annual energy use in the Rated Home shall be determined in accordance with Equation </w:t>
      </w:r>
      <w:r w:rsidR="00885C17" w:rsidRPr="00FA69E8">
        <w:t>4.2-30</w:t>
      </w:r>
      <w:r w:rsidR="008F1DC1" w:rsidRPr="00FA69E8">
        <w:t>:</w:t>
      </w:r>
      <w:r w:rsidR="00A12F37" w:rsidRPr="00A12F37">
        <w:rPr>
          <w:b/>
          <w:color w:val="0070C0"/>
          <w:vertAlign w:val="superscript"/>
        </w:rPr>
        <w:t xml:space="preserve"> </w:t>
      </w:r>
      <w:r w:rsidR="00DC54A7" w:rsidRPr="00DC54A7">
        <w:rPr>
          <w:b/>
          <w:color w:val="0070C0"/>
          <w:vertAlign w:val="superscript"/>
        </w:rPr>
        <w:t>(1)</w:t>
      </w:r>
    </w:p>
    <w:p w14:paraId="57B3D870" w14:textId="77777777" w:rsidR="008F1DC1" w:rsidRPr="00FA69E8" w:rsidRDefault="008F1DC1" w:rsidP="008F1DC1">
      <w:pPr>
        <w:tabs>
          <w:tab w:val="left" w:pos="748"/>
        </w:tabs>
        <w:ind w:left="1080"/>
        <w:rPr>
          <w:b/>
        </w:rPr>
      </w:pPr>
    </w:p>
    <w:p w14:paraId="39085E0C" w14:textId="77777777" w:rsidR="008F6F2C" w:rsidRPr="0094335D" w:rsidRDefault="008F1DC1" w:rsidP="008F6F2C">
      <w:pPr>
        <w:tabs>
          <w:tab w:val="right" w:pos="9360"/>
        </w:tabs>
        <w:ind w:left="2610"/>
        <w:rPr>
          <w:bCs/>
        </w:rPr>
      </w:pPr>
      <w:r w:rsidRPr="0094335D">
        <w:rPr>
          <w:bCs/>
        </w:rPr>
        <w:t>kWh/y = 0.</w:t>
      </w:r>
      <w:r w:rsidR="006C7A63" w:rsidRPr="0094335D">
        <w:rPr>
          <w:bCs/>
        </w:rPr>
        <w:t>9/0.925</w:t>
      </w:r>
      <w:r w:rsidRPr="0094335D">
        <w:rPr>
          <w:bCs/>
        </w:rPr>
        <w:t>*(455 + 0.8*</w:t>
      </w:r>
      <w:proofErr w:type="gramStart"/>
      <w:r w:rsidRPr="0094335D">
        <w:rPr>
          <w:bCs/>
        </w:rPr>
        <w:t>CFA)</w:t>
      </w:r>
      <w:r w:rsidR="006C7A63" w:rsidRPr="0094335D">
        <w:rPr>
          <w:bCs/>
        </w:rPr>
        <w:t>*</w:t>
      </w:r>
      <w:proofErr w:type="gramEnd"/>
      <w:r w:rsidR="006C7A63" w:rsidRPr="0094335D">
        <w:rPr>
          <w:bCs/>
        </w:rPr>
        <w:t>[(1</w:t>
      </w:r>
      <w:r w:rsidR="00B835DC" w:rsidRPr="0094335D">
        <w:rPr>
          <w:bCs/>
        </w:rPr>
        <w:t xml:space="preserve"> </w:t>
      </w:r>
      <w:r w:rsidR="006C7A63" w:rsidRPr="0094335D">
        <w:rPr>
          <w:bCs/>
        </w:rPr>
        <w:t>-</w:t>
      </w:r>
      <w:r w:rsidR="00B835DC" w:rsidRPr="0094335D">
        <w:rPr>
          <w:bCs/>
        </w:rPr>
        <w:t xml:space="preserve"> </w:t>
      </w:r>
      <w:r w:rsidR="006C7A63" w:rsidRPr="0094335D">
        <w:rPr>
          <w:bCs/>
        </w:rPr>
        <w:t>FFII</w:t>
      </w:r>
      <w:r w:rsidR="006C7A63" w:rsidRPr="0094335D">
        <w:rPr>
          <w:bCs/>
          <w:vertAlign w:val="subscript"/>
        </w:rPr>
        <w:t>IL</w:t>
      </w:r>
      <w:r w:rsidR="00B835DC" w:rsidRPr="0094335D">
        <w:rPr>
          <w:bCs/>
          <w:vertAlign w:val="subscript"/>
        </w:rPr>
        <w:t xml:space="preserve"> </w:t>
      </w:r>
      <w:r w:rsidR="006C7A63" w:rsidRPr="0094335D">
        <w:rPr>
          <w:bCs/>
        </w:rPr>
        <w:t>-</w:t>
      </w:r>
      <w:r w:rsidR="00B835DC" w:rsidRPr="0094335D">
        <w:rPr>
          <w:bCs/>
        </w:rPr>
        <w:t xml:space="preserve"> </w:t>
      </w:r>
      <w:r w:rsidR="006C7A63" w:rsidRPr="0094335D">
        <w:rPr>
          <w:bCs/>
        </w:rPr>
        <w:t>FFI</w:t>
      </w:r>
      <w:r w:rsidR="006C7A63" w:rsidRPr="0094335D">
        <w:rPr>
          <w:bCs/>
          <w:vertAlign w:val="subscript"/>
        </w:rPr>
        <w:t>IL</w:t>
      </w:r>
      <w:r w:rsidR="006C7A63" w:rsidRPr="0094335D">
        <w:rPr>
          <w:bCs/>
        </w:rPr>
        <w:t>)</w:t>
      </w:r>
      <w:r w:rsidR="00B835DC" w:rsidRPr="0094335D">
        <w:rPr>
          <w:bCs/>
        </w:rPr>
        <w:t xml:space="preserve"> </w:t>
      </w:r>
      <w:r w:rsidR="006C7A63" w:rsidRPr="0094335D">
        <w:rPr>
          <w:bCs/>
        </w:rPr>
        <w:t>+</w:t>
      </w:r>
      <w:r w:rsidR="00B835DC" w:rsidRPr="0094335D">
        <w:rPr>
          <w:bCs/>
        </w:rPr>
        <w:t xml:space="preserve"> </w:t>
      </w:r>
      <w:r w:rsidR="006C7A63" w:rsidRPr="0094335D">
        <w:rPr>
          <w:bCs/>
        </w:rPr>
        <w:t>FFI</w:t>
      </w:r>
      <w:r w:rsidR="006C7A63" w:rsidRPr="0094335D">
        <w:rPr>
          <w:bCs/>
          <w:vertAlign w:val="subscript"/>
        </w:rPr>
        <w:t>IL</w:t>
      </w:r>
      <w:r w:rsidR="006C7A63" w:rsidRPr="0094335D">
        <w:rPr>
          <w:bCs/>
        </w:rPr>
        <w:t>*15/60</w:t>
      </w:r>
      <w:r w:rsidR="00B835DC" w:rsidRPr="0094335D">
        <w:rPr>
          <w:bCs/>
        </w:rPr>
        <w:t xml:space="preserve"> </w:t>
      </w:r>
      <w:r w:rsidR="006C7A63" w:rsidRPr="0094335D">
        <w:rPr>
          <w:bCs/>
        </w:rPr>
        <w:t>+</w:t>
      </w:r>
      <w:r w:rsidR="00B835DC" w:rsidRPr="0094335D">
        <w:rPr>
          <w:bCs/>
        </w:rPr>
        <w:t xml:space="preserve"> </w:t>
      </w:r>
      <w:r w:rsidR="006C7A63" w:rsidRPr="0094335D">
        <w:rPr>
          <w:bCs/>
        </w:rPr>
        <w:t>FFII</w:t>
      </w:r>
      <w:r w:rsidR="006C7A63" w:rsidRPr="0094335D">
        <w:rPr>
          <w:bCs/>
          <w:vertAlign w:val="subscript"/>
        </w:rPr>
        <w:t>IL</w:t>
      </w:r>
      <w:r w:rsidR="006C7A63" w:rsidRPr="0094335D">
        <w:rPr>
          <w:bCs/>
        </w:rPr>
        <w:t>*15/90]</w:t>
      </w:r>
      <w:r w:rsidR="008F6F2C" w:rsidRPr="0094335D">
        <w:rPr>
          <w:bCs/>
        </w:rPr>
        <w:t xml:space="preserve"> </w:t>
      </w:r>
      <w:r w:rsidRPr="0094335D">
        <w:rPr>
          <w:bCs/>
        </w:rPr>
        <w:t>+ 0.</w:t>
      </w:r>
      <w:r w:rsidR="006C7A63" w:rsidRPr="0094335D">
        <w:rPr>
          <w:bCs/>
        </w:rPr>
        <w:t>1</w:t>
      </w:r>
      <w:r w:rsidRPr="0094335D">
        <w:rPr>
          <w:bCs/>
        </w:rPr>
        <w:t>*(455 + 0.8*CFA)</w:t>
      </w:r>
      <w:r w:rsidRPr="0094335D">
        <w:rPr>
          <w:bCs/>
        </w:rPr>
        <w:tab/>
      </w:r>
    </w:p>
    <w:p w14:paraId="2483CB64" w14:textId="26B7DA85" w:rsidR="008F1DC1" w:rsidRPr="00FA69E8" w:rsidRDefault="008F6F2C" w:rsidP="008F6F2C">
      <w:pPr>
        <w:tabs>
          <w:tab w:val="right" w:pos="9360"/>
        </w:tabs>
        <w:ind w:left="2610"/>
        <w:rPr>
          <w:b/>
        </w:rPr>
      </w:pPr>
      <w:r w:rsidRPr="00FA69E8">
        <w:rPr>
          <w:b/>
        </w:rPr>
        <w:tab/>
      </w:r>
      <w:r w:rsidR="008F1DC1" w:rsidRPr="00FA69E8">
        <w:rPr>
          <w:b/>
        </w:rPr>
        <w:t>(</w:t>
      </w:r>
      <w:r w:rsidR="00A25E21" w:rsidRPr="00FA69E8">
        <w:rPr>
          <w:b/>
        </w:rPr>
        <w:t>Equation</w:t>
      </w:r>
      <w:r w:rsidR="008F1DC1" w:rsidRPr="00FA69E8">
        <w:rPr>
          <w:b/>
        </w:rPr>
        <w:t xml:space="preserve"> 4.2-</w:t>
      </w:r>
      <w:r w:rsidR="00FB0C85" w:rsidRPr="00FA69E8">
        <w:rPr>
          <w:b/>
        </w:rPr>
        <w:t>30</w:t>
      </w:r>
      <w:r w:rsidR="008F1DC1" w:rsidRPr="00FA69E8">
        <w:rPr>
          <w:b/>
        </w:rPr>
        <w:t>)</w:t>
      </w:r>
      <w:r w:rsidR="00A12F37" w:rsidRPr="00A12F37">
        <w:rPr>
          <w:b/>
          <w:color w:val="0070C0"/>
          <w:vertAlign w:val="superscript"/>
        </w:rPr>
        <w:t xml:space="preserve"> </w:t>
      </w:r>
      <w:r w:rsidR="00DC54A7" w:rsidRPr="00DC54A7">
        <w:rPr>
          <w:b/>
          <w:color w:val="0070C0"/>
          <w:vertAlign w:val="superscript"/>
        </w:rPr>
        <w:t>(1)</w:t>
      </w:r>
    </w:p>
    <w:p w14:paraId="6F1E8295" w14:textId="77777777" w:rsidR="008F1DC1" w:rsidRPr="00FA69E8" w:rsidRDefault="008F1DC1" w:rsidP="008F6F2C">
      <w:pPr>
        <w:pStyle w:val="where1"/>
        <w:ind w:left="3240"/>
      </w:pPr>
      <w:r w:rsidRPr="00FA69E8">
        <w:t>where:</w:t>
      </w:r>
    </w:p>
    <w:p w14:paraId="0084845F" w14:textId="02E1F647" w:rsidR="008F1DC1" w:rsidRPr="00FA69E8" w:rsidRDefault="00AE65CA" w:rsidP="008F6F2C">
      <w:pPr>
        <w:pStyle w:val="equals"/>
        <w:tabs>
          <w:tab w:val="clear" w:pos="3060"/>
          <w:tab w:val="left" w:pos="4500"/>
        </w:tabs>
        <w:ind w:left="4680" w:hanging="1404"/>
      </w:pPr>
      <w:r w:rsidRPr="00FA69E8">
        <w:t>CFA</w:t>
      </w:r>
      <w:r w:rsidRPr="00FA69E8">
        <w:tab/>
      </w:r>
      <w:r w:rsidR="008F1DC1" w:rsidRPr="00FA69E8">
        <w:t>= Conditioned Floor Area</w:t>
      </w:r>
    </w:p>
    <w:p w14:paraId="76D6D5E6" w14:textId="7AF84E6D" w:rsidR="008F1DC1" w:rsidRPr="00FA69E8" w:rsidRDefault="008F1DC1" w:rsidP="008F6F2C">
      <w:pPr>
        <w:pStyle w:val="equals"/>
        <w:tabs>
          <w:tab w:val="clear" w:pos="3060"/>
          <w:tab w:val="left" w:pos="4500"/>
        </w:tabs>
        <w:ind w:left="4680" w:hanging="1404"/>
      </w:pPr>
      <w:r w:rsidRPr="00FA69E8">
        <w:t>FF</w:t>
      </w:r>
      <w:r w:rsidR="006C7A63" w:rsidRPr="00FA69E8">
        <w:t>I</w:t>
      </w:r>
      <w:r w:rsidR="00AE65CA" w:rsidRPr="00FA69E8">
        <w:rPr>
          <w:vertAlign w:val="subscript"/>
        </w:rPr>
        <w:t>IL</w:t>
      </w:r>
      <w:r w:rsidR="00AE65CA" w:rsidRPr="00FA69E8">
        <w:rPr>
          <w:vertAlign w:val="subscript"/>
        </w:rPr>
        <w:tab/>
      </w:r>
      <w:r w:rsidRPr="00FA69E8">
        <w:t xml:space="preserve">= The ratio of the interior </w:t>
      </w:r>
      <w:r w:rsidR="006C7A63" w:rsidRPr="00FA69E8">
        <w:t xml:space="preserve">Tier I </w:t>
      </w:r>
      <w:proofErr w:type="gramStart"/>
      <w:r w:rsidRPr="00FA69E8">
        <w:t>Qualifying</w:t>
      </w:r>
      <w:proofErr w:type="gramEnd"/>
      <w:r w:rsidRPr="00FA69E8">
        <w:t xml:space="preserve"> Light Fixtures to all interior light fixtures in Qualifying Light Fixture Locations.</w:t>
      </w:r>
    </w:p>
    <w:p w14:paraId="2AD8CAE6" w14:textId="0F52F7BC" w:rsidR="006C7A63" w:rsidRPr="00F22A05" w:rsidRDefault="006C7A63" w:rsidP="008F6F2C">
      <w:pPr>
        <w:pStyle w:val="equals"/>
        <w:tabs>
          <w:tab w:val="clear" w:pos="3060"/>
          <w:tab w:val="left" w:pos="4500"/>
        </w:tabs>
        <w:ind w:left="4680" w:hanging="1404"/>
      </w:pPr>
      <w:r w:rsidRPr="00FA69E8">
        <w:t>FFII</w:t>
      </w:r>
      <w:r w:rsidR="00AE65CA" w:rsidRPr="00FA69E8">
        <w:rPr>
          <w:vertAlign w:val="subscript"/>
        </w:rPr>
        <w:t>IL</w:t>
      </w:r>
      <w:r w:rsidR="00AE65CA" w:rsidRPr="00FA69E8">
        <w:rPr>
          <w:vertAlign w:val="subscript"/>
        </w:rPr>
        <w:tab/>
      </w:r>
      <w:r w:rsidRPr="00FA69E8">
        <w:t xml:space="preserve">= The ratio of the interior Tier </w:t>
      </w:r>
      <w:r w:rsidR="00454D50" w:rsidRPr="00FA69E8">
        <w:t>I</w:t>
      </w:r>
      <w:r w:rsidRPr="00FA69E8">
        <w:t xml:space="preserve">I Qualifying Light Fixtures to all interior light fixtures in </w:t>
      </w:r>
      <w:r w:rsidRPr="00F22A05">
        <w:t>Qualifying Light Fixture Locations.</w:t>
      </w:r>
    </w:p>
    <w:p w14:paraId="59EC9F9D" w14:textId="77777777" w:rsidR="006C7A63" w:rsidRPr="00F22A05" w:rsidRDefault="006C7A63" w:rsidP="008F1DC1">
      <w:pPr>
        <w:ind w:left="2340" w:hanging="900"/>
      </w:pPr>
    </w:p>
    <w:p w14:paraId="65B41D81" w14:textId="2D14B086" w:rsidR="008F1DC1" w:rsidRPr="00F22A05" w:rsidRDefault="008F1DC1" w:rsidP="00051F7E">
      <w:pPr>
        <w:pStyle w:val="sixaa"/>
        <w:rPr>
          <w:strike/>
        </w:rPr>
      </w:pPr>
      <w:proofErr w:type="gramStart"/>
      <w:r w:rsidRPr="00F22A05">
        <w:rPr>
          <w:strike/>
        </w:rPr>
        <w:t>For the purpose of</w:t>
      </w:r>
      <w:proofErr w:type="gramEnd"/>
      <w:r w:rsidRPr="00F22A05">
        <w:rPr>
          <w:strike/>
        </w:rPr>
        <w:t xml:space="preserve"> adjusting the annual interior lighting energy consumption for calculating the</w:t>
      </w:r>
      <w:r w:rsidR="006243B8" w:rsidRPr="00F22A05">
        <w:rPr>
          <w:strike/>
        </w:rPr>
        <w:t xml:space="preserve"> Rating</w:t>
      </w:r>
      <w:r w:rsidRPr="00F22A05">
        <w:rPr>
          <w:strike/>
        </w:rPr>
        <w:t>,</w:t>
      </w:r>
      <w:r w:rsidR="00A77208" w:rsidRPr="00F22A05">
        <w:rPr>
          <w:strike/>
        </w:rPr>
        <w:t xml:space="preserve"> </w:t>
      </w:r>
      <w:r w:rsidR="00890F30" w:rsidRPr="00F22A05">
        <w:rPr>
          <w:strike/>
        </w:rPr>
        <w:t>EC</w:t>
      </w:r>
      <w:r w:rsidR="00890F30" w:rsidRPr="00F22A05">
        <w:rPr>
          <w:strike/>
          <w:vertAlign w:val="subscript"/>
        </w:rPr>
        <w:t>LA</w:t>
      </w:r>
      <w:r w:rsidR="00890F30" w:rsidRPr="00F22A05">
        <w:rPr>
          <w:strike/>
        </w:rPr>
        <w:t xml:space="preserve"> </w:t>
      </w:r>
      <w:r w:rsidRPr="00F22A05">
        <w:rPr>
          <w:strike/>
        </w:rPr>
        <w:t xml:space="preserve">shall be adjusted by </w:t>
      </w:r>
      <w:r w:rsidRPr="00F22A05">
        <w:rPr>
          <w:rFonts w:ascii="Symbol" w:eastAsia="Symbol" w:hAnsi="Symbol" w:cs="Symbol"/>
          <w:strike/>
        </w:rPr>
        <w:lastRenderedPageBreak/>
        <w:t></w:t>
      </w:r>
      <w:r w:rsidR="00EB0F61" w:rsidRPr="00F22A05">
        <w:rPr>
          <w:strike/>
        </w:rPr>
        <w:t>EC</w:t>
      </w:r>
      <w:r w:rsidR="00EB0F61" w:rsidRPr="00F22A05">
        <w:rPr>
          <w:strike/>
          <w:vertAlign w:val="subscript"/>
        </w:rPr>
        <w:t>IL</w:t>
      </w:r>
      <w:r w:rsidRPr="00F22A05">
        <w:rPr>
          <w:strike/>
        </w:rPr>
        <w:t xml:space="preserve">, which shall be calculated as the annual interior lighting energy use derived by the procedures in this section minus the annual interior lighting energy use derived for the Energy Rating Reference Home in Section </w:t>
      </w:r>
      <w:r w:rsidR="003C7C60" w:rsidRPr="00F22A05">
        <w:rPr>
          <w:strike/>
        </w:rPr>
        <w:t>4.2.2.6.1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 xml:space="preserve">/y = (kWh/y)/293.  </w:t>
      </w:r>
    </w:p>
    <w:p w14:paraId="49DCC50A" w14:textId="0DC4D7A1" w:rsidR="008F1DC1" w:rsidRPr="00F22A05" w:rsidRDefault="008F1DC1" w:rsidP="004D298A">
      <w:pPr>
        <w:pStyle w:val="six"/>
        <w:tabs>
          <w:tab w:val="clear" w:pos="2304"/>
        </w:tabs>
        <w:ind w:left="2520"/>
        <w:rPr>
          <w:strike/>
        </w:rPr>
      </w:pPr>
    </w:p>
    <w:p w14:paraId="357FEF0B" w14:textId="57E10281" w:rsidR="008F1DC1" w:rsidRPr="00F22A05" w:rsidRDefault="008F1DC1" w:rsidP="00051F7E">
      <w:pPr>
        <w:pStyle w:val="sixaa"/>
        <w:rPr>
          <w:strike/>
        </w:rPr>
      </w:pPr>
      <w:r w:rsidRPr="00F22A05">
        <w:rPr>
          <w:strike/>
        </w:rPr>
        <w:t xml:space="preserve">For interior lighting, </w:t>
      </w:r>
      <w:r w:rsidR="00203D40" w:rsidRPr="00F22A05">
        <w:rPr>
          <w:strike/>
        </w:rPr>
        <w:t>I</w:t>
      </w:r>
      <w:r w:rsidRPr="00F22A05">
        <w:rPr>
          <w:strike/>
        </w:rPr>
        <w:t xml:space="preserve">nternal </w:t>
      </w:r>
      <w:r w:rsidR="00203D40" w:rsidRPr="00F22A05">
        <w:rPr>
          <w:strike/>
        </w:rPr>
        <w:t>G</w:t>
      </w:r>
      <w:r w:rsidRPr="00F22A05">
        <w:rPr>
          <w:strike/>
        </w:rPr>
        <w:t xml:space="preserve">ains in the Rated Home shall be modified by </w:t>
      </w:r>
      <w:r w:rsidR="003B2616" w:rsidRPr="00F22A05">
        <w:rPr>
          <w:strike/>
        </w:rPr>
        <w:t>100 percent</w:t>
      </w:r>
      <w:r w:rsidRPr="00F22A05">
        <w:rPr>
          <w:strike/>
        </w:rPr>
        <w:t xml:space="preserve"> of the interior lighting </w:t>
      </w:r>
      <w:r w:rsidRPr="00F22A05">
        <w:rPr>
          <w:rFonts w:ascii="Symbol" w:eastAsia="Symbol" w:hAnsi="Symbol" w:cs="Symbol"/>
          <w:strike/>
        </w:rPr>
        <w:t></w:t>
      </w:r>
      <w:r w:rsidR="00EB0F61" w:rsidRPr="00F22A05">
        <w:rPr>
          <w:strike/>
        </w:rPr>
        <w:t>EC</w:t>
      </w:r>
      <w:r w:rsidR="00EB0F61" w:rsidRPr="00F22A05">
        <w:rPr>
          <w:strike/>
          <w:vertAlign w:val="subscript"/>
        </w:rPr>
        <w:t>IL</w:t>
      </w:r>
      <w:r w:rsidR="00EB0F61" w:rsidRPr="00F22A05">
        <w:rPr>
          <w:strike/>
        </w:rPr>
        <w:t xml:space="preserve"> </w:t>
      </w:r>
      <w:r w:rsidRPr="00F22A05">
        <w:rPr>
          <w:strike/>
        </w:rPr>
        <w:t xml:space="preserve">converted to Btu/day as follows: </w:t>
      </w:r>
      <w:r w:rsidRPr="00F22A05">
        <w:rPr>
          <w:rFonts w:ascii="Symbol" w:eastAsia="Symbol" w:hAnsi="Symbol" w:cs="Symbol"/>
          <w:strike/>
        </w:rPr>
        <w:t></w:t>
      </w:r>
      <w:r w:rsidR="00EB0F61" w:rsidRPr="00F22A05">
        <w:rPr>
          <w:strike/>
        </w:rPr>
        <w:t>EC</w:t>
      </w:r>
      <w:r w:rsidR="00EB0F61" w:rsidRPr="00F22A05">
        <w:rPr>
          <w:strike/>
          <w:vertAlign w:val="subscript"/>
        </w:rPr>
        <w:t>IL</w:t>
      </w:r>
      <w:r w:rsidR="00EB0F61" w:rsidRPr="00F22A05">
        <w:rPr>
          <w:strike/>
        </w:rPr>
        <w:t xml:space="preserve"> </w:t>
      </w:r>
      <w:r w:rsidRPr="00F22A05">
        <w:rPr>
          <w:strike/>
        </w:rPr>
        <w:t>* 10</w:t>
      </w:r>
      <w:r w:rsidRPr="00F22A05">
        <w:rPr>
          <w:strike/>
          <w:vertAlign w:val="superscript"/>
        </w:rPr>
        <w:t>6</w:t>
      </w:r>
      <w:r w:rsidRPr="00F22A05">
        <w:rPr>
          <w:strike/>
        </w:rPr>
        <w:t xml:space="preserve"> / 365.</w:t>
      </w:r>
    </w:p>
    <w:p w14:paraId="08024DBE" w14:textId="2F1B539C" w:rsidR="008F1DC1" w:rsidRPr="00F22A05" w:rsidRDefault="008F1DC1" w:rsidP="008F1DC1">
      <w:pPr>
        <w:ind w:left="1080"/>
        <w:rPr>
          <w:strike/>
        </w:rPr>
      </w:pPr>
    </w:p>
    <w:p w14:paraId="5B6D3635" w14:textId="1970DF4E" w:rsidR="008F1DC1" w:rsidRPr="00F22A05" w:rsidRDefault="00C42695" w:rsidP="00A97FD3">
      <w:pPr>
        <w:pStyle w:val="sixa"/>
        <w:numPr>
          <w:ilvl w:val="0"/>
          <w:numId w:val="0"/>
        </w:numPr>
        <w:ind w:left="2610"/>
        <w:rPr>
          <w:b/>
        </w:rPr>
      </w:pPr>
      <w:bookmarkStart w:id="64" w:name="_Hlk535608830"/>
      <w:r w:rsidRPr="00F22A05">
        <w:rPr>
          <w:b/>
        </w:rPr>
        <w:t>4.2.2.7.2.3</w:t>
      </w:r>
      <w:r w:rsidR="00A87B5A" w:rsidRPr="00F22A05">
        <w:rPr>
          <w:b/>
        </w:rPr>
        <w:t>.</w:t>
      </w:r>
      <w:r w:rsidRPr="00F22A05">
        <w:rPr>
          <w:b/>
        </w:rPr>
        <w:t xml:space="preserve">  </w:t>
      </w:r>
      <w:r w:rsidR="008F1DC1" w:rsidRPr="00F22A05">
        <w:rPr>
          <w:b/>
        </w:rPr>
        <w:t>Exterior Lighting.</w:t>
      </w:r>
      <w:r w:rsidR="008F1DC1" w:rsidRPr="00F22A05">
        <w:t xml:space="preserve">  Exterior lighting annual energy use in the Rated Home shall be determined in accordance with Equation </w:t>
      </w:r>
      <w:r w:rsidR="00885C17" w:rsidRPr="00F22A05">
        <w:t>4.2-31</w:t>
      </w:r>
      <w:r w:rsidR="008F1DC1" w:rsidRPr="00F22A05">
        <w:t>:</w:t>
      </w:r>
      <w:r w:rsidR="00A12F37" w:rsidRPr="00F22A05">
        <w:rPr>
          <w:b/>
          <w:vertAlign w:val="superscript"/>
        </w:rPr>
        <w:t xml:space="preserve"> </w:t>
      </w:r>
      <w:r w:rsidR="00DC54A7" w:rsidRPr="00DC54A7">
        <w:rPr>
          <w:b/>
          <w:color w:val="0070C0"/>
          <w:vertAlign w:val="superscript"/>
        </w:rPr>
        <w:t>(1)</w:t>
      </w:r>
    </w:p>
    <w:p w14:paraId="07C57456" w14:textId="77777777" w:rsidR="008F1DC1" w:rsidRPr="00F22A05" w:rsidRDefault="008F1DC1" w:rsidP="008F1DC1">
      <w:pPr>
        <w:tabs>
          <w:tab w:val="right" w:pos="8820"/>
        </w:tabs>
        <w:ind w:left="2430" w:hanging="990"/>
      </w:pPr>
    </w:p>
    <w:p w14:paraId="1B5EBF19" w14:textId="77777777" w:rsidR="008F6F2C" w:rsidRPr="0094335D" w:rsidRDefault="008F1DC1" w:rsidP="008F6F2C">
      <w:pPr>
        <w:tabs>
          <w:tab w:val="right" w:pos="9360"/>
        </w:tabs>
        <w:ind w:left="2610"/>
        <w:rPr>
          <w:bCs/>
        </w:rPr>
      </w:pPr>
      <w:r w:rsidRPr="0094335D">
        <w:rPr>
          <w:bCs/>
        </w:rPr>
        <w:t>kWh/y = (100 + 0.05*</w:t>
      </w:r>
      <w:proofErr w:type="gramStart"/>
      <w:r w:rsidRPr="0094335D">
        <w:rPr>
          <w:bCs/>
        </w:rPr>
        <w:t>CFA)*</w:t>
      </w:r>
      <w:proofErr w:type="gramEnd"/>
      <w:r w:rsidR="008D3BC6" w:rsidRPr="0094335D">
        <w:rPr>
          <w:bCs/>
        </w:rPr>
        <w:t>[</w:t>
      </w:r>
      <w:r w:rsidRPr="0094335D">
        <w:rPr>
          <w:bCs/>
        </w:rPr>
        <w:t>(1</w:t>
      </w:r>
      <w:r w:rsidR="00F82010" w:rsidRPr="0094335D">
        <w:rPr>
          <w:bCs/>
        </w:rPr>
        <w:t xml:space="preserve"> </w:t>
      </w:r>
      <w:r w:rsidRPr="0094335D">
        <w:rPr>
          <w:bCs/>
        </w:rPr>
        <w:t>-</w:t>
      </w:r>
      <w:r w:rsidR="00F82010" w:rsidRPr="0094335D">
        <w:rPr>
          <w:bCs/>
        </w:rPr>
        <w:t xml:space="preserve"> </w:t>
      </w:r>
      <w:r w:rsidRPr="0094335D">
        <w:rPr>
          <w:bCs/>
        </w:rPr>
        <w:t>FF</w:t>
      </w:r>
      <w:r w:rsidR="00E45C4F" w:rsidRPr="0094335D">
        <w:rPr>
          <w:bCs/>
        </w:rPr>
        <w:t>I</w:t>
      </w:r>
      <w:r w:rsidRPr="0094335D">
        <w:rPr>
          <w:bCs/>
          <w:vertAlign w:val="subscript"/>
        </w:rPr>
        <w:t>EL</w:t>
      </w:r>
      <w:r w:rsidR="00B835DC" w:rsidRPr="0094335D">
        <w:rPr>
          <w:bCs/>
          <w:vertAlign w:val="subscript"/>
        </w:rPr>
        <w:t xml:space="preserve"> </w:t>
      </w:r>
      <w:r w:rsidR="00E45C4F" w:rsidRPr="0094335D">
        <w:rPr>
          <w:bCs/>
        </w:rPr>
        <w:t>-</w:t>
      </w:r>
      <w:r w:rsidR="00B835DC" w:rsidRPr="0094335D">
        <w:rPr>
          <w:bCs/>
        </w:rPr>
        <w:t xml:space="preserve"> </w:t>
      </w:r>
      <w:r w:rsidR="00E45C4F" w:rsidRPr="0094335D">
        <w:rPr>
          <w:bCs/>
        </w:rPr>
        <w:t>FFII</w:t>
      </w:r>
      <w:r w:rsidR="00E45C4F" w:rsidRPr="0094335D">
        <w:rPr>
          <w:bCs/>
          <w:vertAlign w:val="subscript"/>
        </w:rPr>
        <w:t>EL</w:t>
      </w:r>
      <w:r w:rsidR="008F6F2C" w:rsidRPr="0094335D">
        <w:rPr>
          <w:bCs/>
        </w:rPr>
        <w:t xml:space="preserve">) </w:t>
      </w:r>
      <w:r w:rsidR="00E45C4F" w:rsidRPr="0094335D">
        <w:rPr>
          <w:bCs/>
        </w:rPr>
        <w:t>+ 1</w:t>
      </w:r>
      <w:r w:rsidRPr="0094335D">
        <w:rPr>
          <w:bCs/>
        </w:rPr>
        <w:t>5</w:t>
      </w:r>
      <w:r w:rsidR="00E45C4F" w:rsidRPr="0094335D">
        <w:rPr>
          <w:bCs/>
        </w:rPr>
        <w:t>/60</w:t>
      </w:r>
      <w:r w:rsidRPr="0094335D">
        <w:rPr>
          <w:bCs/>
        </w:rPr>
        <w:t>*FF</w:t>
      </w:r>
      <w:r w:rsidR="00E45C4F" w:rsidRPr="0094335D">
        <w:rPr>
          <w:bCs/>
        </w:rPr>
        <w:t>I</w:t>
      </w:r>
      <w:r w:rsidRPr="0094335D">
        <w:rPr>
          <w:bCs/>
          <w:vertAlign w:val="subscript"/>
        </w:rPr>
        <w:t>EL</w:t>
      </w:r>
      <w:r w:rsidR="008F6F2C" w:rsidRPr="0094335D">
        <w:rPr>
          <w:bCs/>
          <w:vertAlign w:val="subscript"/>
        </w:rPr>
        <w:t xml:space="preserve"> </w:t>
      </w:r>
    </w:p>
    <w:p w14:paraId="2C94D452" w14:textId="41E7C0A1" w:rsidR="008F1DC1" w:rsidRPr="00F22A05" w:rsidRDefault="00E45C4F" w:rsidP="008F6F2C">
      <w:pPr>
        <w:tabs>
          <w:tab w:val="right" w:pos="9360"/>
        </w:tabs>
        <w:ind w:left="2610"/>
        <w:rPr>
          <w:b/>
          <w:vertAlign w:val="subscript"/>
        </w:rPr>
      </w:pPr>
      <w:r w:rsidRPr="0094335D">
        <w:rPr>
          <w:bCs/>
        </w:rPr>
        <w:t>+ 15/90*FFII</w:t>
      </w:r>
      <w:r w:rsidRPr="0094335D">
        <w:rPr>
          <w:bCs/>
          <w:vertAlign w:val="subscript"/>
        </w:rPr>
        <w:t>EL</w:t>
      </w:r>
      <w:r w:rsidR="008D3BC6" w:rsidRPr="0094335D">
        <w:rPr>
          <w:bCs/>
        </w:rPr>
        <w:t>]</w:t>
      </w:r>
      <w:r w:rsidR="008F1DC1" w:rsidRPr="00F22A05">
        <w:rPr>
          <w:b/>
        </w:rPr>
        <w:tab/>
        <w:t>(</w:t>
      </w:r>
      <w:r w:rsidR="00A25E21" w:rsidRPr="00F22A05">
        <w:rPr>
          <w:b/>
        </w:rPr>
        <w:t>Equation</w:t>
      </w:r>
      <w:r w:rsidR="008F1DC1" w:rsidRPr="00F22A05">
        <w:rPr>
          <w:b/>
        </w:rPr>
        <w:t xml:space="preserve"> 4.2-</w:t>
      </w:r>
      <w:r w:rsidR="00FB0C85" w:rsidRPr="00F22A05">
        <w:rPr>
          <w:b/>
        </w:rPr>
        <w:t>31</w:t>
      </w:r>
      <w:r w:rsidR="008F1DC1" w:rsidRPr="00F22A05">
        <w:rPr>
          <w:b/>
        </w:rPr>
        <w:t>)</w:t>
      </w:r>
      <w:r w:rsidR="00A12F37" w:rsidRPr="00F22A05">
        <w:rPr>
          <w:b/>
          <w:vertAlign w:val="superscript"/>
        </w:rPr>
        <w:t xml:space="preserve"> </w:t>
      </w:r>
      <w:r w:rsidR="00DC54A7" w:rsidRPr="00DC54A7">
        <w:rPr>
          <w:b/>
          <w:color w:val="0070C0"/>
          <w:vertAlign w:val="superscript"/>
        </w:rPr>
        <w:t>(1)</w:t>
      </w:r>
    </w:p>
    <w:bookmarkEnd w:id="64"/>
    <w:p w14:paraId="64A2077B" w14:textId="32434515" w:rsidR="008F1DC1" w:rsidRPr="00F22A05" w:rsidRDefault="001D0A85" w:rsidP="008F6F2C">
      <w:pPr>
        <w:pStyle w:val="where1"/>
        <w:ind w:left="3240"/>
      </w:pPr>
      <w:r w:rsidRPr="00F22A05">
        <w:t>w</w:t>
      </w:r>
      <w:r w:rsidR="008F1DC1" w:rsidRPr="00F22A05">
        <w:t>here</w:t>
      </w:r>
      <w:r w:rsidR="008F6F2C" w:rsidRPr="00F22A05">
        <w:t>:</w:t>
      </w:r>
    </w:p>
    <w:p w14:paraId="3705F4A4" w14:textId="11BCE626" w:rsidR="008F1DC1" w:rsidRPr="00F22A05" w:rsidRDefault="008F1DC1" w:rsidP="008F6F2C">
      <w:pPr>
        <w:pStyle w:val="equals"/>
        <w:tabs>
          <w:tab w:val="clear" w:pos="3060"/>
          <w:tab w:val="left" w:pos="4500"/>
        </w:tabs>
        <w:ind w:left="4680" w:hanging="1404"/>
      </w:pPr>
      <w:r w:rsidRPr="00F22A05">
        <w:t>CFA</w:t>
      </w:r>
      <w:r w:rsidR="00AE65CA" w:rsidRPr="00F22A05">
        <w:tab/>
      </w:r>
      <w:r w:rsidRPr="00F22A05">
        <w:t>= Conditioned Floor Area</w:t>
      </w:r>
    </w:p>
    <w:p w14:paraId="7A871430" w14:textId="22493430" w:rsidR="008F1DC1" w:rsidRPr="00F22A05" w:rsidRDefault="008F1DC1" w:rsidP="008F6F2C">
      <w:pPr>
        <w:pStyle w:val="equals"/>
        <w:tabs>
          <w:tab w:val="clear" w:pos="3060"/>
          <w:tab w:val="left" w:pos="4500"/>
        </w:tabs>
        <w:ind w:left="4680" w:hanging="1404"/>
      </w:pPr>
      <w:r w:rsidRPr="00F22A05">
        <w:t>FF</w:t>
      </w:r>
      <w:r w:rsidR="005B18A5" w:rsidRPr="00F22A05">
        <w:t>I</w:t>
      </w:r>
      <w:r w:rsidRPr="00F22A05">
        <w:rPr>
          <w:vertAlign w:val="subscript"/>
        </w:rPr>
        <w:t>EL</w:t>
      </w:r>
      <w:r w:rsidR="00AE65CA" w:rsidRPr="00F22A05">
        <w:rPr>
          <w:vertAlign w:val="subscript"/>
        </w:rPr>
        <w:tab/>
      </w:r>
      <w:r w:rsidRPr="00F22A05">
        <w:t xml:space="preserve">= Fraction of exterior fixtures that are </w:t>
      </w:r>
      <w:r w:rsidR="005B18A5" w:rsidRPr="00F22A05">
        <w:t xml:space="preserve">Tier I </w:t>
      </w:r>
      <w:proofErr w:type="gramStart"/>
      <w:r w:rsidRPr="00F22A05">
        <w:t>Qualifying</w:t>
      </w:r>
      <w:proofErr w:type="gramEnd"/>
      <w:r w:rsidRPr="00F22A05">
        <w:t xml:space="preserve"> Light Fixtures</w:t>
      </w:r>
    </w:p>
    <w:p w14:paraId="2B1E62C2" w14:textId="2D2A49D7" w:rsidR="005B18A5" w:rsidRPr="00F22A05" w:rsidRDefault="005B18A5" w:rsidP="008F6F2C">
      <w:pPr>
        <w:pStyle w:val="equals"/>
        <w:tabs>
          <w:tab w:val="clear" w:pos="3060"/>
          <w:tab w:val="left" w:pos="4500"/>
        </w:tabs>
        <w:ind w:left="4680" w:hanging="1404"/>
      </w:pPr>
      <w:r w:rsidRPr="00F22A05">
        <w:t>FFII</w:t>
      </w:r>
      <w:r w:rsidRPr="00F22A05">
        <w:rPr>
          <w:vertAlign w:val="subscript"/>
        </w:rPr>
        <w:t>EL</w:t>
      </w:r>
      <w:r w:rsidR="00AE65CA" w:rsidRPr="00F22A05">
        <w:tab/>
      </w:r>
      <w:r w:rsidRPr="00F22A05">
        <w:t>= Fraction of exterior fixtures that are Tier II Qualifying Light Fixtures</w:t>
      </w:r>
    </w:p>
    <w:p w14:paraId="47BF86EA" w14:textId="77777777" w:rsidR="005A2D0E" w:rsidRPr="00F22A05" w:rsidRDefault="005A2D0E" w:rsidP="00BF0140">
      <w:pPr>
        <w:spacing w:line="228" w:lineRule="auto"/>
        <w:ind w:left="1080"/>
      </w:pPr>
    </w:p>
    <w:p w14:paraId="19A7A211" w14:textId="4D9FF223" w:rsidR="008F1DC1" w:rsidRPr="00F22A05" w:rsidRDefault="008F1DC1" w:rsidP="00B571C7">
      <w:pPr>
        <w:pStyle w:val="sixaa"/>
        <w:rPr>
          <w:strike/>
        </w:rPr>
      </w:pPr>
      <w:r w:rsidRPr="00F22A05">
        <w:rPr>
          <w:strike/>
        </w:rPr>
        <w:t>For the purpose of adjusting the annual exterior lighting energy consumption for calculating the</w:t>
      </w:r>
      <w:r w:rsidR="006243B8" w:rsidRPr="00F22A05">
        <w:rPr>
          <w:strike/>
        </w:rPr>
        <w:t xml:space="preserve"> Rating</w:t>
      </w:r>
      <w:r w:rsidRPr="00F22A05">
        <w:rPr>
          <w:strike/>
        </w:rPr>
        <w:t xml:space="preserve">, </w:t>
      </w:r>
      <w:r w:rsidR="00EB0F61" w:rsidRPr="00F22A05">
        <w:rPr>
          <w:strike/>
        </w:rPr>
        <w:t>EC</w:t>
      </w:r>
      <w:r w:rsidR="00EB0F61" w:rsidRPr="00F22A05">
        <w:rPr>
          <w:strike/>
          <w:vertAlign w:val="subscript"/>
        </w:rPr>
        <w:t>LA</w:t>
      </w:r>
      <w:r w:rsidR="00EB0F61" w:rsidRPr="00F22A05">
        <w:rPr>
          <w:strike/>
        </w:rPr>
        <w:t xml:space="preserve"> </w:t>
      </w:r>
      <w:r w:rsidRPr="00F22A05">
        <w:rPr>
          <w:strike/>
        </w:rPr>
        <w:t xml:space="preserve">shall be adjusted by </w:t>
      </w:r>
      <w:r w:rsidRPr="00F22A05">
        <w:rPr>
          <w:rFonts w:ascii="Symbol" w:eastAsia="Symbol" w:hAnsi="Symbol" w:cs="Symbol"/>
          <w:strike/>
        </w:rPr>
        <w:t></w:t>
      </w:r>
      <w:r w:rsidR="00EB0F61" w:rsidRPr="00F22A05">
        <w:rPr>
          <w:strike/>
        </w:rPr>
        <w:t>EC</w:t>
      </w:r>
      <w:r w:rsidR="00EB0F61" w:rsidRPr="00F22A05">
        <w:rPr>
          <w:strike/>
          <w:vertAlign w:val="subscript"/>
        </w:rPr>
        <w:t>EL</w:t>
      </w:r>
      <w:r w:rsidRPr="00F22A05">
        <w:rPr>
          <w:strike/>
        </w:rPr>
        <w:t xml:space="preserve">, which shall be calculated as the annual exterior lighting energy use derived by the procedures in this section minus the annual exterior lighting energy use derived for the Energy Rating Reference Home in Section </w:t>
      </w:r>
      <w:r w:rsidR="00683EB5" w:rsidRPr="00F22A05">
        <w:rPr>
          <w:strike/>
        </w:rPr>
        <w:t>4.</w:t>
      </w:r>
      <w:r w:rsidR="00CB223F" w:rsidRPr="00F22A05">
        <w:rPr>
          <w:strike/>
        </w:rPr>
        <w:t>2.2.7.1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 xml:space="preserve">/y = (kWh/y)/293.  </w:t>
      </w:r>
    </w:p>
    <w:p w14:paraId="4F011E99" w14:textId="0C191703" w:rsidR="008F1DC1" w:rsidRPr="00F22A05" w:rsidRDefault="008F1DC1" w:rsidP="004D298A">
      <w:pPr>
        <w:pStyle w:val="six"/>
        <w:tabs>
          <w:tab w:val="clear" w:pos="2304"/>
        </w:tabs>
        <w:ind w:left="2520"/>
        <w:rPr>
          <w:strike/>
        </w:rPr>
      </w:pPr>
    </w:p>
    <w:p w14:paraId="78FFA4CD" w14:textId="0B0C325E" w:rsidR="008F1DC1" w:rsidRPr="00F22A05" w:rsidRDefault="008F1DC1" w:rsidP="00B571C7">
      <w:pPr>
        <w:pStyle w:val="sixaa"/>
        <w:rPr>
          <w:strike/>
        </w:rPr>
      </w:pPr>
      <w:r w:rsidRPr="00F22A05">
        <w:rPr>
          <w:strike/>
        </w:rPr>
        <w:t xml:space="preserve">Internal </w:t>
      </w:r>
      <w:r w:rsidR="00077B9E" w:rsidRPr="00F22A05">
        <w:rPr>
          <w:strike/>
        </w:rPr>
        <w:t>G</w:t>
      </w:r>
      <w:r w:rsidRPr="00F22A05">
        <w:rPr>
          <w:strike/>
        </w:rPr>
        <w:t xml:space="preserve">ains in the Rated Home shall not be modified </w:t>
      </w:r>
      <w:proofErr w:type="gramStart"/>
      <w:r w:rsidRPr="00F22A05">
        <w:rPr>
          <w:strike/>
        </w:rPr>
        <w:t>as a result of</w:t>
      </w:r>
      <w:proofErr w:type="gramEnd"/>
      <w:r w:rsidRPr="00F22A05">
        <w:rPr>
          <w:strike/>
        </w:rPr>
        <w:t xml:space="preserve"> reductions in exterior lighting energy use.</w:t>
      </w:r>
    </w:p>
    <w:p w14:paraId="026248C8" w14:textId="78C3D42C" w:rsidR="008F1DC1" w:rsidRPr="00F22A05" w:rsidRDefault="008F1DC1" w:rsidP="008F1DC1">
      <w:pPr>
        <w:ind w:left="1080"/>
        <w:rPr>
          <w:strike/>
        </w:rPr>
      </w:pPr>
    </w:p>
    <w:p w14:paraId="0F8EE153" w14:textId="0D626E4B" w:rsidR="008F1DC1" w:rsidRPr="00F22A05" w:rsidRDefault="00C42695" w:rsidP="00A97FD3">
      <w:pPr>
        <w:pStyle w:val="sixa"/>
        <w:numPr>
          <w:ilvl w:val="0"/>
          <w:numId w:val="0"/>
        </w:numPr>
        <w:ind w:left="2610"/>
        <w:rPr>
          <w:b/>
        </w:rPr>
      </w:pPr>
      <w:r w:rsidRPr="00F22A05">
        <w:rPr>
          <w:b/>
        </w:rPr>
        <w:t>4.2.2.7.2.4</w:t>
      </w:r>
      <w:r w:rsidR="00A87B5A" w:rsidRPr="00F22A05">
        <w:rPr>
          <w:b/>
        </w:rPr>
        <w:t>.</w:t>
      </w:r>
      <w:r w:rsidRPr="00F22A05">
        <w:rPr>
          <w:b/>
        </w:rPr>
        <w:t xml:space="preserve">  </w:t>
      </w:r>
      <w:r w:rsidR="008F1DC1" w:rsidRPr="00F22A05">
        <w:rPr>
          <w:b/>
        </w:rPr>
        <w:t>Garage Lighting.</w:t>
      </w:r>
      <w:r w:rsidR="008F1DC1" w:rsidRPr="00F22A05">
        <w:t xml:space="preserve">   For Rated Homes with garages</w:t>
      </w:r>
      <w:r w:rsidR="00A04BF3" w:rsidRPr="00F22A05">
        <w:t xml:space="preserve"> for the sole use of the occupants of the Rated Home, </w:t>
      </w:r>
      <w:r w:rsidR="008F1DC1" w:rsidRPr="00F22A05">
        <w:t xml:space="preserve">garage annual lighting energy use in the Rated Home shall be determined in accordance with Equation </w:t>
      </w:r>
      <w:r w:rsidR="00885C17" w:rsidRPr="00F22A05">
        <w:t>4.2-32</w:t>
      </w:r>
      <w:r w:rsidR="008F1DC1" w:rsidRPr="00F22A05">
        <w:t>:</w:t>
      </w:r>
      <w:r w:rsidR="00A12F37" w:rsidRPr="00F22A05">
        <w:rPr>
          <w:b/>
          <w:vertAlign w:val="superscript"/>
        </w:rPr>
        <w:t xml:space="preserve"> </w:t>
      </w:r>
      <w:r w:rsidR="00DC54A7" w:rsidRPr="00DC54A7">
        <w:rPr>
          <w:b/>
          <w:color w:val="0070C0"/>
          <w:vertAlign w:val="superscript"/>
        </w:rPr>
        <w:t>(1)</w:t>
      </w:r>
    </w:p>
    <w:p w14:paraId="7766D743" w14:textId="77777777" w:rsidR="008F1DC1" w:rsidRPr="00F22A05" w:rsidRDefault="008F1DC1" w:rsidP="008F1DC1">
      <w:pPr>
        <w:spacing w:line="228" w:lineRule="auto"/>
        <w:ind w:left="1080"/>
      </w:pPr>
    </w:p>
    <w:p w14:paraId="3F5D1954" w14:textId="409A11A3" w:rsidR="008F1DC1" w:rsidRPr="00F22A05" w:rsidRDefault="008F1DC1" w:rsidP="008F6F2C">
      <w:pPr>
        <w:tabs>
          <w:tab w:val="right" w:pos="9360"/>
        </w:tabs>
        <w:ind w:left="2610"/>
        <w:rPr>
          <w:b/>
        </w:rPr>
      </w:pPr>
      <w:r w:rsidRPr="0094335D">
        <w:rPr>
          <w:bCs/>
        </w:rPr>
        <w:t>kWh = 100*</w:t>
      </w:r>
      <w:r w:rsidR="00B80BA9" w:rsidRPr="0094335D">
        <w:rPr>
          <w:bCs/>
        </w:rPr>
        <w:t>[</w:t>
      </w:r>
      <w:r w:rsidRPr="0094335D">
        <w:rPr>
          <w:bCs/>
        </w:rPr>
        <w:t>(1</w:t>
      </w:r>
      <w:r w:rsidR="00B80BA9" w:rsidRPr="0094335D">
        <w:rPr>
          <w:bCs/>
        </w:rPr>
        <w:t xml:space="preserve"> </w:t>
      </w:r>
      <w:r w:rsidRPr="0094335D">
        <w:rPr>
          <w:bCs/>
        </w:rPr>
        <w:t>-</w:t>
      </w:r>
      <w:r w:rsidR="00B80BA9" w:rsidRPr="0094335D">
        <w:rPr>
          <w:bCs/>
        </w:rPr>
        <w:t xml:space="preserve"> </w:t>
      </w:r>
      <w:r w:rsidRPr="0094335D">
        <w:rPr>
          <w:bCs/>
        </w:rPr>
        <w:t>FF</w:t>
      </w:r>
      <w:r w:rsidR="00B80BA9" w:rsidRPr="0094335D">
        <w:rPr>
          <w:bCs/>
        </w:rPr>
        <w:t>I</w:t>
      </w:r>
      <w:r w:rsidRPr="0094335D">
        <w:rPr>
          <w:bCs/>
          <w:vertAlign w:val="subscript"/>
        </w:rPr>
        <w:t>GL</w:t>
      </w:r>
      <w:r w:rsidR="00B80BA9" w:rsidRPr="0094335D">
        <w:rPr>
          <w:bCs/>
          <w:vertAlign w:val="subscript"/>
        </w:rPr>
        <w:t xml:space="preserve"> </w:t>
      </w:r>
      <w:r w:rsidR="00B80BA9" w:rsidRPr="0094335D">
        <w:rPr>
          <w:bCs/>
        </w:rPr>
        <w:t>- FFII</w:t>
      </w:r>
      <w:r w:rsidR="00B80BA9" w:rsidRPr="0094335D">
        <w:rPr>
          <w:bCs/>
          <w:vertAlign w:val="subscript"/>
        </w:rPr>
        <w:t>GL</w:t>
      </w:r>
      <w:r w:rsidRPr="0094335D">
        <w:rPr>
          <w:bCs/>
        </w:rPr>
        <w:t xml:space="preserve">) + </w:t>
      </w:r>
      <w:r w:rsidR="00B80BA9" w:rsidRPr="0094335D">
        <w:rPr>
          <w:bCs/>
        </w:rPr>
        <w:t>15/60</w:t>
      </w:r>
      <w:r w:rsidRPr="0094335D">
        <w:rPr>
          <w:bCs/>
        </w:rPr>
        <w:t>*FF</w:t>
      </w:r>
      <w:r w:rsidR="00B80BA9" w:rsidRPr="0094335D">
        <w:rPr>
          <w:bCs/>
        </w:rPr>
        <w:t>I</w:t>
      </w:r>
      <w:r w:rsidRPr="0094335D">
        <w:rPr>
          <w:bCs/>
          <w:vertAlign w:val="subscript"/>
        </w:rPr>
        <w:t>GL</w:t>
      </w:r>
      <w:r w:rsidR="00B80BA9" w:rsidRPr="0094335D">
        <w:rPr>
          <w:bCs/>
        </w:rPr>
        <w:t xml:space="preserve"> + 15/90*FFII</w:t>
      </w:r>
      <w:r w:rsidR="00B80BA9" w:rsidRPr="0094335D">
        <w:rPr>
          <w:bCs/>
          <w:vertAlign w:val="subscript"/>
        </w:rPr>
        <w:t>GL</w:t>
      </w:r>
      <w:r w:rsidR="00B80BA9" w:rsidRPr="0094335D">
        <w:rPr>
          <w:bCs/>
        </w:rPr>
        <w:t>]</w:t>
      </w:r>
      <w:r w:rsidRPr="00F22A05">
        <w:rPr>
          <w:b/>
        </w:rPr>
        <w:tab/>
        <w:t>(</w:t>
      </w:r>
      <w:r w:rsidR="00A25E21" w:rsidRPr="00F22A05">
        <w:rPr>
          <w:b/>
        </w:rPr>
        <w:t>Equation</w:t>
      </w:r>
      <w:r w:rsidRPr="00F22A05">
        <w:rPr>
          <w:b/>
        </w:rPr>
        <w:t xml:space="preserve"> 4.2-</w:t>
      </w:r>
      <w:r w:rsidR="00FB0C85" w:rsidRPr="00F22A05">
        <w:rPr>
          <w:b/>
        </w:rPr>
        <w:t>32</w:t>
      </w:r>
      <w:r w:rsidRPr="00F22A05">
        <w:rPr>
          <w:b/>
        </w:rPr>
        <w:t>)</w:t>
      </w:r>
      <w:r w:rsidR="00A12F37" w:rsidRPr="00F22A05">
        <w:rPr>
          <w:b/>
          <w:vertAlign w:val="superscript"/>
        </w:rPr>
        <w:t xml:space="preserve"> </w:t>
      </w:r>
      <w:r w:rsidR="00DC54A7" w:rsidRPr="00DC54A7">
        <w:rPr>
          <w:b/>
          <w:color w:val="0070C0"/>
          <w:vertAlign w:val="superscript"/>
        </w:rPr>
        <w:t>(1)</w:t>
      </w:r>
    </w:p>
    <w:p w14:paraId="71A18C3F" w14:textId="77777777" w:rsidR="008F1DC1" w:rsidRPr="00F22A05" w:rsidRDefault="008F1DC1" w:rsidP="008F6F2C">
      <w:pPr>
        <w:pStyle w:val="where1"/>
        <w:ind w:left="3240"/>
      </w:pPr>
      <w:r w:rsidRPr="00F22A05">
        <w:t>where:</w:t>
      </w:r>
    </w:p>
    <w:p w14:paraId="5D8E39D5" w14:textId="7C99CF2D" w:rsidR="008F1DC1" w:rsidRPr="00F22A05" w:rsidRDefault="008F1DC1" w:rsidP="008F6F2C">
      <w:pPr>
        <w:pStyle w:val="equals"/>
        <w:tabs>
          <w:tab w:val="clear" w:pos="3060"/>
          <w:tab w:val="left" w:pos="4500"/>
        </w:tabs>
        <w:ind w:left="4680" w:hanging="1404"/>
      </w:pPr>
      <w:r w:rsidRPr="00F22A05">
        <w:t>FF</w:t>
      </w:r>
      <w:r w:rsidR="005A2876" w:rsidRPr="00F22A05">
        <w:t>I</w:t>
      </w:r>
      <w:r w:rsidRPr="00F22A05">
        <w:rPr>
          <w:vertAlign w:val="subscript"/>
        </w:rPr>
        <w:t>GL</w:t>
      </w:r>
      <w:r w:rsidR="00AE65CA" w:rsidRPr="00F22A05">
        <w:tab/>
      </w:r>
      <w:r w:rsidRPr="00F22A05">
        <w:t xml:space="preserve">= Fraction of garage fixtures that are </w:t>
      </w:r>
      <w:r w:rsidR="005A2876" w:rsidRPr="00F22A05">
        <w:t xml:space="preserve">Tier I </w:t>
      </w:r>
      <w:proofErr w:type="gramStart"/>
      <w:r w:rsidRPr="00F22A05">
        <w:t>Qualifying</w:t>
      </w:r>
      <w:proofErr w:type="gramEnd"/>
      <w:r w:rsidRPr="00F22A05">
        <w:t xml:space="preserve"> Light Fixtures</w:t>
      </w:r>
    </w:p>
    <w:p w14:paraId="344D7E6A" w14:textId="49EAAA21" w:rsidR="005A2876" w:rsidRPr="00F22A05" w:rsidRDefault="005A2876" w:rsidP="008F6F2C">
      <w:pPr>
        <w:pStyle w:val="equals"/>
        <w:tabs>
          <w:tab w:val="clear" w:pos="3060"/>
          <w:tab w:val="left" w:pos="4500"/>
        </w:tabs>
        <w:ind w:left="4680" w:hanging="1404"/>
      </w:pPr>
      <w:r w:rsidRPr="00F22A05">
        <w:t>FFII</w:t>
      </w:r>
      <w:r w:rsidRPr="00F22A05">
        <w:rPr>
          <w:vertAlign w:val="subscript"/>
        </w:rPr>
        <w:t>GL</w:t>
      </w:r>
      <w:r w:rsidR="00AE65CA" w:rsidRPr="00F22A05">
        <w:tab/>
      </w:r>
      <w:r w:rsidRPr="00F22A05">
        <w:t>= Fraction of garage fixtures that are Tier II Qualifying Light Fixtures</w:t>
      </w:r>
    </w:p>
    <w:p w14:paraId="7805EA0C" w14:textId="25F46FA5" w:rsidR="008F1DC1" w:rsidRPr="00F22A05" w:rsidRDefault="00275377" w:rsidP="007353A5">
      <w:pPr>
        <w:pStyle w:val="sixaa"/>
      </w:pPr>
      <w:r w:rsidRPr="00F22A05">
        <w:lastRenderedPageBreak/>
        <w:t>Lighting for shared parking garages or parking lots shall not be included in the Rated Home.</w:t>
      </w:r>
    </w:p>
    <w:p w14:paraId="15F0BB16" w14:textId="1C8DA22A" w:rsidR="008F1DC1" w:rsidRPr="00F22A05" w:rsidRDefault="008F1DC1" w:rsidP="00B571C7">
      <w:pPr>
        <w:pStyle w:val="sixaa"/>
        <w:rPr>
          <w:strike/>
        </w:rPr>
      </w:pPr>
      <w:r w:rsidRPr="00F22A05">
        <w:rPr>
          <w:strike/>
        </w:rPr>
        <w:t>For the purpose of adjusting the annual garage lighting energy consumption for calculating the</w:t>
      </w:r>
      <w:r w:rsidR="006243B8" w:rsidRPr="00F22A05">
        <w:rPr>
          <w:strike/>
        </w:rPr>
        <w:t xml:space="preserve"> Rating</w:t>
      </w:r>
      <w:r w:rsidRPr="00F22A05">
        <w:rPr>
          <w:strike/>
        </w:rPr>
        <w:t>,</w:t>
      </w:r>
      <w:r w:rsidR="00E85E1B" w:rsidRPr="00F22A05">
        <w:rPr>
          <w:strike/>
        </w:rPr>
        <w:t xml:space="preserve"> </w:t>
      </w:r>
      <w:r w:rsidR="00EB0F61" w:rsidRPr="00F22A05">
        <w:rPr>
          <w:strike/>
        </w:rPr>
        <w:t>EC</w:t>
      </w:r>
      <w:r w:rsidR="00EB0F61" w:rsidRPr="00F22A05">
        <w:rPr>
          <w:strike/>
          <w:vertAlign w:val="subscript"/>
        </w:rPr>
        <w:t>LA</w:t>
      </w:r>
      <w:r w:rsidR="00EB0F61" w:rsidRPr="00F22A05">
        <w:rPr>
          <w:strike/>
        </w:rPr>
        <w:t xml:space="preserve"> </w:t>
      </w:r>
      <w:r w:rsidRPr="00F22A05">
        <w:rPr>
          <w:strike/>
        </w:rPr>
        <w:t xml:space="preserve">shall be adjusted by </w:t>
      </w:r>
      <w:r w:rsidRPr="00F22A05">
        <w:rPr>
          <w:rFonts w:ascii="Symbol" w:eastAsia="Symbol" w:hAnsi="Symbol" w:cs="Symbol"/>
          <w:strike/>
        </w:rPr>
        <w:t></w:t>
      </w:r>
      <w:r w:rsidR="00EB0F61" w:rsidRPr="00F22A05">
        <w:rPr>
          <w:strike/>
        </w:rPr>
        <w:t>EC</w:t>
      </w:r>
      <w:r w:rsidR="00EB0F61" w:rsidRPr="00F22A05">
        <w:rPr>
          <w:strike/>
          <w:vertAlign w:val="subscript"/>
        </w:rPr>
        <w:t>GL</w:t>
      </w:r>
      <w:r w:rsidRPr="00F22A05">
        <w:rPr>
          <w:strike/>
        </w:rPr>
        <w:t xml:space="preserve">, which shall be calculated as the annual garage lighting energy use derived by the procedures in this section minus the annual garage lighting energy use derived for the Energy Rating Reference Home in Section </w:t>
      </w:r>
      <w:r w:rsidR="003E5388" w:rsidRPr="00F22A05">
        <w:rPr>
          <w:strike/>
        </w:rPr>
        <w:t>4.2.2.</w:t>
      </w:r>
      <w:r w:rsidR="006D00F5" w:rsidRPr="00F22A05">
        <w:rPr>
          <w:strike/>
        </w:rPr>
        <w:t>7.1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 xml:space="preserve">/y = (kWh/y)/293.  </w:t>
      </w:r>
    </w:p>
    <w:p w14:paraId="4F45E939" w14:textId="2C917BBE" w:rsidR="008F1DC1" w:rsidRPr="00F22A05" w:rsidRDefault="008F1DC1" w:rsidP="00B571C7">
      <w:pPr>
        <w:pStyle w:val="sixaa"/>
        <w:rPr>
          <w:strike/>
        </w:rPr>
      </w:pPr>
    </w:p>
    <w:p w14:paraId="48110C51" w14:textId="481B4F54" w:rsidR="008F1DC1" w:rsidRPr="00F22A05" w:rsidRDefault="008F1DC1" w:rsidP="007B3E8B">
      <w:pPr>
        <w:pStyle w:val="sixaa"/>
        <w:rPr>
          <w:strike/>
        </w:rPr>
      </w:pPr>
      <w:r w:rsidRPr="00F22A05">
        <w:rPr>
          <w:strike/>
        </w:rPr>
        <w:t xml:space="preserve">Internal </w:t>
      </w:r>
      <w:r w:rsidR="00077B9E" w:rsidRPr="00F22A05">
        <w:rPr>
          <w:strike/>
        </w:rPr>
        <w:t>G</w:t>
      </w:r>
      <w:r w:rsidRPr="00F22A05">
        <w:rPr>
          <w:strike/>
        </w:rPr>
        <w:t xml:space="preserve">ains in the Rated Home shall not be modified </w:t>
      </w:r>
      <w:proofErr w:type="gramStart"/>
      <w:r w:rsidRPr="00F22A05">
        <w:rPr>
          <w:strike/>
        </w:rPr>
        <w:t>as a result of</w:t>
      </w:r>
      <w:proofErr w:type="gramEnd"/>
      <w:r w:rsidRPr="00F22A05">
        <w:rPr>
          <w:strike/>
        </w:rPr>
        <w:t xml:space="preserve"> reductions in garage lighting energy use.</w:t>
      </w:r>
    </w:p>
    <w:p w14:paraId="51126CBF" w14:textId="77777777" w:rsidR="008F1DC1" w:rsidRPr="00F22A05" w:rsidRDefault="008F1DC1" w:rsidP="00581A21">
      <w:pPr>
        <w:spacing w:line="228" w:lineRule="auto"/>
      </w:pPr>
    </w:p>
    <w:p w14:paraId="4AE2B5C0" w14:textId="058C0010" w:rsidR="008F1DC1" w:rsidRPr="00F22A05" w:rsidRDefault="00C42695" w:rsidP="00A97FD3">
      <w:pPr>
        <w:pStyle w:val="sixa"/>
        <w:numPr>
          <w:ilvl w:val="0"/>
          <w:numId w:val="0"/>
        </w:numPr>
        <w:ind w:left="2610"/>
        <w:rPr>
          <w:b/>
        </w:rPr>
      </w:pPr>
      <w:bookmarkStart w:id="65" w:name="_Ref495405607"/>
      <w:r w:rsidRPr="00F22A05">
        <w:rPr>
          <w:b/>
        </w:rPr>
        <w:t>4.2.2.7.2.5</w:t>
      </w:r>
      <w:r w:rsidR="00A87B5A" w:rsidRPr="00F22A05">
        <w:rPr>
          <w:b/>
        </w:rPr>
        <w:t>.</w:t>
      </w:r>
      <w:r w:rsidRPr="00F22A05">
        <w:rPr>
          <w:b/>
        </w:rPr>
        <w:t xml:space="preserve">  </w:t>
      </w:r>
      <w:r w:rsidR="008F1DC1" w:rsidRPr="00F22A05">
        <w:rPr>
          <w:b/>
        </w:rPr>
        <w:t>Refrigerators.</w:t>
      </w:r>
      <w:r w:rsidR="008F1DC1" w:rsidRPr="00F22A05">
        <w:t xml:space="preserve">  Refrigerator annual energy use for the Rated Home shall be determined from either refrigerator Energy Guide labels or from age-based defaults in accordance with Table 4.2.2.5.2.5(1).</w:t>
      </w:r>
      <w:bookmarkEnd w:id="65"/>
      <w:r w:rsidR="00A12F37" w:rsidRPr="00F22A05">
        <w:rPr>
          <w:b/>
          <w:vertAlign w:val="superscript"/>
        </w:rPr>
        <w:t xml:space="preserve"> </w:t>
      </w:r>
      <w:r w:rsidR="00D44B37" w:rsidRPr="00DC54A7">
        <w:rPr>
          <w:b/>
          <w:color w:val="0070C0"/>
          <w:vertAlign w:val="superscript"/>
        </w:rPr>
        <w:t>(1)</w:t>
      </w:r>
    </w:p>
    <w:p w14:paraId="766362D5" w14:textId="77777777" w:rsidR="008F1DC1" w:rsidRPr="00F22A05" w:rsidRDefault="008F1DC1" w:rsidP="008F1DC1">
      <w:pPr>
        <w:ind w:left="360"/>
      </w:pPr>
    </w:p>
    <w:p w14:paraId="5DD38EA5" w14:textId="784061BD" w:rsidR="008F1DC1" w:rsidRPr="00F22A05" w:rsidRDefault="008F1DC1" w:rsidP="008F1DC1">
      <w:pPr>
        <w:spacing w:line="228" w:lineRule="auto"/>
        <w:jc w:val="center"/>
        <w:rPr>
          <w:b/>
        </w:rPr>
      </w:pPr>
      <w:bookmarkStart w:id="66" w:name="_Hlk161055084"/>
      <w:r w:rsidRPr="00F22A05">
        <w:rPr>
          <w:b/>
        </w:rPr>
        <w:t>Table 4.2.2.</w:t>
      </w:r>
      <w:r w:rsidRPr="00767F23">
        <w:rPr>
          <w:b/>
          <w:strike/>
          <w:color w:val="FF0000"/>
        </w:rPr>
        <w:t>5</w:t>
      </w:r>
      <w:r w:rsidR="000D629A" w:rsidRPr="00767F23">
        <w:rPr>
          <w:b/>
          <w:color w:val="FF0000"/>
          <w:u w:val="single"/>
        </w:rPr>
        <w:t>7</w:t>
      </w:r>
      <w:r w:rsidRPr="00F22A05">
        <w:rPr>
          <w:b/>
        </w:rPr>
        <w:t xml:space="preserve">.2.5(1) Age-based Refrigerator </w:t>
      </w:r>
      <w:proofErr w:type="gramStart"/>
      <w:r w:rsidRPr="00F22A05">
        <w:rPr>
          <w:b/>
        </w:rPr>
        <w:t>Defaults</w:t>
      </w:r>
      <w:r w:rsidR="00D44B37" w:rsidRPr="00DC54A7">
        <w:rPr>
          <w:b/>
          <w:color w:val="0070C0"/>
          <w:vertAlign w:val="superscript"/>
        </w:rPr>
        <w:t>(</w:t>
      </w:r>
      <w:proofErr w:type="gramEnd"/>
      <w:r w:rsidR="00D44B37" w:rsidRPr="00DC54A7">
        <w:rPr>
          <w:b/>
          <w:color w:val="0070C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51"/>
      </w:tblGrid>
      <w:tr w:rsidR="00F22A05" w:rsidRPr="00F22A05" w14:paraId="108C280C" w14:textId="77777777" w:rsidTr="00BF0140">
        <w:trPr>
          <w:tblHeader/>
          <w:jc w:val="center"/>
        </w:trPr>
        <w:tc>
          <w:tcPr>
            <w:tcW w:w="0" w:type="auto"/>
            <w:vAlign w:val="center"/>
          </w:tcPr>
          <w:p w14:paraId="18144728" w14:textId="77777777" w:rsidR="008F1DC1" w:rsidRPr="00F22A05" w:rsidRDefault="008F1DC1" w:rsidP="00B82EFA">
            <w:pPr>
              <w:spacing w:line="228" w:lineRule="auto"/>
              <w:rPr>
                <w:b/>
              </w:rPr>
            </w:pPr>
            <w:r w:rsidRPr="00F22A05">
              <w:rPr>
                <w:b/>
              </w:rPr>
              <w:t>Refrigerator/Freezer Type</w:t>
            </w:r>
          </w:p>
        </w:tc>
        <w:tc>
          <w:tcPr>
            <w:tcW w:w="0" w:type="auto"/>
            <w:vAlign w:val="center"/>
          </w:tcPr>
          <w:p w14:paraId="5CFA7CA2" w14:textId="77777777" w:rsidR="008F1DC1" w:rsidRPr="00F22A05" w:rsidRDefault="008F1DC1" w:rsidP="00B82EFA">
            <w:pPr>
              <w:spacing w:line="228" w:lineRule="auto"/>
              <w:jc w:val="center"/>
              <w:rPr>
                <w:b/>
              </w:rPr>
            </w:pPr>
            <w:r w:rsidRPr="00F22A05">
              <w:rPr>
                <w:b/>
              </w:rPr>
              <w:t>Annual kWh Equation</w:t>
            </w:r>
          </w:p>
        </w:tc>
      </w:tr>
      <w:tr w:rsidR="00F22A05" w:rsidRPr="00F22A05" w14:paraId="013BF691" w14:textId="77777777" w:rsidTr="00BF0140">
        <w:trPr>
          <w:jc w:val="center"/>
        </w:trPr>
        <w:tc>
          <w:tcPr>
            <w:tcW w:w="0" w:type="auto"/>
            <w:vAlign w:val="center"/>
          </w:tcPr>
          <w:p w14:paraId="6BE91BFD" w14:textId="77777777" w:rsidR="008F1DC1" w:rsidRPr="00F22A05" w:rsidRDefault="008F1DC1" w:rsidP="00B82EFA">
            <w:pPr>
              <w:spacing w:line="228" w:lineRule="auto"/>
            </w:pPr>
            <w:r w:rsidRPr="00F22A05">
              <w:t>Single-door refrigerator only</w:t>
            </w:r>
          </w:p>
        </w:tc>
        <w:tc>
          <w:tcPr>
            <w:tcW w:w="0" w:type="auto"/>
            <w:vAlign w:val="center"/>
          </w:tcPr>
          <w:p w14:paraId="68E3ABA0" w14:textId="77777777" w:rsidR="008F1DC1" w:rsidRPr="00F22A05" w:rsidRDefault="008F1DC1" w:rsidP="00B82EFA">
            <w:pPr>
              <w:spacing w:line="228" w:lineRule="auto"/>
              <w:jc w:val="center"/>
            </w:pPr>
            <w:r w:rsidRPr="00F22A05">
              <w:t xml:space="preserve">(13.5*AV + </w:t>
            </w:r>
            <w:proofErr w:type="gramStart"/>
            <w:r w:rsidRPr="00F22A05">
              <w:t>299)*</w:t>
            </w:r>
            <w:proofErr w:type="gramEnd"/>
            <w:r w:rsidRPr="00F22A05">
              <w:t>VR</w:t>
            </w:r>
          </w:p>
        </w:tc>
      </w:tr>
      <w:tr w:rsidR="00F22A05" w:rsidRPr="00F22A05" w14:paraId="260E07C6" w14:textId="77777777" w:rsidTr="00BF0140">
        <w:trPr>
          <w:jc w:val="center"/>
        </w:trPr>
        <w:tc>
          <w:tcPr>
            <w:tcW w:w="0" w:type="auto"/>
            <w:vAlign w:val="center"/>
          </w:tcPr>
          <w:p w14:paraId="746EB931" w14:textId="77777777" w:rsidR="008F1DC1" w:rsidRPr="00F22A05" w:rsidRDefault="008F1DC1" w:rsidP="00B82EFA">
            <w:pPr>
              <w:spacing w:line="228" w:lineRule="auto"/>
            </w:pPr>
            <w:r w:rsidRPr="00F22A05">
              <w:t>Single-door refrigerator/freezer</w:t>
            </w:r>
          </w:p>
        </w:tc>
        <w:tc>
          <w:tcPr>
            <w:tcW w:w="0" w:type="auto"/>
            <w:vAlign w:val="center"/>
          </w:tcPr>
          <w:p w14:paraId="56C3868F" w14:textId="77777777" w:rsidR="008F1DC1" w:rsidRPr="00F22A05" w:rsidRDefault="008F1DC1" w:rsidP="00B82EFA">
            <w:pPr>
              <w:spacing w:line="228" w:lineRule="auto"/>
              <w:jc w:val="center"/>
            </w:pPr>
            <w:r w:rsidRPr="00F22A05">
              <w:t xml:space="preserve">(13.5*AV + </w:t>
            </w:r>
            <w:proofErr w:type="gramStart"/>
            <w:r w:rsidRPr="00F22A05">
              <w:t>299)*</w:t>
            </w:r>
            <w:proofErr w:type="gramEnd"/>
            <w:r w:rsidRPr="00F22A05">
              <w:t>VR</w:t>
            </w:r>
          </w:p>
        </w:tc>
      </w:tr>
      <w:tr w:rsidR="00F22A05" w:rsidRPr="00F22A05" w14:paraId="21820937" w14:textId="77777777" w:rsidTr="00BF0140">
        <w:trPr>
          <w:jc w:val="center"/>
        </w:trPr>
        <w:tc>
          <w:tcPr>
            <w:tcW w:w="0" w:type="auto"/>
            <w:vAlign w:val="center"/>
          </w:tcPr>
          <w:p w14:paraId="034CF905" w14:textId="77777777" w:rsidR="008F1DC1" w:rsidRPr="00F22A05" w:rsidRDefault="008F1DC1" w:rsidP="00B82EFA">
            <w:pPr>
              <w:spacing w:line="228" w:lineRule="auto"/>
            </w:pPr>
            <w:r w:rsidRPr="00F22A05">
              <w:t>Refrigerator with top freezer</w:t>
            </w:r>
          </w:p>
        </w:tc>
        <w:tc>
          <w:tcPr>
            <w:tcW w:w="0" w:type="auto"/>
            <w:vAlign w:val="center"/>
          </w:tcPr>
          <w:p w14:paraId="3AF9F03C" w14:textId="77777777" w:rsidR="008F1DC1" w:rsidRPr="00F22A05" w:rsidRDefault="008F1DC1" w:rsidP="00B82EFA">
            <w:pPr>
              <w:spacing w:line="228" w:lineRule="auto"/>
              <w:jc w:val="center"/>
            </w:pPr>
            <w:r w:rsidRPr="00F22A05">
              <w:t xml:space="preserve">(16.0*AV + </w:t>
            </w:r>
            <w:proofErr w:type="gramStart"/>
            <w:r w:rsidRPr="00F22A05">
              <w:t>355)*</w:t>
            </w:r>
            <w:proofErr w:type="gramEnd"/>
            <w:r w:rsidRPr="00F22A05">
              <w:t>VR</w:t>
            </w:r>
          </w:p>
        </w:tc>
      </w:tr>
      <w:tr w:rsidR="00F22A05" w:rsidRPr="00F22A05" w14:paraId="06BB4A7B" w14:textId="77777777" w:rsidTr="00BF0140">
        <w:trPr>
          <w:jc w:val="center"/>
        </w:trPr>
        <w:tc>
          <w:tcPr>
            <w:tcW w:w="0" w:type="auto"/>
            <w:vAlign w:val="center"/>
          </w:tcPr>
          <w:p w14:paraId="14A83E2D" w14:textId="77777777" w:rsidR="008F1DC1" w:rsidRPr="00F22A05" w:rsidRDefault="008F1DC1" w:rsidP="00B82EFA">
            <w:pPr>
              <w:spacing w:line="228" w:lineRule="auto"/>
            </w:pPr>
            <w:r w:rsidRPr="00F22A05">
              <w:t xml:space="preserve">    with TDI</w:t>
            </w:r>
          </w:p>
        </w:tc>
        <w:tc>
          <w:tcPr>
            <w:tcW w:w="0" w:type="auto"/>
            <w:vAlign w:val="center"/>
          </w:tcPr>
          <w:p w14:paraId="15660ADC" w14:textId="77777777" w:rsidR="008F1DC1" w:rsidRPr="00F22A05" w:rsidRDefault="008F1DC1" w:rsidP="00B82EFA">
            <w:pPr>
              <w:spacing w:line="228" w:lineRule="auto"/>
              <w:jc w:val="center"/>
            </w:pPr>
            <w:r w:rsidRPr="00F22A05">
              <w:t xml:space="preserve">(17.6*AV + </w:t>
            </w:r>
            <w:proofErr w:type="gramStart"/>
            <w:r w:rsidRPr="00F22A05">
              <w:t>391)*</w:t>
            </w:r>
            <w:proofErr w:type="gramEnd"/>
            <w:r w:rsidRPr="00F22A05">
              <w:t>VR</w:t>
            </w:r>
          </w:p>
        </w:tc>
      </w:tr>
      <w:tr w:rsidR="00F22A05" w:rsidRPr="00F22A05" w14:paraId="5EBF36AF" w14:textId="77777777" w:rsidTr="00BF0140">
        <w:trPr>
          <w:jc w:val="center"/>
        </w:trPr>
        <w:tc>
          <w:tcPr>
            <w:tcW w:w="0" w:type="auto"/>
            <w:vAlign w:val="center"/>
          </w:tcPr>
          <w:p w14:paraId="5A24F8C5" w14:textId="77777777" w:rsidR="008F1DC1" w:rsidRPr="00F22A05" w:rsidRDefault="008F1DC1" w:rsidP="00B82EFA">
            <w:pPr>
              <w:spacing w:line="228" w:lineRule="auto"/>
            </w:pPr>
            <w:r w:rsidRPr="00F22A05">
              <w:t>Refrigerator with side-by-side freezer</w:t>
            </w:r>
          </w:p>
        </w:tc>
        <w:tc>
          <w:tcPr>
            <w:tcW w:w="0" w:type="auto"/>
            <w:vAlign w:val="center"/>
          </w:tcPr>
          <w:p w14:paraId="57687E39" w14:textId="77777777" w:rsidR="008F1DC1" w:rsidRPr="00F22A05" w:rsidRDefault="008F1DC1" w:rsidP="00B82EFA">
            <w:pPr>
              <w:spacing w:line="228" w:lineRule="auto"/>
              <w:jc w:val="center"/>
            </w:pPr>
            <w:r w:rsidRPr="00F22A05">
              <w:t xml:space="preserve">(11.8*AV + </w:t>
            </w:r>
            <w:proofErr w:type="gramStart"/>
            <w:r w:rsidRPr="00F22A05">
              <w:t>501)*</w:t>
            </w:r>
            <w:proofErr w:type="gramEnd"/>
            <w:r w:rsidRPr="00F22A05">
              <w:t>VR</w:t>
            </w:r>
          </w:p>
        </w:tc>
      </w:tr>
      <w:tr w:rsidR="00F22A05" w:rsidRPr="00F22A05" w14:paraId="40D5312F" w14:textId="77777777" w:rsidTr="00BF0140">
        <w:trPr>
          <w:jc w:val="center"/>
        </w:trPr>
        <w:tc>
          <w:tcPr>
            <w:tcW w:w="0" w:type="auto"/>
            <w:vAlign w:val="center"/>
          </w:tcPr>
          <w:p w14:paraId="68A1B994" w14:textId="77777777" w:rsidR="008F1DC1" w:rsidRPr="00F22A05" w:rsidRDefault="008F1DC1" w:rsidP="00B82EFA">
            <w:pPr>
              <w:spacing w:line="228" w:lineRule="auto"/>
            </w:pPr>
            <w:r w:rsidRPr="00F22A05">
              <w:t xml:space="preserve">    with TDI</w:t>
            </w:r>
          </w:p>
        </w:tc>
        <w:tc>
          <w:tcPr>
            <w:tcW w:w="0" w:type="auto"/>
            <w:vAlign w:val="center"/>
          </w:tcPr>
          <w:p w14:paraId="1F595316" w14:textId="77777777" w:rsidR="008F1DC1" w:rsidRPr="00F22A05" w:rsidRDefault="008F1DC1" w:rsidP="00B82EFA">
            <w:pPr>
              <w:spacing w:line="228" w:lineRule="auto"/>
              <w:jc w:val="center"/>
            </w:pPr>
            <w:r w:rsidRPr="00F22A05">
              <w:t xml:space="preserve">(16.3*AV + </w:t>
            </w:r>
            <w:proofErr w:type="gramStart"/>
            <w:r w:rsidRPr="00F22A05">
              <w:t>527)*</w:t>
            </w:r>
            <w:proofErr w:type="gramEnd"/>
            <w:r w:rsidRPr="00F22A05">
              <w:t>VR</w:t>
            </w:r>
          </w:p>
        </w:tc>
      </w:tr>
      <w:tr w:rsidR="00F22A05" w:rsidRPr="00F22A05" w14:paraId="4CED88F0" w14:textId="77777777" w:rsidTr="00BF0140">
        <w:trPr>
          <w:jc w:val="center"/>
        </w:trPr>
        <w:tc>
          <w:tcPr>
            <w:tcW w:w="0" w:type="auto"/>
            <w:tcBorders>
              <w:bottom w:val="single" w:sz="4" w:space="0" w:color="auto"/>
            </w:tcBorders>
            <w:vAlign w:val="center"/>
          </w:tcPr>
          <w:p w14:paraId="4DCCA8C5" w14:textId="77777777" w:rsidR="008F1DC1" w:rsidRPr="00F22A05" w:rsidRDefault="008F1DC1" w:rsidP="00B82EFA">
            <w:pPr>
              <w:spacing w:line="228" w:lineRule="auto"/>
            </w:pPr>
            <w:r w:rsidRPr="00F22A05">
              <w:t>Refrigerator with bottom freezer</w:t>
            </w:r>
          </w:p>
        </w:tc>
        <w:tc>
          <w:tcPr>
            <w:tcW w:w="0" w:type="auto"/>
            <w:tcBorders>
              <w:bottom w:val="single" w:sz="4" w:space="0" w:color="auto"/>
            </w:tcBorders>
            <w:vAlign w:val="center"/>
          </w:tcPr>
          <w:p w14:paraId="3F737F75" w14:textId="77777777" w:rsidR="008F1DC1" w:rsidRPr="00F22A05" w:rsidRDefault="008F1DC1" w:rsidP="00B82EFA">
            <w:pPr>
              <w:spacing w:line="228" w:lineRule="auto"/>
              <w:jc w:val="center"/>
            </w:pPr>
            <w:r w:rsidRPr="00F22A05">
              <w:t xml:space="preserve">(16.6*AV + </w:t>
            </w:r>
            <w:proofErr w:type="gramStart"/>
            <w:r w:rsidRPr="00F22A05">
              <w:t>367)*</w:t>
            </w:r>
            <w:proofErr w:type="gramEnd"/>
            <w:r w:rsidRPr="00F22A05">
              <w:t>VR</w:t>
            </w:r>
          </w:p>
        </w:tc>
      </w:tr>
      <w:tr w:rsidR="00F22A05" w:rsidRPr="00F22A05" w14:paraId="0CD4A00E" w14:textId="77777777" w:rsidTr="00BF0140">
        <w:trPr>
          <w:jc w:val="center"/>
        </w:trPr>
        <w:tc>
          <w:tcPr>
            <w:tcW w:w="0" w:type="auto"/>
            <w:vAlign w:val="center"/>
          </w:tcPr>
          <w:p w14:paraId="4FAB4C6F" w14:textId="77777777" w:rsidR="008F1DC1" w:rsidRPr="00F22A05" w:rsidRDefault="008F1DC1" w:rsidP="00B82EFA">
            <w:pPr>
              <w:spacing w:line="228" w:lineRule="auto"/>
            </w:pPr>
            <w:r w:rsidRPr="00F22A05">
              <w:t>Upright freezer only manual defrost</w:t>
            </w:r>
          </w:p>
        </w:tc>
        <w:tc>
          <w:tcPr>
            <w:tcW w:w="0" w:type="auto"/>
            <w:vAlign w:val="center"/>
          </w:tcPr>
          <w:p w14:paraId="79A011B7" w14:textId="77777777" w:rsidR="008F1DC1" w:rsidRPr="00F22A05" w:rsidRDefault="008F1DC1" w:rsidP="00B82EFA">
            <w:pPr>
              <w:spacing w:line="228" w:lineRule="auto"/>
              <w:jc w:val="center"/>
            </w:pPr>
            <w:r w:rsidRPr="00F22A05">
              <w:t xml:space="preserve">(10.3*AV + </w:t>
            </w:r>
            <w:proofErr w:type="gramStart"/>
            <w:r w:rsidRPr="00F22A05">
              <w:t>264)*</w:t>
            </w:r>
            <w:proofErr w:type="gramEnd"/>
            <w:r w:rsidRPr="00F22A05">
              <w:t>VR</w:t>
            </w:r>
          </w:p>
        </w:tc>
      </w:tr>
      <w:tr w:rsidR="00F22A05" w:rsidRPr="00F22A05" w14:paraId="25F89541" w14:textId="77777777" w:rsidTr="00BF0140">
        <w:trPr>
          <w:jc w:val="center"/>
        </w:trPr>
        <w:tc>
          <w:tcPr>
            <w:tcW w:w="0" w:type="auto"/>
            <w:vAlign w:val="center"/>
          </w:tcPr>
          <w:p w14:paraId="540CF541" w14:textId="77777777" w:rsidR="008F1DC1" w:rsidRPr="00F22A05" w:rsidRDefault="008F1DC1" w:rsidP="00B82EFA">
            <w:pPr>
              <w:spacing w:line="228" w:lineRule="auto"/>
            </w:pPr>
            <w:r w:rsidRPr="00F22A05">
              <w:t xml:space="preserve">Upright freezer only auto </w:t>
            </w:r>
            <w:proofErr w:type="gramStart"/>
            <w:r w:rsidRPr="00F22A05">
              <w:t>defrost</w:t>
            </w:r>
            <w:proofErr w:type="gramEnd"/>
          </w:p>
        </w:tc>
        <w:tc>
          <w:tcPr>
            <w:tcW w:w="0" w:type="auto"/>
            <w:vAlign w:val="center"/>
          </w:tcPr>
          <w:p w14:paraId="102992FC" w14:textId="77777777" w:rsidR="008F1DC1" w:rsidRPr="00F22A05" w:rsidRDefault="008F1DC1" w:rsidP="00B82EFA">
            <w:pPr>
              <w:spacing w:line="228" w:lineRule="auto"/>
              <w:jc w:val="center"/>
            </w:pPr>
            <w:r w:rsidRPr="00F22A05">
              <w:t xml:space="preserve">(14.0*AV + </w:t>
            </w:r>
            <w:proofErr w:type="gramStart"/>
            <w:r w:rsidRPr="00F22A05">
              <w:t>391)*</w:t>
            </w:r>
            <w:proofErr w:type="gramEnd"/>
            <w:r w:rsidRPr="00F22A05">
              <w:t>VR</w:t>
            </w:r>
          </w:p>
        </w:tc>
      </w:tr>
      <w:tr w:rsidR="00F22A05" w:rsidRPr="00F22A05" w14:paraId="53430777" w14:textId="77777777" w:rsidTr="00BF0140">
        <w:trPr>
          <w:jc w:val="center"/>
        </w:trPr>
        <w:tc>
          <w:tcPr>
            <w:tcW w:w="0" w:type="auto"/>
            <w:vAlign w:val="center"/>
          </w:tcPr>
          <w:p w14:paraId="4C82B1EF" w14:textId="77777777" w:rsidR="008F1DC1" w:rsidRPr="00F22A05" w:rsidRDefault="008F1DC1" w:rsidP="00B82EFA">
            <w:pPr>
              <w:spacing w:line="228" w:lineRule="auto"/>
            </w:pPr>
            <w:r w:rsidRPr="00F22A05">
              <w:t>Chest freezer only</w:t>
            </w:r>
          </w:p>
        </w:tc>
        <w:tc>
          <w:tcPr>
            <w:tcW w:w="0" w:type="auto"/>
            <w:vAlign w:val="center"/>
          </w:tcPr>
          <w:p w14:paraId="4CF0F710" w14:textId="77777777" w:rsidR="008F1DC1" w:rsidRPr="00F22A05" w:rsidRDefault="008F1DC1" w:rsidP="00B82EFA">
            <w:pPr>
              <w:spacing w:line="228" w:lineRule="auto"/>
              <w:jc w:val="center"/>
            </w:pPr>
            <w:r w:rsidRPr="00F22A05">
              <w:t xml:space="preserve">(11.0*AV + </w:t>
            </w:r>
            <w:proofErr w:type="gramStart"/>
            <w:r w:rsidRPr="00F22A05">
              <w:t>160)*</w:t>
            </w:r>
            <w:proofErr w:type="gramEnd"/>
            <w:r w:rsidRPr="00F22A05">
              <w:t>VR</w:t>
            </w:r>
          </w:p>
        </w:tc>
      </w:tr>
      <w:tr w:rsidR="008F1DC1" w:rsidRPr="00F22A05" w14:paraId="4341569D" w14:textId="77777777" w:rsidTr="00BF0140">
        <w:trPr>
          <w:jc w:val="center"/>
        </w:trPr>
        <w:tc>
          <w:tcPr>
            <w:tcW w:w="0" w:type="auto"/>
            <w:gridSpan w:val="2"/>
            <w:vAlign w:val="center"/>
          </w:tcPr>
          <w:p w14:paraId="4D823439" w14:textId="77777777" w:rsidR="008F1DC1" w:rsidRPr="00F22A05" w:rsidRDefault="008F1DC1" w:rsidP="00B82EFA">
            <w:pPr>
              <w:spacing w:line="228" w:lineRule="auto"/>
            </w:pPr>
            <w:r w:rsidRPr="00F22A05">
              <w:t>where:</w:t>
            </w:r>
          </w:p>
          <w:p w14:paraId="171A604D" w14:textId="77777777" w:rsidR="008F1DC1" w:rsidRPr="00F22A05" w:rsidRDefault="008F1DC1" w:rsidP="00B82EFA">
            <w:pPr>
              <w:spacing w:line="228" w:lineRule="auto"/>
              <w:ind w:left="658" w:hanging="630"/>
            </w:pPr>
            <w:r w:rsidRPr="00F22A05">
              <w:t xml:space="preserve">AV = Adjusted Volume = (refrigerator compartment volume) </w:t>
            </w:r>
            <w:r w:rsidRPr="00F22A05">
              <w:br/>
              <w:t>+ 1.63*(freezer compartment volume)</w:t>
            </w:r>
          </w:p>
          <w:p w14:paraId="69ED2B88" w14:textId="77777777" w:rsidR="008F1DC1" w:rsidRPr="00F22A05" w:rsidRDefault="008F1DC1" w:rsidP="00B82EFA">
            <w:pPr>
              <w:spacing w:line="228" w:lineRule="auto"/>
              <w:ind w:left="658" w:hanging="630"/>
            </w:pPr>
            <w:r w:rsidRPr="00F22A05">
              <w:t>TDI = Through the door ice</w:t>
            </w:r>
          </w:p>
          <w:p w14:paraId="4AABFE23" w14:textId="77777777" w:rsidR="008F1DC1" w:rsidRPr="00F22A05" w:rsidRDefault="008F1DC1" w:rsidP="00B82EFA">
            <w:pPr>
              <w:spacing w:line="228" w:lineRule="auto"/>
              <w:ind w:left="658" w:hanging="630"/>
            </w:pPr>
            <w:r w:rsidRPr="00F22A05">
              <w:t>VR = Vintage Ratio from Table 4.2.2.5.2.5(2)</w:t>
            </w:r>
          </w:p>
        </w:tc>
      </w:tr>
    </w:tbl>
    <w:p w14:paraId="0094FE40" w14:textId="3F98062D" w:rsidR="00AE65CA" w:rsidRPr="00F22A05" w:rsidRDefault="00AE65CA">
      <w:pPr>
        <w:spacing w:after="200" w:line="276" w:lineRule="auto"/>
        <w:rPr>
          <w:b/>
        </w:rPr>
      </w:pPr>
    </w:p>
    <w:p w14:paraId="0FC0C7F6" w14:textId="18CA70BC" w:rsidR="008F1DC1" w:rsidRPr="00F22A05" w:rsidRDefault="008F1DC1" w:rsidP="008F1DC1">
      <w:pPr>
        <w:jc w:val="center"/>
        <w:rPr>
          <w:b/>
        </w:rPr>
      </w:pPr>
      <w:r w:rsidRPr="00F22A05">
        <w:rPr>
          <w:b/>
        </w:rPr>
        <w:t>Table 4.2.2.</w:t>
      </w:r>
      <w:r w:rsidRPr="00767F23">
        <w:rPr>
          <w:b/>
          <w:strike/>
          <w:color w:val="FF0000"/>
        </w:rPr>
        <w:t>5</w:t>
      </w:r>
      <w:r w:rsidR="000D629A" w:rsidRPr="00767F23">
        <w:rPr>
          <w:b/>
          <w:color w:val="FF0000"/>
          <w:u w:val="single"/>
        </w:rPr>
        <w:t>7</w:t>
      </w:r>
      <w:r w:rsidRPr="00F22A05">
        <w:rPr>
          <w:b/>
        </w:rPr>
        <w:t xml:space="preserve">.2.5(2) Age-based Vintage </w:t>
      </w:r>
      <w:proofErr w:type="gramStart"/>
      <w:r w:rsidRPr="00F22A05">
        <w:rPr>
          <w:b/>
        </w:rPr>
        <w:t>Ratios</w:t>
      </w:r>
      <w:r w:rsidR="00D44B37" w:rsidRPr="00DC54A7">
        <w:rPr>
          <w:b/>
          <w:color w:val="0070C0"/>
          <w:vertAlign w:val="superscript"/>
        </w:rPr>
        <w:t>(</w:t>
      </w:r>
      <w:proofErr w:type="gramEnd"/>
      <w:r w:rsidR="00D44B37" w:rsidRPr="00DC54A7">
        <w:rPr>
          <w:b/>
          <w:color w:val="0070C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2"/>
      </w:tblGrid>
      <w:tr w:rsidR="00F22A05" w:rsidRPr="00F22A05" w14:paraId="7A7D1274" w14:textId="77777777" w:rsidTr="00BF0140">
        <w:trPr>
          <w:jc w:val="center"/>
        </w:trPr>
        <w:tc>
          <w:tcPr>
            <w:tcW w:w="0" w:type="auto"/>
          </w:tcPr>
          <w:p w14:paraId="71C3CEE1" w14:textId="77777777" w:rsidR="008F1DC1" w:rsidRPr="00F22A05" w:rsidRDefault="008F1DC1" w:rsidP="00B82EFA">
            <w:pPr>
              <w:rPr>
                <w:b/>
              </w:rPr>
            </w:pPr>
            <w:r w:rsidRPr="00F22A05">
              <w:rPr>
                <w:b/>
              </w:rPr>
              <w:t>Refrigerator Vintage</w:t>
            </w:r>
          </w:p>
        </w:tc>
        <w:tc>
          <w:tcPr>
            <w:tcW w:w="0" w:type="auto"/>
          </w:tcPr>
          <w:p w14:paraId="7FE47583" w14:textId="77777777" w:rsidR="008F1DC1" w:rsidRPr="00F22A05" w:rsidRDefault="008F1DC1" w:rsidP="00B82EFA">
            <w:pPr>
              <w:ind w:left="16"/>
              <w:jc w:val="center"/>
              <w:rPr>
                <w:b/>
              </w:rPr>
            </w:pPr>
            <w:r w:rsidRPr="00F22A05">
              <w:rPr>
                <w:b/>
              </w:rPr>
              <w:t>Vintage Ratio</w:t>
            </w:r>
          </w:p>
        </w:tc>
      </w:tr>
      <w:tr w:rsidR="00F22A05" w:rsidRPr="00F22A05" w14:paraId="4E6B7F1F" w14:textId="77777777" w:rsidTr="00BF0140">
        <w:trPr>
          <w:jc w:val="center"/>
        </w:trPr>
        <w:tc>
          <w:tcPr>
            <w:tcW w:w="0" w:type="auto"/>
          </w:tcPr>
          <w:p w14:paraId="2B39F3B0" w14:textId="77777777" w:rsidR="008F1DC1" w:rsidRPr="00F22A05" w:rsidRDefault="008F1DC1" w:rsidP="00B82EFA">
            <w:r w:rsidRPr="00F22A05">
              <w:t>1980 or before</w:t>
            </w:r>
          </w:p>
        </w:tc>
        <w:tc>
          <w:tcPr>
            <w:tcW w:w="0" w:type="auto"/>
          </w:tcPr>
          <w:p w14:paraId="6946710A" w14:textId="77777777" w:rsidR="008F1DC1" w:rsidRPr="00F22A05" w:rsidRDefault="008F1DC1" w:rsidP="00B82EFA">
            <w:pPr>
              <w:ind w:left="16"/>
              <w:jc w:val="center"/>
            </w:pPr>
            <w:r w:rsidRPr="00F22A05">
              <w:t>2.50</w:t>
            </w:r>
          </w:p>
        </w:tc>
      </w:tr>
      <w:tr w:rsidR="00F22A05" w:rsidRPr="00F22A05" w14:paraId="2522D6AD" w14:textId="77777777" w:rsidTr="00BF0140">
        <w:trPr>
          <w:jc w:val="center"/>
        </w:trPr>
        <w:tc>
          <w:tcPr>
            <w:tcW w:w="0" w:type="auto"/>
          </w:tcPr>
          <w:p w14:paraId="0CF8B716" w14:textId="77777777" w:rsidR="008F1DC1" w:rsidRPr="00F22A05" w:rsidRDefault="008F1DC1" w:rsidP="00B82EFA">
            <w:r w:rsidRPr="00F22A05">
              <w:t>1981-1984</w:t>
            </w:r>
          </w:p>
        </w:tc>
        <w:tc>
          <w:tcPr>
            <w:tcW w:w="0" w:type="auto"/>
          </w:tcPr>
          <w:p w14:paraId="3C946CE8" w14:textId="77777777" w:rsidR="008F1DC1" w:rsidRPr="00F22A05" w:rsidRDefault="008F1DC1" w:rsidP="00B82EFA">
            <w:pPr>
              <w:ind w:left="16"/>
              <w:jc w:val="center"/>
            </w:pPr>
            <w:r w:rsidRPr="00F22A05">
              <w:t>1.82</w:t>
            </w:r>
          </w:p>
        </w:tc>
      </w:tr>
      <w:tr w:rsidR="00F22A05" w:rsidRPr="00F22A05" w14:paraId="6E1A4CE0" w14:textId="77777777" w:rsidTr="00BF0140">
        <w:trPr>
          <w:jc w:val="center"/>
        </w:trPr>
        <w:tc>
          <w:tcPr>
            <w:tcW w:w="0" w:type="auto"/>
          </w:tcPr>
          <w:p w14:paraId="44926EE2" w14:textId="77777777" w:rsidR="008F1DC1" w:rsidRPr="00F22A05" w:rsidRDefault="008F1DC1" w:rsidP="00B82EFA">
            <w:r w:rsidRPr="00F22A05">
              <w:t>1985-1988</w:t>
            </w:r>
          </w:p>
        </w:tc>
        <w:tc>
          <w:tcPr>
            <w:tcW w:w="0" w:type="auto"/>
          </w:tcPr>
          <w:p w14:paraId="40B4AB3E" w14:textId="77777777" w:rsidR="008F1DC1" w:rsidRPr="00F22A05" w:rsidRDefault="008F1DC1" w:rsidP="00B82EFA">
            <w:pPr>
              <w:ind w:left="16"/>
              <w:jc w:val="center"/>
            </w:pPr>
            <w:r w:rsidRPr="00F22A05">
              <w:t>1.64</w:t>
            </w:r>
          </w:p>
        </w:tc>
      </w:tr>
      <w:tr w:rsidR="00F22A05" w:rsidRPr="00F22A05" w14:paraId="05D6DE0B" w14:textId="77777777" w:rsidTr="00BF0140">
        <w:trPr>
          <w:jc w:val="center"/>
        </w:trPr>
        <w:tc>
          <w:tcPr>
            <w:tcW w:w="0" w:type="auto"/>
          </w:tcPr>
          <w:p w14:paraId="02042809" w14:textId="77777777" w:rsidR="008F1DC1" w:rsidRPr="00F22A05" w:rsidRDefault="008F1DC1" w:rsidP="00B82EFA">
            <w:r w:rsidRPr="00F22A05">
              <w:t>1989-1990</w:t>
            </w:r>
          </w:p>
        </w:tc>
        <w:tc>
          <w:tcPr>
            <w:tcW w:w="0" w:type="auto"/>
          </w:tcPr>
          <w:p w14:paraId="7480A214" w14:textId="77777777" w:rsidR="008F1DC1" w:rsidRPr="00F22A05" w:rsidRDefault="008F1DC1" w:rsidP="00B82EFA">
            <w:pPr>
              <w:ind w:left="16"/>
              <w:jc w:val="center"/>
            </w:pPr>
            <w:r w:rsidRPr="00F22A05">
              <w:t>1.39</w:t>
            </w:r>
          </w:p>
        </w:tc>
      </w:tr>
      <w:tr w:rsidR="00F22A05" w:rsidRPr="00F22A05" w14:paraId="2113BDA4" w14:textId="77777777" w:rsidTr="00BF0140">
        <w:trPr>
          <w:jc w:val="center"/>
        </w:trPr>
        <w:tc>
          <w:tcPr>
            <w:tcW w:w="0" w:type="auto"/>
          </w:tcPr>
          <w:p w14:paraId="1F111175" w14:textId="77777777" w:rsidR="008F1DC1" w:rsidRPr="00F22A05" w:rsidRDefault="008F1DC1" w:rsidP="00B82EFA">
            <w:r w:rsidRPr="00F22A05">
              <w:t>1991-1993</w:t>
            </w:r>
          </w:p>
        </w:tc>
        <w:tc>
          <w:tcPr>
            <w:tcW w:w="0" w:type="auto"/>
          </w:tcPr>
          <w:p w14:paraId="6CD77797" w14:textId="77777777" w:rsidR="008F1DC1" w:rsidRPr="00F22A05" w:rsidRDefault="008F1DC1" w:rsidP="00B82EFA">
            <w:pPr>
              <w:ind w:left="16"/>
              <w:jc w:val="center"/>
            </w:pPr>
            <w:r w:rsidRPr="00F22A05">
              <w:t>1.30</w:t>
            </w:r>
          </w:p>
        </w:tc>
      </w:tr>
      <w:tr w:rsidR="00F22A05" w:rsidRPr="00F22A05" w14:paraId="47187776" w14:textId="77777777" w:rsidTr="00BF0140">
        <w:trPr>
          <w:jc w:val="center"/>
        </w:trPr>
        <w:tc>
          <w:tcPr>
            <w:tcW w:w="0" w:type="auto"/>
          </w:tcPr>
          <w:p w14:paraId="0D5EF1B5" w14:textId="77777777" w:rsidR="008F1DC1" w:rsidRPr="00F22A05" w:rsidRDefault="008F1DC1" w:rsidP="00B82EFA">
            <w:r w:rsidRPr="00F22A05">
              <w:t xml:space="preserve">1994-2000 </w:t>
            </w:r>
          </w:p>
        </w:tc>
        <w:tc>
          <w:tcPr>
            <w:tcW w:w="0" w:type="auto"/>
          </w:tcPr>
          <w:p w14:paraId="0E6B57EA" w14:textId="77777777" w:rsidR="008F1DC1" w:rsidRPr="00F22A05" w:rsidRDefault="008F1DC1" w:rsidP="00B82EFA">
            <w:pPr>
              <w:ind w:left="16"/>
              <w:jc w:val="center"/>
            </w:pPr>
            <w:r w:rsidRPr="00F22A05">
              <w:t>1.00</w:t>
            </w:r>
          </w:p>
        </w:tc>
      </w:tr>
      <w:tr w:rsidR="008F1DC1" w:rsidRPr="00F22A05" w14:paraId="66D839E8" w14:textId="77777777" w:rsidTr="00BF0140">
        <w:trPr>
          <w:jc w:val="center"/>
        </w:trPr>
        <w:tc>
          <w:tcPr>
            <w:tcW w:w="0" w:type="auto"/>
          </w:tcPr>
          <w:p w14:paraId="10ABC056" w14:textId="77777777" w:rsidR="008F1DC1" w:rsidRPr="00F22A05" w:rsidRDefault="008F1DC1" w:rsidP="00B82EFA">
            <w:r w:rsidRPr="00F22A05">
              <w:t>2001-Present</w:t>
            </w:r>
          </w:p>
        </w:tc>
        <w:tc>
          <w:tcPr>
            <w:tcW w:w="0" w:type="auto"/>
          </w:tcPr>
          <w:p w14:paraId="27FE6E3F" w14:textId="77777777" w:rsidR="008F1DC1" w:rsidRPr="00F22A05" w:rsidRDefault="008F1DC1" w:rsidP="00B82EFA">
            <w:pPr>
              <w:ind w:left="16"/>
              <w:jc w:val="center"/>
            </w:pPr>
            <w:r w:rsidRPr="00F22A05">
              <w:t>0.77</w:t>
            </w:r>
          </w:p>
        </w:tc>
      </w:tr>
    </w:tbl>
    <w:p w14:paraId="10325D04" w14:textId="77777777" w:rsidR="008F1DC1" w:rsidRPr="00F22A05" w:rsidRDefault="008F1DC1" w:rsidP="008F1DC1">
      <w:pPr>
        <w:ind w:left="1080"/>
      </w:pPr>
    </w:p>
    <w:p w14:paraId="77270CDC" w14:textId="74364FB5" w:rsidR="008F1DC1" w:rsidRPr="00F22A05" w:rsidRDefault="008F1DC1" w:rsidP="00B571C7">
      <w:pPr>
        <w:pStyle w:val="sixaa"/>
      </w:pPr>
      <w:r w:rsidRPr="00F22A05">
        <w:t>Default values for adjusted volume (AV) shall be determined in accordance with Table 4.2.2.5.2.5(3)</w:t>
      </w:r>
      <w:r w:rsidR="00A12F37" w:rsidRPr="00F22A05">
        <w:rPr>
          <w:b/>
          <w:vertAlign w:val="superscript"/>
        </w:rPr>
        <w:t xml:space="preserve"> </w:t>
      </w:r>
      <w:r w:rsidR="00D44B37" w:rsidRPr="00DC54A7">
        <w:rPr>
          <w:b/>
          <w:color w:val="0070C0"/>
          <w:vertAlign w:val="superscript"/>
        </w:rPr>
        <w:t>(1)</w:t>
      </w:r>
    </w:p>
    <w:p w14:paraId="30254CC8" w14:textId="77777777" w:rsidR="008F1DC1" w:rsidRPr="00F22A05" w:rsidRDefault="008F1DC1" w:rsidP="008F1DC1">
      <w:pPr>
        <w:ind w:left="1080"/>
      </w:pPr>
    </w:p>
    <w:p w14:paraId="21FF6E0C" w14:textId="6A295D9E" w:rsidR="008F1DC1" w:rsidRPr="00F22A05" w:rsidRDefault="008F1DC1" w:rsidP="008F1DC1">
      <w:pPr>
        <w:jc w:val="center"/>
        <w:rPr>
          <w:b/>
        </w:rPr>
      </w:pPr>
      <w:r w:rsidRPr="00F22A05">
        <w:rPr>
          <w:b/>
        </w:rPr>
        <w:t>Table 4.2.2.</w:t>
      </w:r>
      <w:r w:rsidRPr="00767F23">
        <w:rPr>
          <w:b/>
          <w:strike/>
          <w:color w:val="FF0000"/>
        </w:rPr>
        <w:t>5</w:t>
      </w:r>
      <w:r w:rsidR="000D629A" w:rsidRPr="00767F23">
        <w:rPr>
          <w:b/>
          <w:color w:val="FF0000"/>
          <w:u w:val="single"/>
        </w:rPr>
        <w:t>7</w:t>
      </w:r>
      <w:r w:rsidRPr="00F22A05">
        <w:rPr>
          <w:b/>
        </w:rPr>
        <w:t xml:space="preserve">.2.5(3) Default Adjusted Volume </w:t>
      </w:r>
      <w:proofErr w:type="gramStart"/>
      <w:r w:rsidRPr="00F22A05">
        <w:rPr>
          <w:b/>
        </w:rPr>
        <w:t>Equations</w:t>
      </w:r>
      <w:r w:rsidR="00D44B37" w:rsidRPr="00DC54A7">
        <w:rPr>
          <w:b/>
          <w:color w:val="0070C0"/>
          <w:vertAlign w:val="superscript"/>
        </w:rPr>
        <w:t>(</w:t>
      </w:r>
      <w:proofErr w:type="gramEnd"/>
      <w:r w:rsidR="00D44B37" w:rsidRPr="00DC54A7">
        <w:rPr>
          <w:b/>
          <w:color w:val="0070C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59"/>
      </w:tblGrid>
      <w:tr w:rsidR="00F22A05" w:rsidRPr="00F22A05" w14:paraId="0160BADE" w14:textId="77777777" w:rsidTr="00BF0140">
        <w:trPr>
          <w:tblHeader/>
          <w:jc w:val="center"/>
        </w:trPr>
        <w:tc>
          <w:tcPr>
            <w:tcW w:w="3360" w:type="dxa"/>
          </w:tcPr>
          <w:p w14:paraId="5F2D9095" w14:textId="77777777" w:rsidR="008F1DC1" w:rsidRPr="00F22A05" w:rsidRDefault="008F1DC1" w:rsidP="00B82EFA">
            <w:pPr>
              <w:ind w:left="40"/>
              <w:rPr>
                <w:rFonts w:eastAsia="MS Mincho"/>
                <w:b/>
              </w:rPr>
            </w:pPr>
            <w:r w:rsidRPr="00F22A05">
              <w:rPr>
                <w:rFonts w:eastAsia="MS Mincho"/>
                <w:b/>
              </w:rPr>
              <w:t>Model Type</w:t>
            </w:r>
          </w:p>
        </w:tc>
        <w:tc>
          <w:tcPr>
            <w:tcW w:w="3359" w:type="dxa"/>
          </w:tcPr>
          <w:p w14:paraId="7210963E" w14:textId="77777777" w:rsidR="008F1DC1" w:rsidRPr="00F22A05" w:rsidRDefault="008F1DC1" w:rsidP="00B82EFA">
            <w:pPr>
              <w:rPr>
                <w:rFonts w:eastAsia="MS Mincho"/>
                <w:b/>
              </w:rPr>
            </w:pPr>
            <w:r w:rsidRPr="00F22A05">
              <w:rPr>
                <w:rFonts w:eastAsia="MS Mincho"/>
                <w:b/>
              </w:rPr>
              <w:t>Default Equation</w:t>
            </w:r>
          </w:p>
        </w:tc>
      </w:tr>
      <w:tr w:rsidR="00F22A05" w:rsidRPr="00F22A05" w14:paraId="1D97610B" w14:textId="77777777" w:rsidTr="00BF0140">
        <w:trPr>
          <w:jc w:val="center"/>
        </w:trPr>
        <w:tc>
          <w:tcPr>
            <w:tcW w:w="3360" w:type="dxa"/>
          </w:tcPr>
          <w:p w14:paraId="76ED9150" w14:textId="77777777" w:rsidR="008F1DC1" w:rsidRPr="00F22A05" w:rsidRDefault="008F1DC1" w:rsidP="00B82EFA">
            <w:pPr>
              <w:ind w:left="40"/>
              <w:rPr>
                <w:rFonts w:eastAsia="MS Mincho"/>
              </w:rPr>
            </w:pPr>
            <w:r w:rsidRPr="00F22A05">
              <w:rPr>
                <w:rFonts w:eastAsia="MS Mincho"/>
              </w:rPr>
              <w:t>Single-door refrigerator only</w:t>
            </w:r>
          </w:p>
        </w:tc>
        <w:tc>
          <w:tcPr>
            <w:tcW w:w="3359" w:type="dxa"/>
          </w:tcPr>
          <w:p w14:paraId="12ECB2E3" w14:textId="77777777" w:rsidR="008F1DC1" w:rsidRPr="00F22A05" w:rsidRDefault="008F1DC1" w:rsidP="00B82EFA">
            <w:pPr>
              <w:rPr>
                <w:rFonts w:eastAsia="MS Mincho"/>
              </w:rPr>
            </w:pPr>
            <w:r w:rsidRPr="00F22A05">
              <w:rPr>
                <w:rFonts w:eastAsia="MS Mincho"/>
              </w:rPr>
              <w:t>AV = 1.00 * nominal volume</w:t>
            </w:r>
          </w:p>
        </w:tc>
      </w:tr>
      <w:tr w:rsidR="00F22A05" w:rsidRPr="00F22A05" w14:paraId="0CB5AAE1" w14:textId="77777777" w:rsidTr="00BF0140">
        <w:trPr>
          <w:jc w:val="center"/>
        </w:trPr>
        <w:tc>
          <w:tcPr>
            <w:tcW w:w="3360" w:type="dxa"/>
          </w:tcPr>
          <w:p w14:paraId="5372ADC6" w14:textId="77777777" w:rsidR="008F1DC1" w:rsidRPr="00F22A05" w:rsidRDefault="008F1DC1" w:rsidP="00B82EFA">
            <w:pPr>
              <w:ind w:left="40"/>
              <w:rPr>
                <w:rFonts w:eastAsia="MS Mincho"/>
              </w:rPr>
            </w:pPr>
            <w:r w:rsidRPr="00F22A05">
              <w:rPr>
                <w:rFonts w:eastAsia="MS Mincho"/>
              </w:rPr>
              <w:t>Single-door refrigerator/freezer</w:t>
            </w:r>
          </w:p>
        </w:tc>
        <w:tc>
          <w:tcPr>
            <w:tcW w:w="3359" w:type="dxa"/>
          </w:tcPr>
          <w:p w14:paraId="71816968" w14:textId="77777777" w:rsidR="008F1DC1" w:rsidRPr="00F22A05" w:rsidRDefault="008F1DC1" w:rsidP="00B82EFA">
            <w:pPr>
              <w:rPr>
                <w:rFonts w:eastAsia="MS Mincho"/>
              </w:rPr>
            </w:pPr>
            <w:r w:rsidRPr="00F22A05">
              <w:rPr>
                <w:rFonts w:eastAsia="MS Mincho"/>
              </w:rPr>
              <w:t>AV = 1.01 * nominal volume</w:t>
            </w:r>
          </w:p>
        </w:tc>
      </w:tr>
      <w:tr w:rsidR="00F22A05" w:rsidRPr="00F22A05" w14:paraId="386B66EE" w14:textId="77777777" w:rsidTr="00BF0140">
        <w:trPr>
          <w:jc w:val="center"/>
        </w:trPr>
        <w:tc>
          <w:tcPr>
            <w:tcW w:w="3360" w:type="dxa"/>
          </w:tcPr>
          <w:p w14:paraId="30692306" w14:textId="77777777" w:rsidR="008F1DC1" w:rsidRPr="00F22A05" w:rsidRDefault="008F1DC1" w:rsidP="00B82EFA">
            <w:pPr>
              <w:ind w:left="40"/>
              <w:rPr>
                <w:rFonts w:eastAsia="MS Mincho"/>
              </w:rPr>
            </w:pPr>
            <w:r w:rsidRPr="00F22A05">
              <w:rPr>
                <w:rFonts w:eastAsia="MS Mincho"/>
              </w:rPr>
              <w:t>Bottom Freezer</w:t>
            </w:r>
          </w:p>
        </w:tc>
        <w:tc>
          <w:tcPr>
            <w:tcW w:w="3359" w:type="dxa"/>
          </w:tcPr>
          <w:p w14:paraId="4C717A3D" w14:textId="77777777" w:rsidR="008F1DC1" w:rsidRPr="00F22A05" w:rsidRDefault="008F1DC1" w:rsidP="00B82EFA">
            <w:pPr>
              <w:rPr>
                <w:rFonts w:eastAsia="MS Mincho"/>
              </w:rPr>
            </w:pPr>
            <w:r w:rsidRPr="00F22A05">
              <w:rPr>
                <w:rFonts w:eastAsia="MS Mincho"/>
              </w:rPr>
              <w:t>AV = 1.19 * nominal volume</w:t>
            </w:r>
          </w:p>
        </w:tc>
      </w:tr>
      <w:tr w:rsidR="00F22A05" w:rsidRPr="00F22A05" w14:paraId="27FDA9A6" w14:textId="77777777" w:rsidTr="00BF0140">
        <w:trPr>
          <w:jc w:val="center"/>
        </w:trPr>
        <w:tc>
          <w:tcPr>
            <w:tcW w:w="3360" w:type="dxa"/>
          </w:tcPr>
          <w:p w14:paraId="0B587A1A" w14:textId="77777777" w:rsidR="008F1DC1" w:rsidRPr="00F22A05" w:rsidRDefault="008F1DC1" w:rsidP="00B82EFA">
            <w:pPr>
              <w:ind w:left="40"/>
              <w:rPr>
                <w:rFonts w:eastAsia="MS Mincho"/>
              </w:rPr>
            </w:pPr>
            <w:r w:rsidRPr="00F22A05">
              <w:rPr>
                <w:rFonts w:eastAsia="MS Mincho"/>
              </w:rPr>
              <w:t>Top Freezer</w:t>
            </w:r>
          </w:p>
        </w:tc>
        <w:tc>
          <w:tcPr>
            <w:tcW w:w="3359" w:type="dxa"/>
          </w:tcPr>
          <w:p w14:paraId="5C50EF6A" w14:textId="77777777" w:rsidR="008F1DC1" w:rsidRPr="00F22A05" w:rsidRDefault="008F1DC1" w:rsidP="00B82EFA">
            <w:pPr>
              <w:rPr>
                <w:rFonts w:eastAsia="MS Mincho"/>
              </w:rPr>
            </w:pPr>
            <w:r w:rsidRPr="00F22A05">
              <w:rPr>
                <w:rFonts w:eastAsia="MS Mincho"/>
              </w:rPr>
              <w:t>AV = 1.16 * nominal volume</w:t>
            </w:r>
          </w:p>
        </w:tc>
      </w:tr>
      <w:tr w:rsidR="00F22A05" w:rsidRPr="00F22A05" w14:paraId="0E1B8783" w14:textId="77777777" w:rsidTr="00BF0140">
        <w:trPr>
          <w:jc w:val="center"/>
        </w:trPr>
        <w:tc>
          <w:tcPr>
            <w:tcW w:w="3360" w:type="dxa"/>
          </w:tcPr>
          <w:p w14:paraId="49620D9C" w14:textId="77777777" w:rsidR="008F1DC1" w:rsidRPr="00F22A05" w:rsidRDefault="008F1DC1" w:rsidP="00B82EFA">
            <w:pPr>
              <w:ind w:left="40"/>
              <w:rPr>
                <w:rFonts w:eastAsia="MS Mincho"/>
              </w:rPr>
            </w:pPr>
            <w:r w:rsidRPr="00F22A05">
              <w:rPr>
                <w:rFonts w:eastAsia="MS Mincho"/>
              </w:rPr>
              <w:t>Side by Side</w:t>
            </w:r>
          </w:p>
        </w:tc>
        <w:tc>
          <w:tcPr>
            <w:tcW w:w="3359" w:type="dxa"/>
          </w:tcPr>
          <w:p w14:paraId="51B0FE60" w14:textId="77777777" w:rsidR="008F1DC1" w:rsidRPr="00F22A05" w:rsidRDefault="008F1DC1" w:rsidP="00B82EFA">
            <w:pPr>
              <w:rPr>
                <w:rFonts w:eastAsia="MS Mincho"/>
              </w:rPr>
            </w:pPr>
            <w:r w:rsidRPr="00F22A05">
              <w:rPr>
                <w:rFonts w:eastAsia="MS Mincho"/>
              </w:rPr>
              <w:t>AV = 1.24 * nominal volume</w:t>
            </w:r>
          </w:p>
        </w:tc>
      </w:tr>
      <w:tr w:rsidR="00F22A05" w:rsidRPr="00F22A05" w14:paraId="3EBECE27" w14:textId="77777777" w:rsidTr="00BF0140">
        <w:trPr>
          <w:jc w:val="center"/>
        </w:trPr>
        <w:tc>
          <w:tcPr>
            <w:tcW w:w="3360" w:type="dxa"/>
          </w:tcPr>
          <w:p w14:paraId="512A6FE0" w14:textId="77777777" w:rsidR="008F1DC1" w:rsidRPr="00F22A05" w:rsidRDefault="008F1DC1" w:rsidP="00B82EFA">
            <w:pPr>
              <w:ind w:left="40"/>
              <w:rPr>
                <w:rFonts w:eastAsia="MS Mincho"/>
              </w:rPr>
            </w:pPr>
            <w:r w:rsidRPr="00F22A05">
              <w:rPr>
                <w:rFonts w:eastAsia="MS Mincho"/>
              </w:rPr>
              <w:t>Freezer only</w:t>
            </w:r>
          </w:p>
        </w:tc>
        <w:tc>
          <w:tcPr>
            <w:tcW w:w="3359" w:type="dxa"/>
          </w:tcPr>
          <w:p w14:paraId="6412C28F" w14:textId="77777777" w:rsidR="008F1DC1" w:rsidRPr="00F22A05" w:rsidRDefault="008F1DC1" w:rsidP="00B82EFA">
            <w:pPr>
              <w:rPr>
                <w:rFonts w:eastAsia="MS Mincho"/>
              </w:rPr>
            </w:pPr>
            <w:r w:rsidRPr="00F22A05">
              <w:rPr>
                <w:rFonts w:eastAsia="MS Mincho"/>
              </w:rPr>
              <w:t>AV = 1.73 * nominal volume</w:t>
            </w:r>
          </w:p>
        </w:tc>
      </w:tr>
    </w:tbl>
    <w:p w14:paraId="38F77EB7" w14:textId="14BB2034" w:rsidR="008F1DC1" w:rsidRPr="00F22A05" w:rsidRDefault="008F1DC1" w:rsidP="00FC64ED">
      <w:r w:rsidRPr="00F22A05">
        <w:rPr>
          <w:vanish/>
        </w:rPr>
        <w:cr/>
      </w:r>
      <w:r w:rsidR="00EC7D3E" w:rsidRPr="00F22A05" w:rsidDel="00EC7D3E">
        <w:rPr>
          <w:vanish/>
        </w:rPr>
        <w:t xml:space="preserve"> </w:t>
      </w:r>
    </w:p>
    <w:bookmarkEnd w:id="66"/>
    <w:p w14:paraId="2CFD481E" w14:textId="3BE46C14" w:rsidR="00E61453" w:rsidRPr="00F22A05" w:rsidRDefault="00E61453" w:rsidP="00581A21">
      <w:pPr>
        <w:rPr>
          <w:strike/>
        </w:rPr>
      </w:pPr>
    </w:p>
    <w:p w14:paraId="09C51670" w14:textId="559FAE17" w:rsidR="00287CA1" w:rsidRPr="00F22A05" w:rsidRDefault="008F1DC1" w:rsidP="00B571C7">
      <w:pPr>
        <w:pStyle w:val="sixaa"/>
        <w:rPr>
          <w:strike/>
        </w:rPr>
      </w:pPr>
      <w:proofErr w:type="gramStart"/>
      <w:r w:rsidRPr="00F22A05">
        <w:rPr>
          <w:strike/>
        </w:rPr>
        <w:t>For the purpose of</w:t>
      </w:r>
      <w:proofErr w:type="gramEnd"/>
      <w:r w:rsidRPr="00F22A05">
        <w:rPr>
          <w:strike/>
        </w:rPr>
        <w:t xml:space="preserve"> adjusting the annual refrigerator energy consumption for calculating the</w:t>
      </w:r>
      <w:r w:rsidR="006243B8" w:rsidRPr="00F22A05">
        <w:rPr>
          <w:strike/>
        </w:rPr>
        <w:t xml:space="preserve"> Rating</w:t>
      </w:r>
      <w:r w:rsidRPr="00F22A05">
        <w:rPr>
          <w:strike/>
        </w:rPr>
        <w:t xml:space="preserve">, </w:t>
      </w:r>
      <w:r w:rsidR="00EB0F61" w:rsidRPr="00F22A05">
        <w:rPr>
          <w:strike/>
        </w:rPr>
        <w:t>EC</w:t>
      </w:r>
      <w:r w:rsidR="00EB0F61" w:rsidRPr="00F22A05">
        <w:rPr>
          <w:strike/>
          <w:vertAlign w:val="subscript"/>
        </w:rPr>
        <w:t>LA</w:t>
      </w:r>
      <w:r w:rsidR="00EB0F61" w:rsidRPr="00F22A05">
        <w:rPr>
          <w:strike/>
        </w:rPr>
        <w:t xml:space="preserve"> </w:t>
      </w:r>
      <w:r w:rsidRPr="00F22A05">
        <w:rPr>
          <w:strike/>
        </w:rPr>
        <w:t xml:space="preserve">shall be adjusted by </w:t>
      </w:r>
      <w:r w:rsidRPr="00F22A05">
        <w:rPr>
          <w:rFonts w:ascii="Symbol" w:eastAsia="Symbol" w:hAnsi="Symbol" w:cs="Symbol"/>
          <w:strike/>
        </w:rPr>
        <w:t></w:t>
      </w:r>
      <w:r w:rsidR="00EB0F61" w:rsidRPr="00F22A05">
        <w:rPr>
          <w:strike/>
        </w:rPr>
        <w:t>EC</w:t>
      </w:r>
      <w:r w:rsidR="00EB0F61" w:rsidRPr="00F22A05">
        <w:rPr>
          <w:strike/>
          <w:vertAlign w:val="subscript"/>
        </w:rPr>
        <w:t>FRIG</w:t>
      </w:r>
      <w:r w:rsidRPr="00F22A05">
        <w:rPr>
          <w:strike/>
        </w:rPr>
        <w:t xml:space="preserve">, which shall be calculated as the annual refrigerator energy use derived by the procedures in this section minus the annual refrigerator energy use derived for the Energy Rating Reference Home in Section </w:t>
      </w:r>
      <w:r w:rsidR="000D13E9" w:rsidRPr="00F22A05">
        <w:rPr>
          <w:strike/>
        </w:rPr>
        <w:t>4.2.2.7.1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/y = (kWh/y)/293.</w:t>
      </w:r>
      <w:r w:rsidR="00A12F37" w:rsidRPr="00F22A05">
        <w:rPr>
          <w:b/>
          <w:vertAlign w:val="superscript"/>
        </w:rPr>
        <w:t xml:space="preserve"> </w:t>
      </w:r>
      <w:r w:rsidR="00D44B37" w:rsidRPr="00DC54A7">
        <w:rPr>
          <w:b/>
          <w:color w:val="0070C0"/>
          <w:vertAlign w:val="superscript"/>
        </w:rPr>
        <w:t>(1)</w:t>
      </w:r>
      <w:r w:rsidRPr="00F22A05">
        <w:rPr>
          <w:strike/>
        </w:rPr>
        <w:t xml:space="preserve"> </w:t>
      </w:r>
    </w:p>
    <w:p w14:paraId="68FA8600" w14:textId="671AAA44" w:rsidR="008F1DC1" w:rsidRPr="00F22A05" w:rsidRDefault="008F1DC1" w:rsidP="004D298A">
      <w:pPr>
        <w:pStyle w:val="six"/>
        <w:tabs>
          <w:tab w:val="clear" w:pos="2304"/>
        </w:tabs>
        <w:ind w:left="2520"/>
        <w:rPr>
          <w:strike/>
        </w:rPr>
      </w:pPr>
    </w:p>
    <w:p w14:paraId="6DF39A7E" w14:textId="5F698584" w:rsidR="008F1DC1" w:rsidRPr="00F22A05" w:rsidRDefault="008F1DC1" w:rsidP="00101AB4">
      <w:pPr>
        <w:pStyle w:val="sixaa"/>
        <w:rPr>
          <w:strike/>
        </w:rPr>
      </w:pPr>
      <w:r w:rsidRPr="00F22A05">
        <w:rPr>
          <w:strike/>
        </w:rPr>
        <w:t xml:space="preserve">For refrigerator energy use, </w:t>
      </w:r>
      <w:r w:rsidR="000E2352" w:rsidRPr="00F22A05">
        <w:rPr>
          <w:strike/>
        </w:rPr>
        <w:t>I</w:t>
      </w:r>
      <w:r w:rsidRPr="00F22A05">
        <w:rPr>
          <w:strike/>
        </w:rPr>
        <w:t xml:space="preserve">nternal </w:t>
      </w:r>
      <w:r w:rsidR="000E2352" w:rsidRPr="00F22A05">
        <w:rPr>
          <w:strike/>
        </w:rPr>
        <w:t>G</w:t>
      </w:r>
      <w:r w:rsidRPr="00F22A05">
        <w:rPr>
          <w:strike/>
        </w:rPr>
        <w:t xml:space="preserve">ains in the Rated Home shall be modified by </w:t>
      </w:r>
      <w:r w:rsidR="003B2616" w:rsidRPr="00F22A05">
        <w:rPr>
          <w:strike/>
        </w:rPr>
        <w:t>100 percent</w:t>
      </w:r>
      <w:r w:rsidRPr="00F22A05">
        <w:rPr>
          <w:strike/>
        </w:rPr>
        <w:t xml:space="preserve"> of the refrigerator </w:t>
      </w:r>
      <w:r w:rsidRPr="00F22A05">
        <w:rPr>
          <w:rFonts w:ascii="Symbol" w:eastAsia="Symbol" w:hAnsi="Symbol" w:cs="Symbol"/>
          <w:strike/>
        </w:rPr>
        <w:t></w:t>
      </w:r>
      <w:r w:rsidR="00EB0F61" w:rsidRPr="00F22A05">
        <w:rPr>
          <w:strike/>
        </w:rPr>
        <w:t>EC</w:t>
      </w:r>
      <w:r w:rsidR="00EB0F61" w:rsidRPr="00F22A05">
        <w:rPr>
          <w:strike/>
          <w:vertAlign w:val="subscript"/>
        </w:rPr>
        <w:t>FRIG</w:t>
      </w:r>
      <w:r w:rsidR="00EB0F61" w:rsidRPr="00F22A05">
        <w:rPr>
          <w:strike/>
        </w:rPr>
        <w:t xml:space="preserve"> </w:t>
      </w:r>
      <w:r w:rsidRPr="00F22A05">
        <w:rPr>
          <w:strike/>
        </w:rPr>
        <w:t xml:space="preserve">converted to Btu/day as follows: </w:t>
      </w:r>
      <w:r w:rsidRPr="00F22A05">
        <w:rPr>
          <w:rFonts w:ascii="Symbol" w:eastAsia="Symbol" w:hAnsi="Symbol" w:cs="Symbol"/>
          <w:strike/>
        </w:rPr>
        <w:t></w:t>
      </w:r>
      <w:r w:rsidR="00EB0F61" w:rsidRPr="00F22A05">
        <w:rPr>
          <w:strike/>
        </w:rPr>
        <w:t>EC</w:t>
      </w:r>
      <w:r w:rsidR="00EB0F61" w:rsidRPr="00F22A05">
        <w:rPr>
          <w:strike/>
          <w:vertAlign w:val="subscript"/>
        </w:rPr>
        <w:t>FRIG</w:t>
      </w:r>
      <w:r w:rsidR="00EB0F61" w:rsidRPr="00F22A05">
        <w:rPr>
          <w:strike/>
        </w:rPr>
        <w:t xml:space="preserve"> </w:t>
      </w:r>
      <w:r w:rsidRPr="00F22A05">
        <w:rPr>
          <w:strike/>
        </w:rPr>
        <w:t>* 10</w:t>
      </w:r>
      <w:r w:rsidRPr="00F22A05">
        <w:rPr>
          <w:strike/>
          <w:vertAlign w:val="superscript"/>
        </w:rPr>
        <w:t>6</w:t>
      </w:r>
      <w:r w:rsidRPr="00F22A05">
        <w:rPr>
          <w:strike/>
        </w:rPr>
        <w:t xml:space="preserve"> / 365.  Internal </w:t>
      </w:r>
      <w:r w:rsidR="000E2352" w:rsidRPr="00F22A05">
        <w:rPr>
          <w:strike/>
        </w:rPr>
        <w:t>G</w:t>
      </w:r>
      <w:r w:rsidRPr="00F22A05">
        <w:rPr>
          <w:strike/>
        </w:rPr>
        <w:t>ains shall not be modified for refrigerators located in Unconditioned Space</w:t>
      </w:r>
      <w:r w:rsidR="00C52AF8" w:rsidRPr="00F22A05">
        <w:rPr>
          <w:strike/>
        </w:rPr>
        <w:t xml:space="preserve"> Volume</w:t>
      </w:r>
      <w:r w:rsidRPr="00F22A05">
        <w:rPr>
          <w:strike/>
        </w:rPr>
        <w:t xml:space="preserve">, </w:t>
      </w:r>
      <w:r w:rsidR="00CB5AF5" w:rsidRPr="00F22A05">
        <w:rPr>
          <w:strike/>
        </w:rPr>
        <w:t>Unrated</w:t>
      </w:r>
      <w:r w:rsidRPr="00F22A05">
        <w:rPr>
          <w:strike/>
        </w:rPr>
        <w:t xml:space="preserve"> Heated Space, </w:t>
      </w:r>
      <w:r w:rsidR="00A02717" w:rsidRPr="00F22A05">
        <w:rPr>
          <w:strike/>
        </w:rPr>
        <w:t xml:space="preserve">Unrated Conditioned </w:t>
      </w:r>
      <w:proofErr w:type="gramStart"/>
      <w:r w:rsidR="00A02717" w:rsidRPr="00F22A05">
        <w:rPr>
          <w:strike/>
        </w:rPr>
        <w:t>Space</w:t>
      </w:r>
      <w:proofErr w:type="gramEnd"/>
      <w:r w:rsidR="00A02717" w:rsidRPr="00F22A05">
        <w:rPr>
          <w:strike/>
        </w:rPr>
        <w:t xml:space="preserve"> </w:t>
      </w:r>
      <w:r w:rsidRPr="00F22A05">
        <w:rPr>
          <w:strike/>
        </w:rPr>
        <w:t>or outdoor environment.</w:t>
      </w:r>
      <w:r w:rsidRPr="00F22A05">
        <w:rPr>
          <w:rStyle w:val="FootnoteReference"/>
          <w:strike/>
        </w:rPr>
        <w:footnoteReference w:id="13"/>
      </w:r>
      <w:r w:rsidRPr="00F22A05">
        <w:rPr>
          <w:strike/>
          <w:shd w:val="clear" w:color="auto" w:fill="FFFF00"/>
        </w:rPr>
        <w:t xml:space="preserve"> </w:t>
      </w:r>
    </w:p>
    <w:p w14:paraId="357AD493" w14:textId="77777777" w:rsidR="008F1DC1" w:rsidRPr="00F22A05" w:rsidRDefault="008F1DC1" w:rsidP="00581A21">
      <w:pPr>
        <w:pStyle w:val="six"/>
        <w:tabs>
          <w:tab w:val="clear" w:pos="2304"/>
        </w:tabs>
        <w:ind w:left="0"/>
      </w:pPr>
    </w:p>
    <w:p w14:paraId="4439EE88" w14:textId="4C890394" w:rsidR="008F1DC1" w:rsidRPr="00F22A05" w:rsidRDefault="00C42695" w:rsidP="00B46795">
      <w:pPr>
        <w:pStyle w:val="sixa"/>
        <w:numPr>
          <w:ilvl w:val="0"/>
          <w:numId w:val="0"/>
        </w:numPr>
        <w:ind w:left="2610"/>
        <w:rPr>
          <w:b/>
        </w:rPr>
      </w:pPr>
      <w:r w:rsidRPr="00F22A05">
        <w:rPr>
          <w:b/>
        </w:rPr>
        <w:t>4.2.2.7.2.6</w:t>
      </w:r>
      <w:r w:rsidR="00A87B5A" w:rsidRPr="00F22A05">
        <w:rPr>
          <w:b/>
        </w:rPr>
        <w:t>.</w:t>
      </w:r>
      <w:r w:rsidRPr="00F22A05">
        <w:rPr>
          <w:b/>
        </w:rPr>
        <w:t xml:space="preserve">  </w:t>
      </w:r>
      <w:r w:rsidR="008F1DC1" w:rsidRPr="00F22A05">
        <w:rPr>
          <w:b/>
        </w:rPr>
        <w:t xml:space="preserve">Televisions.  </w:t>
      </w:r>
      <w:r w:rsidR="008F1DC1" w:rsidRPr="00F22A05">
        <w:t xml:space="preserve">Television annual energy use in the Rated Home shall be the same as television energy use in the Energy Rating Reference Home and shall be calculated as </w:t>
      </w:r>
      <w:proofErr w:type="spellStart"/>
      <w:r w:rsidR="008F1DC1" w:rsidRPr="00F22A05">
        <w:t>TVkWh</w:t>
      </w:r>
      <w:proofErr w:type="spellEnd"/>
      <w:r w:rsidR="008F1DC1" w:rsidRPr="00F22A05">
        <w:t>/y = 413 + 69*</w:t>
      </w:r>
      <w:proofErr w:type="spellStart"/>
      <w:r w:rsidR="008F1DC1" w:rsidRPr="00F22A05">
        <w:t>Nbr</w:t>
      </w:r>
      <w:proofErr w:type="spellEnd"/>
      <w:r w:rsidR="008F1DC1" w:rsidRPr="00F22A05">
        <w:t xml:space="preserve">, where </w:t>
      </w:r>
      <w:proofErr w:type="spellStart"/>
      <w:r w:rsidR="008F1DC1" w:rsidRPr="00F22A05">
        <w:t>Nbr</w:t>
      </w:r>
      <w:proofErr w:type="spellEnd"/>
      <w:r w:rsidR="008F1DC1" w:rsidRPr="00F22A05">
        <w:t xml:space="preserve"> is the number of Bedrooms in the Rated Home.</w:t>
      </w:r>
    </w:p>
    <w:p w14:paraId="7D80BD28" w14:textId="77777777" w:rsidR="008F1DC1" w:rsidRPr="00F22A05" w:rsidRDefault="008F1DC1" w:rsidP="00B571C7">
      <w:pPr>
        <w:pStyle w:val="sixa"/>
        <w:numPr>
          <w:ilvl w:val="0"/>
          <w:numId w:val="0"/>
        </w:numPr>
        <w:ind w:left="2610"/>
        <w:rPr>
          <w:b/>
        </w:rPr>
      </w:pPr>
    </w:p>
    <w:p w14:paraId="4EE59AFF" w14:textId="4B7C6591" w:rsidR="008F1DC1" w:rsidRPr="00F22A05" w:rsidRDefault="00C42695" w:rsidP="00B46795">
      <w:pPr>
        <w:pStyle w:val="sixa"/>
        <w:numPr>
          <w:ilvl w:val="0"/>
          <w:numId w:val="0"/>
        </w:numPr>
        <w:ind w:left="2610"/>
        <w:rPr>
          <w:b/>
        </w:rPr>
      </w:pPr>
      <w:bookmarkStart w:id="67" w:name="_Ref495405643"/>
      <w:r w:rsidRPr="00F22A05">
        <w:rPr>
          <w:b/>
        </w:rPr>
        <w:t>4.2.2.7.2.7</w:t>
      </w:r>
      <w:r w:rsidR="00A87B5A" w:rsidRPr="00F22A05">
        <w:rPr>
          <w:b/>
        </w:rPr>
        <w:t>.</w:t>
      </w:r>
      <w:r w:rsidRPr="00F22A05">
        <w:rPr>
          <w:b/>
        </w:rPr>
        <w:t xml:space="preserve">  </w:t>
      </w:r>
      <w:r w:rsidR="008F1DC1" w:rsidRPr="00F22A05">
        <w:rPr>
          <w:b/>
        </w:rPr>
        <w:t xml:space="preserve">Range/Oven.  </w:t>
      </w:r>
      <w:r w:rsidR="008F1DC1" w:rsidRPr="00F22A05">
        <w:t xml:space="preserve">Range/Oven (cooking) annual energy use for the Rated Home shall be determined in accordance with Equations </w:t>
      </w:r>
      <w:r w:rsidR="00885C17" w:rsidRPr="00F22A05">
        <w:t>4.2-33a</w:t>
      </w:r>
      <w:r w:rsidR="00811C8B" w:rsidRPr="00F22A05">
        <w:t xml:space="preserve"> </w:t>
      </w:r>
      <w:r w:rsidR="008F1DC1" w:rsidRPr="00F22A05">
        <w:t xml:space="preserve">through </w:t>
      </w:r>
      <w:r w:rsidR="00885C17" w:rsidRPr="00F22A05">
        <w:t>4.2-30c</w:t>
      </w:r>
      <w:r w:rsidR="008F1DC1" w:rsidRPr="00F22A05">
        <w:t>, as appropriate.</w:t>
      </w:r>
      <w:bookmarkEnd w:id="67"/>
      <w:r w:rsidR="00A12F37" w:rsidRPr="00F22A05">
        <w:rPr>
          <w:b/>
          <w:vertAlign w:val="superscript"/>
        </w:rPr>
        <w:t xml:space="preserve"> </w:t>
      </w:r>
      <w:r w:rsidR="00D44B37" w:rsidRPr="00DC54A7">
        <w:rPr>
          <w:b/>
          <w:color w:val="0070C0"/>
          <w:vertAlign w:val="superscript"/>
        </w:rPr>
        <w:t>(1)</w:t>
      </w:r>
    </w:p>
    <w:p w14:paraId="5977FF07" w14:textId="77777777" w:rsidR="008F1DC1" w:rsidRPr="00F22A05" w:rsidRDefault="008F1DC1" w:rsidP="008F1DC1">
      <w:pPr>
        <w:ind w:left="360"/>
      </w:pPr>
    </w:p>
    <w:p w14:paraId="6B7F99F0" w14:textId="77777777" w:rsidR="008F1DC1" w:rsidRPr="00F22A05" w:rsidRDefault="008F1DC1" w:rsidP="008F6F2C">
      <w:pPr>
        <w:numPr>
          <w:ilvl w:val="12"/>
          <w:numId w:val="0"/>
        </w:numPr>
        <w:spacing w:line="252" w:lineRule="auto"/>
        <w:ind w:left="2610"/>
      </w:pPr>
      <w:r w:rsidRPr="00F22A05">
        <w:t>1)   For electric cooking:</w:t>
      </w:r>
    </w:p>
    <w:p w14:paraId="194189B2" w14:textId="11712D45" w:rsidR="008F1DC1" w:rsidRPr="00F22A05" w:rsidRDefault="008F1DC1" w:rsidP="003D1C47">
      <w:pPr>
        <w:numPr>
          <w:ilvl w:val="12"/>
          <w:numId w:val="0"/>
        </w:numPr>
        <w:tabs>
          <w:tab w:val="right" w:pos="9360"/>
        </w:tabs>
        <w:spacing w:line="252" w:lineRule="auto"/>
        <w:ind w:left="2610"/>
        <w:rPr>
          <w:b/>
        </w:rPr>
      </w:pPr>
      <w:r w:rsidRPr="00F22A05">
        <w:rPr>
          <w:b/>
        </w:rPr>
        <w:t xml:space="preserve">      </w:t>
      </w:r>
      <w:r w:rsidRPr="0094335D">
        <w:rPr>
          <w:bCs/>
        </w:rPr>
        <w:t>kWh/y = BEF * OEF * (331 + 39*</w:t>
      </w:r>
      <w:proofErr w:type="spellStart"/>
      <w:r w:rsidRPr="0094335D">
        <w:rPr>
          <w:bCs/>
        </w:rPr>
        <w:t>Nbr</w:t>
      </w:r>
      <w:proofErr w:type="spellEnd"/>
      <w:r w:rsidRPr="0094335D">
        <w:rPr>
          <w:bCs/>
        </w:rPr>
        <w:t>)</w:t>
      </w:r>
      <w:r w:rsidRPr="00F22A05">
        <w:rPr>
          <w:b/>
        </w:rPr>
        <w:tab/>
        <w:t>(</w:t>
      </w:r>
      <w:r w:rsidR="00A25E21" w:rsidRPr="00F22A05">
        <w:rPr>
          <w:b/>
        </w:rPr>
        <w:t>Equation</w:t>
      </w:r>
      <w:r w:rsidRPr="00F22A05">
        <w:rPr>
          <w:b/>
        </w:rPr>
        <w:t xml:space="preserve"> 4.2-</w:t>
      </w:r>
      <w:r w:rsidR="00FB0C85" w:rsidRPr="00F22A05">
        <w:rPr>
          <w:b/>
        </w:rPr>
        <w:t>33a</w:t>
      </w:r>
      <w:r w:rsidRPr="00F22A05">
        <w:rPr>
          <w:b/>
        </w:rPr>
        <w:t>)</w:t>
      </w:r>
      <w:r w:rsidR="00A12F37" w:rsidRPr="00F22A05">
        <w:rPr>
          <w:b/>
          <w:vertAlign w:val="superscript"/>
        </w:rPr>
        <w:t xml:space="preserve"> </w:t>
      </w:r>
      <w:r w:rsidR="00D44B37" w:rsidRPr="00DC54A7">
        <w:rPr>
          <w:b/>
          <w:color w:val="0070C0"/>
          <w:vertAlign w:val="superscript"/>
        </w:rPr>
        <w:t>(1)</w:t>
      </w:r>
    </w:p>
    <w:p w14:paraId="024C2EBC" w14:textId="77777777" w:rsidR="008F1DC1" w:rsidRPr="00F22A05" w:rsidRDefault="008F1DC1" w:rsidP="008F1DC1">
      <w:pPr>
        <w:numPr>
          <w:ilvl w:val="12"/>
          <w:numId w:val="0"/>
        </w:numPr>
        <w:spacing w:line="252" w:lineRule="auto"/>
        <w:ind w:left="1080"/>
      </w:pPr>
    </w:p>
    <w:p w14:paraId="3FA99732" w14:textId="578397F3" w:rsidR="008F1DC1" w:rsidRPr="00F22A05" w:rsidRDefault="008F1DC1" w:rsidP="008F6F2C">
      <w:pPr>
        <w:numPr>
          <w:ilvl w:val="12"/>
          <w:numId w:val="0"/>
        </w:numPr>
        <w:spacing w:line="252" w:lineRule="auto"/>
        <w:ind w:left="2610"/>
      </w:pPr>
      <w:r w:rsidRPr="00F22A05">
        <w:t>2)   For natural gas cooking:</w:t>
      </w:r>
    </w:p>
    <w:p w14:paraId="681A3C25" w14:textId="348CB514" w:rsidR="008F1DC1" w:rsidRPr="00F22A05" w:rsidRDefault="008F1DC1" w:rsidP="003D1C47">
      <w:pPr>
        <w:numPr>
          <w:ilvl w:val="12"/>
          <w:numId w:val="0"/>
        </w:numPr>
        <w:tabs>
          <w:tab w:val="right" w:pos="9360"/>
        </w:tabs>
        <w:spacing w:line="252" w:lineRule="auto"/>
        <w:ind w:left="2610"/>
        <w:rPr>
          <w:b/>
        </w:rPr>
      </w:pPr>
      <w:r w:rsidRPr="00F22A05">
        <w:rPr>
          <w:b/>
        </w:rPr>
        <w:lastRenderedPageBreak/>
        <w:t xml:space="preserve">      </w:t>
      </w:r>
      <w:proofErr w:type="spellStart"/>
      <w:r w:rsidRPr="0094335D">
        <w:rPr>
          <w:bCs/>
        </w:rPr>
        <w:t>Therms</w:t>
      </w:r>
      <w:proofErr w:type="spellEnd"/>
      <w:r w:rsidRPr="0094335D">
        <w:rPr>
          <w:bCs/>
        </w:rPr>
        <w:t>/y = OEF*(22.6 + 2.7*</w:t>
      </w:r>
      <w:proofErr w:type="spellStart"/>
      <w:r w:rsidRPr="0094335D">
        <w:rPr>
          <w:bCs/>
        </w:rPr>
        <w:t>Nbr</w:t>
      </w:r>
      <w:proofErr w:type="spellEnd"/>
      <w:r w:rsidRPr="0094335D">
        <w:rPr>
          <w:bCs/>
        </w:rPr>
        <w:t>)</w:t>
      </w:r>
      <w:r w:rsidRPr="00F22A05">
        <w:rPr>
          <w:b/>
        </w:rPr>
        <w:tab/>
        <w:t>(Eq</w:t>
      </w:r>
      <w:r w:rsidR="001B1D7C" w:rsidRPr="00F22A05">
        <w:rPr>
          <w:b/>
        </w:rPr>
        <w:t>uation</w:t>
      </w:r>
      <w:r w:rsidRPr="00F22A05">
        <w:rPr>
          <w:b/>
        </w:rPr>
        <w:t xml:space="preserve"> 4.2-</w:t>
      </w:r>
      <w:r w:rsidR="00FB0C85" w:rsidRPr="00F22A05">
        <w:rPr>
          <w:b/>
        </w:rPr>
        <w:t>33b</w:t>
      </w:r>
      <w:r w:rsidRPr="00F22A05">
        <w:rPr>
          <w:b/>
        </w:rPr>
        <w:t>)</w:t>
      </w:r>
      <w:r w:rsidR="00A12F37" w:rsidRPr="00F22A05">
        <w:rPr>
          <w:b/>
          <w:vertAlign w:val="superscript"/>
        </w:rPr>
        <w:t xml:space="preserve"> </w:t>
      </w:r>
      <w:r w:rsidR="00D44B37" w:rsidRPr="00DC54A7">
        <w:rPr>
          <w:b/>
          <w:color w:val="0070C0"/>
          <w:vertAlign w:val="superscript"/>
        </w:rPr>
        <w:t>(1)</w:t>
      </w:r>
    </w:p>
    <w:p w14:paraId="51824642" w14:textId="77777777" w:rsidR="008F1DC1" w:rsidRPr="00F22A05" w:rsidRDefault="008F1DC1" w:rsidP="003D1C47">
      <w:pPr>
        <w:pStyle w:val="where1"/>
        <w:ind w:left="3330"/>
      </w:pPr>
      <w:r w:rsidRPr="00F22A05">
        <w:t xml:space="preserve">  plus:</w:t>
      </w:r>
    </w:p>
    <w:p w14:paraId="3D2B37CB" w14:textId="7757E42B" w:rsidR="008F1DC1" w:rsidRPr="00F22A05" w:rsidRDefault="008F1DC1" w:rsidP="00B12204">
      <w:pPr>
        <w:numPr>
          <w:ilvl w:val="12"/>
          <w:numId w:val="0"/>
        </w:numPr>
        <w:tabs>
          <w:tab w:val="right" w:pos="9360"/>
        </w:tabs>
        <w:spacing w:line="252" w:lineRule="auto"/>
        <w:ind w:left="2610"/>
        <w:rPr>
          <w:b/>
        </w:rPr>
      </w:pPr>
      <w:r w:rsidRPr="00F22A05">
        <w:rPr>
          <w:b/>
        </w:rPr>
        <w:t xml:space="preserve">      </w:t>
      </w:r>
      <w:r w:rsidRPr="0094335D">
        <w:rPr>
          <w:bCs/>
        </w:rPr>
        <w:t>kWh/y = 22.6 + 2.7*</w:t>
      </w:r>
      <w:proofErr w:type="spellStart"/>
      <w:r w:rsidRPr="0094335D">
        <w:rPr>
          <w:bCs/>
        </w:rPr>
        <w:t>Nbr</w:t>
      </w:r>
      <w:proofErr w:type="spellEnd"/>
      <w:r w:rsidRPr="00F22A05">
        <w:rPr>
          <w:b/>
        </w:rPr>
        <w:tab/>
        <w:t>(</w:t>
      </w:r>
      <w:r w:rsidR="00A25E21" w:rsidRPr="00F22A05">
        <w:rPr>
          <w:b/>
        </w:rPr>
        <w:t>Equation</w:t>
      </w:r>
      <w:r w:rsidRPr="00F22A05">
        <w:rPr>
          <w:b/>
        </w:rPr>
        <w:t xml:space="preserve"> 4.2-</w:t>
      </w:r>
      <w:r w:rsidR="00FB0C85" w:rsidRPr="00F22A05">
        <w:rPr>
          <w:b/>
        </w:rPr>
        <w:t>33c</w:t>
      </w:r>
      <w:r w:rsidR="006606E8" w:rsidRPr="00F22A05">
        <w:rPr>
          <w:b/>
        </w:rPr>
        <w:t>)</w:t>
      </w:r>
      <w:r w:rsidR="00A12F37" w:rsidRPr="00F22A05">
        <w:rPr>
          <w:b/>
          <w:vertAlign w:val="superscript"/>
        </w:rPr>
        <w:t xml:space="preserve"> </w:t>
      </w:r>
      <w:r w:rsidR="00D44B37" w:rsidRPr="00DC54A7">
        <w:rPr>
          <w:b/>
          <w:color w:val="0070C0"/>
          <w:vertAlign w:val="superscript"/>
        </w:rPr>
        <w:t>(1)</w:t>
      </w:r>
    </w:p>
    <w:p w14:paraId="3E082AC8" w14:textId="77777777" w:rsidR="008F1DC1" w:rsidRPr="00F22A05" w:rsidRDefault="008F1DC1" w:rsidP="008F1DC1">
      <w:pPr>
        <w:numPr>
          <w:ilvl w:val="12"/>
          <w:numId w:val="0"/>
        </w:numPr>
        <w:ind w:left="1080"/>
      </w:pPr>
    </w:p>
    <w:p w14:paraId="5A5E11CC" w14:textId="77777777" w:rsidR="008F1DC1" w:rsidRPr="00F22A05" w:rsidRDefault="008F1DC1" w:rsidP="003D1C47">
      <w:pPr>
        <w:pStyle w:val="where1"/>
        <w:ind w:left="3420" w:hanging="270"/>
      </w:pPr>
      <w:r w:rsidRPr="00F22A05">
        <w:t>where:</w:t>
      </w:r>
    </w:p>
    <w:p w14:paraId="65DDA276" w14:textId="3774D55D" w:rsidR="008F1DC1" w:rsidRPr="00F22A05" w:rsidRDefault="002F2B39" w:rsidP="003D1C47">
      <w:pPr>
        <w:pStyle w:val="equals"/>
        <w:tabs>
          <w:tab w:val="clear" w:pos="3060"/>
          <w:tab w:val="left" w:pos="4500"/>
        </w:tabs>
        <w:ind w:left="4680"/>
      </w:pPr>
      <w:r w:rsidRPr="00F22A05">
        <w:t>BEF</w:t>
      </w:r>
      <w:r w:rsidRPr="00F22A05">
        <w:tab/>
      </w:r>
      <w:r w:rsidR="008F1DC1" w:rsidRPr="00F22A05">
        <w:t>= Burner Energy Factor = 0.91 for induction ranges and 1.0 otherwise</w:t>
      </w:r>
      <w:r w:rsidR="001B1D7C" w:rsidRPr="00F22A05">
        <w:t>.</w:t>
      </w:r>
    </w:p>
    <w:p w14:paraId="02AE8387" w14:textId="6637F364" w:rsidR="008F1DC1" w:rsidRPr="00F22A05" w:rsidRDefault="002F2B39" w:rsidP="003D1C47">
      <w:pPr>
        <w:pStyle w:val="equals"/>
        <w:tabs>
          <w:tab w:val="clear" w:pos="3060"/>
          <w:tab w:val="left" w:pos="4500"/>
        </w:tabs>
        <w:ind w:left="4680"/>
      </w:pPr>
      <w:r w:rsidRPr="00F22A05">
        <w:t>OEF</w:t>
      </w:r>
      <w:r w:rsidRPr="00F22A05">
        <w:tab/>
      </w:r>
      <w:r w:rsidR="008F1DC1" w:rsidRPr="00F22A05">
        <w:t>= Oven Energy Factor = 0.95 for convection types and 1.0 otherwise</w:t>
      </w:r>
      <w:r w:rsidR="001B1D7C" w:rsidRPr="00F22A05">
        <w:t>.</w:t>
      </w:r>
    </w:p>
    <w:p w14:paraId="7BF892C7" w14:textId="2D435A75" w:rsidR="008F1DC1" w:rsidRPr="00F22A05" w:rsidRDefault="008F1DC1" w:rsidP="003D1C47">
      <w:pPr>
        <w:pStyle w:val="equals"/>
        <w:tabs>
          <w:tab w:val="clear" w:pos="3060"/>
          <w:tab w:val="left" w:pos="4500"/>
        </w:tabs>
        <w:ind w:left="4680"/>
      </w:pPr>
      <w:proofErr w:type="spellStart"/>
      <w:r w:rsidRPr="00F22A05">
        <w:t>Nbr</w:t>
      </w:r>
      <w:proofErr w:type="spellEnd"/>
      <w:r w:rsidR="002F2B39" w:rsidRPr="00F22A05">
        <w:tab/>
      </w:r>
      <w:r w:rsidRPr="00F22A05">
        <w:t>= Number of Bedrooms</w:t>
      </w:r>
      <w:r w:rsidR="001B1D7C" w:rsidRPr="00F22A05">
        <w:t>.</w:t>
      </w:r>
    </w:p>
    <w:p w14:paraId="0A23DA1B" w14:textId="77777777" w:rsidR="008F1DC1" w:rsidRPr="00F22A05" w:rsidRDefault="008F1DC1" w:rsidP="008F1DC1">
      <w:pPr>
        <w:ind w:left="360"/>
      </w:pPr>
    </w:p>
    <w:p w14:paraId="1C72E0F4" w14:textId="4D54B680" w:rsidR="008F1DC1" w:rsidRPr="00F22A05" w:rsidRDefault="008F1DC1" w:rsidP="00B571C7">
      <w:pPr>
        <w:pStyle w:val="sixaa"/>
        <w:rPr>
          <w:strike/>
        </w:rPr>
      </w:pPr>
      <w:r w:rsidRPr="00F22A05">
        <w:rPr>
          <w:strike/>
        </w:rPr>
        <w:t>For the purpose of adjusting the annual range/oven energy consumption for calculating the</w:t>
      </w:r>
      <w:r w:rsidR="006243B8" w:rsidRPr="00F22A05">
        <w:rPr>
          <w:strike/>
        </w:rPr>
        <w:t xml:space="preserve"> Rating</w:t>
      </w:r>
      <w:r w:rsidRPr="00F22A05">
        <w:rPr>
          <w:strike/>
        </w:rPr>
        <w:t xml:space="preserve">, </w:t>
      </w:r>
      <w:r w:rsidR="00EB0F61" w:rsidRPr="00F22A05">
        <w:rPr>
          <w:strike/>
        </w:rPr>
        <w:t>EC</w:t>
      </w:r>
      <w:r w:rsidR="00EB0F61" w:rsidRPr="00F22A05">
        <w:rPr>
          <w:strike/>
          <w:vertAlign w:val="subscript"/>
        </w:rPr>
        <w:t>LA</w:t>
      </w:r>
      <w:r w:rsidR="00EB0F61" w:rsidRPr="00F22A05">
        <w:rPr>
          <w:strike/>
        </w:rPr>
        <w:t xml:space="preserve"> </w:t>
      </w:r>
      <w:r w:rsidRPr="00F22A05">
        <w:rPr>
          <w:strike/>
        </w:rPr>
        <w:t xml:space="preserve">shall be adjusted by </w:t>
      </w:r>
      <w:r w:rsidRPr="00F22A05">
        <w:rPr>
          <w:rFonts w:ascii="Symbol" w:eastAsia="Symbol" w:hAnsi="Symbol" w:cs="Symbol"/>
          <w:strike/>
        </w:rPr>
        <w:t></w:t>
      </w:r>
      <w:r w:rsidRPr="00F22A05">
        <w:rPr>
          <w:strike/>
        </w:rPr>
        <w:t>EUL</w:t>
      </w:r>
      <w:r w:rsidRPr="00F22A05">
        <w:rPr>
          <w:strike/>
          <w:vertAlign w:val="subscript"/>
        </w:rPr>
        <w:t>RO</w:t>
      </w:r>
      <w:r w:rsidRPr="00F22A05">
        <w:rPr>
          <w:strike/>
        </w:rPr>
        <w:t xml:space="preserve">, which shall be calculated as the annual range/oven energy use derived by the procedures in this section minus the annual range/oven energy use derived for the Energy Rating Reference Home in Section </w:t>
      </w:r>
      <w:r w:rsidR="004F1120" w:rsidRPr="00F22A05">
        <w:rPr>
          <w:strike/>
        </w:rPr>
        <w:t>4.2.2.7.1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/y = (kWh/y) / 293 or (</w:t>
      </w:r>
      <w:proofErr w:type="spellStart"/>
      <w:r w:rsidR="00FE3070" w:rsidRPr="00F22A05">
        <w:rPr>
          <w:strike/>
        </w:rPr>
        <w:t>Therms</w:t>
      </w:r>
      <w:proofErr w:type="spellEnd"/>
      <w:r w:rsidR="00FE3070" w:rsidRPr="00F22A05">
        <w:rPr>
          <w:strike/>
        </w:rPr>
        <w:t>/y</w:t>
      </w:r>
      <w:r w:rsidRPr="00F22A05">
        <w:rPr>
          <w:strike/>
        </w:rPr>
        <w:t xml:space="preserve">) / 10, whichever is applicable.  </w:t>
      </w:r>
    </w:p>
    <w:p w14:paraId="7E2CAB62" w14:textId="0C9D99E3" w:rsidR="008F1DC1" w:rsidRPr="00F22A05" w:rsidRDefault="008F1DC1" w:rsidP="00B571C7">
      <w:pPr>
        <w:pStyle w:val="sixaa"/>
        <w:rPr>
          <w:strike/>
        </w:rPr>
      </w:pPr>
    </w:p>
    <w:p w14:paraId="12B7B807" w14:textId="0D374AEF" w:rsidR="008F1DC1" w:rsidRPr="00F22A05" w:rsidRDefault="008F1DC1" w:rsidP="00B571C7">
      <w:pPr>
        <w:pStyle w:val="sixaa"/>
        <w:rPr>
          <w:strike/>
        </w:rPr>
      </w:pPr>
      <w:r w:rsidRPr="00F22A05">
        <w:rPr>
          <w:strike/>
        </w:rPr>
        <w:t xml:space="preserve">For range/oven energy use, </w:t>
      </w:r>
      <w:r w:rsidR="005931E9" w:rsidRPr="00F22A05">
        <w:rPr>
          <w:strike/>
        </w:rPr>
        <w:t>I</w:t>
      </w:r>
      <w:r w:rsidRPr="00F22A05">
        <w:rPr>
          <w:strike/>
        </w:rPr>
        <w:t xml:space="preserve">nternal </w:t>
      </w:r>
      <w:r w:rsidR="005931E9" w:rsidRPr="00F22A05">
        <w:rPr>
          <w:strike/>
        </w:rPr>
        <w:t>G</w:t>
      </w:r>
      <w:r w:rsidRPr="00F22A05">
        <w:rPr>
          <w:strike/>
        </w:rPr>
        <w:t xml:space="preserve">ains in the Rated Home shall be modified by </w:t>
      </w:r>
      <w:r w:rsidR="003B2616" w:rsidRPr="00F22A05">
        <w:rPr>
          <w:strike/>
        </w:rPr>
        <w:t>80 percent</w:t>
      </w:r>
      <w:r w:rsidRPr="00F22A05">
        <w:rPr>
          <w:strike/>
        </w:rPr>
        <w:t xml:space="preserve"> of the range/oven </w:t>
      </w:r>
      <w:r w:rsidRPr="00F22A05">
        <w:rPr>
          <w:rFonts w:ascii="Symbol" w:eastAsia="Symbol" w:hAnsi="Symbol" w:cs="Symbol"/>
          <w:strike/>
        </w:rPr>
        <w:t></w:t>
      </w:r>
      <w:r w:rsidR="00EB0F61" w:rsidRPr="00F22A05">
        <w:rPr>
          <w:strike/>
        </w:rPr>
        <w:t>EC</w:t>
      </w:r>
      <w:r w:rsidR="00EB0F61" w:rsidRPr="00F22A05">
        <w:rPr>
          <w:strike/>
          <w:vertAlign w:val="subscript"/>
        </w:rPr>
        <w:t>RO</w:t>
      </w:r>
      <w:r w:rsidR="00EB0F61" w:rsidRPr="00F22A05">
        <w:rPr>
          <w:strike/>
        </w:rPr>
        <w:t xml:space="preserve"> </w:t>
      </w:r>
      <w:r w:rsidRPr="00F22A05">
        <w:rPr>
          <w:strike/>
        </w:rPr>
        <w:t xml:space="preserve">converted to Btu/day as follows: </w:t>
      </w:r>
      <w:r w:rsidRPr="00F22A05">
        <w:rPr>
          <w:rFonts w:ascii="Symbol" w:eastAsia="Symbol" w:hAnsi="Symbol" w:cs="Symbol"/>
          <w:strike/>
        </w:rPr>
        <w:t></w:t>
      </w:r>
      <w:r w:rsidR="00EB0F61" w:rsidRPr="00F22A05">
        <w:rPr>
          <w:strike/>
        </w:rPr>
        <w:t>EC</w:t>
      </w:r>
      <w:r w:rsidR="00EB0F61" w:rsidRPr="00F22A05">
        <w:rPr>
          <w:strike/>
          <w:vertAlign w:val="subscript"/>
        </w:rPr>
        <w:t>RO</w:t>
      </w:r>
      <w:r w:rsidR="00EB0F61" w:rsidRPr="00F22A05">
        <w:rPr>
          <w:strike/>
        </w:rPr>
        <w:t xml:space="preserve"> </w:t>
      </w:r>
      <w:r w:rsidRPr="00F22A05">
        <w:rPr>
          <w:strike/>
        </w:rPr>
        <w:t>* 10</w:t>
      </w:r>
      <w:r w:rsidRPr="00F22A05">
        <w:rPr>
          <w:strike/>
          <w:vertAlign w:val="superscript"/>
        </w:rPr>
        <w:t>6</w:t>
      </w:r>
      <w:r w:rsidRPr="00F22A05">
        <w:rPr>
          <w:strike/>
        </w:rPr>
        <w:t xml:space="preserve"> / 365.  Of this total amount, </w:t>
      </w:r>
      <w:r w:rsidR="005931E9" w:rsidRPr="00F22A05">
        <w:rPr>
          <w:strike/>
        </w:rPr>
        <w:t>I</w:t>
      </w:r>
      <w:r w:rsidRPr="00F22A05">
        <w:rPr>
          <w:strike/>
        </w:rPr>
        <w:t xml:space="preserve">nternal </w:t>
      </w:r>
      <w:r w:rsidR="005931E9" w:rsidRPr="00F22A05">
        <w:rPr>
          <w:strike/>
        </w:rPr>
        <w:t>G</w:t>
      </w:r>
      <w:r w:rsidRPr="00F22A05">
        <w:rPr>
          <w:strike/>
        </w:rPr>
        <w:t>ains shall be apportioned as follows, depending on fuel type:</w:t>
      </w:r>
    </w:p>
    <w:p w14:paraId="2D1BADE6" w14:textId="30080176" w:rsidR="008F1DC1" w:rsidRPr="00F22A05" w:rsidRDefault="00CE114B" w:rsidP="00CE114B">
      <w:pPr>
        <w:pStyle w:val="six"/>
        <w:tabs>
          <w:tab w:val="clear" w:pos="2304"/>
        </w:tabs>
        <w:ind w:left="3060" w:hanging="270"/>
        <w:rPr>
          <w:strike/>
        </w:rPr>
      </w:pPr>
      <w:r w:rsidRPr="00F22A05">
        <w:rPr>
          <w:strike/>
        </w:rPr>
        <w:t xml:space="preserve">a) </w:t>
      </w:r>
      <w:r w:rsidR="008F1DC1" w:rsidRPr="00F22A05">
        <w:rPr>
          <w:strike/>
        </w:rPr>
        <w:t xml:space="preserve">For electric range/ovens, </w:t>
      </w:r>
      <w:r w:rsidR="003B2616" w:rsidRPr="00F22A05">
        <w:rPr>
          <w:strike/>
        </w:rPr>
        <w:t>90-percent</w:t>
      </w:r>
      <w:r w:rsidR="008F1DC1" w:rsidRPr="00F22A05">
        <w:rPr>
          <w:strike/>
        </w:rPr>
        <w:t xml:space="preserve"> sensible </w:t>
      </w:r>
      <w:r w:rsidR="005931E9" w:rsidRPr="00F22A05">
        <w:rPr>
          <w:strike/>
        </w:rPr>
        <w:t>I</w:t>
      </w:r>
      <w:r w:rsidR="008F1DC1" w:rsidRPr="00F22A05">
        <w:rPr>
          <w:strike/>
        </w:rPr>
        <w:t xml:space="preserve">nternal </w:t>
      </w:r>
      <w:r w:rsidR="005931E9" w:rsidRPr="00F22A05">
        <w:rPr>
          <w:strike/>
        </w:rPr>
        <w:t>G</w:t>
      </w:r>
      <w:r w:rsidR="008F1DC1" w:rsidRPr="00F22A05">
        <w:rPr>
          <w:strike/>
        </w:rPr>
        <w:t xml:space="preserve">ains and </w:t>
      </w:r>
      <w:r w:rsidR="003B2616" w:rsidRPr="00F22A05">
        <w:rPr>
          <w:strike/>
        </w:rPr>
        <w:t>10-percent</w:t>
      </w:r>
      <w:r w:rsidR="008F1DC1" w:rsidRPr="00F22A05">
        <w:rPr>
          <w:strike/>
        </w:rPr>
        <w:t xml:space="preserve"> latent </w:t>
      </w:r>
      <w:r w:rsidR="005931E9" w:rsidRPr="00F22A05">
        <w:rPr>
          <w:strike/>
        </w:rPr>
        <w:t>I</w:t>
      </w:r>
      <w:r w:rsidR="008F1DC1" w:rsidRPr="00F22A05">
        <w:rPr>
          <w:strike/>
        </w:rPr>
        <w:t xml:space="preserve">nternal </w:t>
      </w:r>
      <w:r w:rsidR="005931E9" w:rsidRPr="00F22A05">
        <w:rPr>
          <w:strike/>
        </w:rPr>
        <w:t>G</w:t>
      </w:r>
      <w:r w:rsidR="008F1DC1" w:rsidRPr="00F22A05">
        <w:rPr>
          <w:strike/>
        </w:rPr>
        <w:t>ains</w:t>
      </w:r>
    </w:p>
    <w:p w14:paraId="19EB23BA" w14:textId="74CF0AD4" w:rsidR="008F1DC1" w:rsidRPr="00F22A05" w:rsidRDefault="00CE114B" w:rsidP="00CE114B">
      <w:pPr>
        <w:pStyle w:val="six"/>
        <w:tabs>
          <w:tab w:val="clear" w:pos="2304"/>
        </w:tabs>
        <w:ind w:left="3060" w:hanging="270"/>
        <w:rPr>
          <w:strike/>
        </w:rPr>
      </w:pPr>
      <w:r w:rsidRPr="00F22A05">
        <w:rPr>
          <w:strike/>
        </w:rPr>
        <w:t xml:space="preserve">b) </w:t>
      </w:r>
      <w:r w:rsidR="008F1DC1" w:rsidRPr="00F22A05">
        <w:rPr>
          <w:strike/>
        </w:rPr>
        <w:t xml:space="preserve">For gas range/ovens, </w:t>
      </w:r>
      <w:r w:rsidR="003B2616" w:rsidRPr="00F22A05">
        <w:rPr>
          <w:strike/>
        </w:rPr>
        <w:t>80-percent</w:t>
      </w:r>
      <w:r w:rsidR="008F1DC1" w:rsidRPr="00F22A05">
        <w:rPr>
          <w:strike/>
        </w:rPr>
        <w:t xml:space="preserve"> sensible </w:t>
      </w:r>
      <w:r w:rsidR="005931E9" w:rsidRPr="00F22A05">
        <w:rPr>
          <w:strike/>
        </w:rPr>
        <w:t>I</w:t>
      </w:r>
      <w:r w:rsidR="008F1DC1" w:rsidRPr="00F22A05">
        <w:rPr>
          <w:strike/>
        </w:rPr>
        <w:t xml:space="preserve">nternal </w:t>
      </w:r>
      <w:r w:rsidR="005931E9" w:rsidRPr="00F22A05">
        <w:rPr>
          <w:strike/>
        </w:rPr>
        <w:t>G</w:t>
      </w:r>
      <w:r w:rsidR="008F1DC1" w:rsidRPr="00F22A05">
        <w:rPr>
          <w:strike/>
        </w:rPr>
        <w:t xml:space="preserve">ains and </w:t>
      </w:r>
      <w:r w:rsidR="003B2616" w:rsidRPr="00F22A05">
        <w:rPr>
          <w:strike/>
        </w:rPr>
        <w:t>20-percent</w:t>
      </w:r>
      <w:r w:rsidR="008F1DC1" w:rsidRPr="00F22A05">
        <w:rPr>
          <w:strike/>
        </w:rPr>
        <w:t xml:space="preserve"> latent </w:t>
      </w:r>
      <w:r w:rsidR="005931E9" w:rsidRPr="00F22A05">
        <w:rPr>
          <w:strike/>
        </w:rPr>
        <w:t>I</w:t>
      </w:r>
      <w:r w:rsidR="008F1DC1" w:rsidRPr="00F22A05">
        <w:rPr>
          <w:strike/>
        </w:rPr>
        <w:t xml:space="preserve">nternal </w:t>
      </w:r>
      <w:r w:rsidR="005931E9" w:rsidRPr="00F22A05">
        <w:rPr>
          <w:strike/>
        </w:rPr>
        <w:t>G</w:t>
      </w:r>
      <w:r w:rsidR="008F1DC1" w:rsidRPr="00F22A05">
        <w:rPr>
          <w:strike/>
        </w:rPr>
        <w:t>ains.</w:t>
      </w:r>
    </w:p>
    <w:p w14:paraId="6CC661DF" w14:textId="7A0BB18D" w:rsidR="000029D7" w:rsidRPr="00F22A05" w:rsidRDefault="000029D7" w:rsidP="007158FA">
      <w:pPr>
        <w:pStyle w:val="six"/>
        <w:tabs>
          <w:tab w:val="clear" w:pos="2304"/>
        </w:tabs>
        <w:ind w:left="0"/>
        <w:rPr>
          <w:strike/>
        </w:rPr>
      </w:pPr>
    </w:p>
    <w:p w14:paraId="11A596E9" w14:textId="7F7C1033" w:rsidR="008F1DC1" w:rsidRPr="00F22A05" w:rsidRDefault="00AB3630" w:rsidP="00B571C7">
      <w:pPr>
        <w:pStyle w:val="sixaa"/>
        <w:rPr>
          <w:strike/>
        </w:rPr>
      </w:pPr>
      <w:r w:rsidRPr="00F22A05">
        <w:rPr>
          <w:strike/>
        </w:rPr>
        <w:t>I</w:t>
      </w:r>
      <w:r w:rsidR="008F1DC1" w:rsidRPr="00F22A05">
        <w:rPr>
          <w:strike/>
        </w:rPr>
        <w:t xml:space="preserve">nternal </w:t>
      </w:r>
      <w:r w:rsidR="005931E9" w:rsidRPr="00F22A05">
        <w:rPr>
          <w:strike/>
        </w:rPr>
        <w:t>G</w:t>
      </w:r>
      <w:r w:rsidR="008F1DC1" w:rsidRPr="00F22A05">
        <w:rPr>
          <w:strike/>
        </w:rPr>
        <w:t xml:space="preserve">ains shall not be modified for range/oven equipment located outside the </w:t>
      </w:r>
      <w:r w:rsidR="00183C43" w:rsidRPr="00F22A05">
        <w:rPr>
          <w:strike/>
        </w:rPr>
        <w:t>Rated Home</w:t>
      </w:r>
      <w:r w:rsidR="008F1DC1" w:rsidRPr="00F22A05">
        <w:rPr>
          <w:strike/>
        </w:rPr>
        <w:t>.</w:t>
      </w:r>
    </w:p>
    <w:p w14:paraId="189B1588" w14:textId="77777777" w:rsidR="008F1DC1" w:rsidRPr="00F22A05" w:rsidRDefault="008F1DC1" w:rsidP="008F1DC1">
      <w:pPr>
        <w:ind w:left="1080"/>
      </w:pPr>
    </w:p>
    <w:p w14:paraId="70AD5CE4" w14:textId="085B35C3" w:rsidR="006606E8" w:rsidRPr="00F22A05" w:rsidRDefault="00C42695" w:rsidP="00B46795">
      <w:pPr>
        <w:pStyle w:val="sixa"/>
        <w:numPr>
          <w:ilvl w:val="0"/>
          <w:numId w:val="0"/>
        </w:numPr>
        <w:ind w:left="2610"/>
        <w:rPr>
          <w:b/>
        </w:rPr>
      </w:pPr>
      <w:bookmarkStart w:id="68" w:name="_Ref495405686"/>
      <w:r w:rsidRPr="00F22A05">
        <w:rPr>
          <w:b/>
        </w:rPr>
        <w:t>4.2.2.7.2.8</w:t>
      </w:r>
      <w:r w:rsidR="00A87B5A" w:rsidRPr="00F22A05">
        <w:rPr>
          <w:b/>
        </w:rPr>
        <w:t>.</w:t>
      </w:r>
      <w:r w:rsidRPr="00F22A05">
        <w:rPr>
          <w:b/>
        </w:rPr>
        <w:t xml:space="preserve">  </w:t>
      </w:r>
      <w:r w:rsidR="008F1DC1" w:rsidRPr="00F22A05">
        <w:rPr>
          <w:b/>
        </w:rPr>
        <w:t>Clothes Dryers.</w:t>
      </w:r>
      <w:r w:rsidR="008F1DC1" w:rsidRPr="00F22A05">
        <w:t xml:space="preserve">  Clothes Dryer annual energy use for the Rated Home shall be determined in accordance with Equation </w:t>
      </w:r>
      <w:r w:rsidR="00885C17" w:rsidRPr="00F22A05">
        <w:t>4.2-34</w:t>
      </w:r>
      <w:r w:rsidR="00811C8B" w:rsidRPr="00F22A05">
        <w:t xml:space="preserve"> </w:t>
      </w:r>
      <w:r w:rsidR="00E245FC" w:rsidRPr="00F22A05">
        <w:t xml:space="preserve">and shall be based on the clothes dryer located within the Rated Home. If no clothes dryer is located within the Rated Home, a clothes dryer in the nearest shared laundry room </w:t>
      </w:r>
      <w:r w:rsidR="00714145" w:rsidRPr="00F22A05">
        <w:t xml:space="preserve">on the project site </w:t>
      </w:r>
      <w:r w:rsidR="00323AD8" w:rsidRPr="00F22A05">
        <w:t>shall</w:t>
      </w:r>
      <w:r w:rsidR="00E245FC" w:rsidRPr="00F22A05">
        <w:t xml:space="preserve"> be used if available for daily use by the occupants of the Rated Home. If the shared laundry room has multiple clothes dryers, the clothes dryer with the </w:t>
      </w:r>
      <w:r w:rsidR="00F857E0" w:rsidRPr="00F22A05">
        <w:t>low</w:t>
      </w:r>
      <w:r w:rsidR="00E245FC" w:rsidRPr="00F22A05">
        <w:t xml:space="preserve">est </w:t>
      </w:r>
      <w:r w:rsidR="00EB481D" w:rsidRPr="00F22A05">
        <w:t xml:space="preserve">EF or </w:t>
      </w:r>
      <w:r w:rsidR="00E245FC" w:rsidRPr="00F22A05">
        <w:t>CEF shall be used</w:t>
      </w:r>
      <w:r w:rsidR="008F1DC1" w:rsidRPr="00F22A05">
        <w:t>.</w:t>
      </w:r>
      <w:bookmarkEnd w:id="68"/>
      <w:r w:rsidR="00A12F37" w:rsidRPr="00F22A05">
        <w:rPr>
          <w:b/>
          <w:vertAlign w:val="superscript"/>
        </w:rPr>
        <w:t xml:space="preserve"> </w:t>
      </w:r>
      <w:r w:rsidR="00D44B37" w:rsidRPr="00DC54A7">
        <w:rPr>
          <w:b/>
          <w:color w:val="0070C0"/>
          <w:vertAlign w:val="superscript"/>
        </w:rPr>
        <w:t>(1)</w:t>
      </w:r>
    </w:p>
    <w:p w14:paraId="79C47E38" w14:textId="77777777" w:rsidR="00A33F50" w:rsidRPr="00F22A05" w:rsidRDefault="00A33F50" w:rsidP="00A33F50">
      <w:pPr>
        <w:pStyle w:val="sixa"/>
        <w:numPr>
          <w:ilvl w:val="0"/>
          <w:numId w:val="0"/>
        </w:numPr>
        <w:ind w:left="2610"/>
        <w:rPr>
          <w:b/>
        </w:rPr>
      </w:pPr>
    </w:p>
    <w:p w14:paraId="05E53657" w14:textId="77777777" w:rsidR="00097E3D" w:rsidRPr="0094335D" w:rsidRDefault="0043461C" w:rsidP="003D1C47">
      <w:pPr>
        <w:tabs>
          <w:tab w:val="right" w:pos="9360"/>
        </w:tabs>
        <w:ind w:left="2610"/>
        <w:rPr>
          <w:bCs/>
        </w:rPr>
      </w:pPr>
      <w:proofErr w:type="spellStart"/>
      <w:r w:rsidRPr="0094335D">
        <w:rPr>
          <w:bCs/>
        </w:rPr>
        <w:t>CDkWh</w:t>
      </w:r>
      <w:proofErr w:type="spellEnd"/>
      <w:r w:rsidRPr="0094335D">
        <w:rPr>
          <w:bCs/>
        </w:rPr>
        <w:t>/y = (((RMC-0.</w:t>
      </w:r>
      <w:proofErr w:type="gramStart"/>
      <w:r w:rsidRPr="0094335D">
        <w:rPr>
          <w:bCs/>
        </w:rPr>
        <w:t>04)*</w:t>
      </w:r>
      <w:proofErr w:type="gramEnd"/>
      <w:r w:rsidRPr="0094335D">
        <w:rPr>
          <w:bCs/>
        </w:rPr>
        <w:t>100)/55.5)*(8.45/CEF)*ACY</w:t>
      </w:r>
      <w:r w:rsidR="004877D9" w:rsidRPr="0094335D">
        <w:rPr>
          <w:bCs/>
        </w:rPr>
        <w:tab/>
      </w:r>
    </w:p>
    <w:p w14:paraId="535CB489" w14:textId="25FC23DB" w:rsidR="004877D9" w:rsidRPr="00F22A05" w:rsidRDefault="004877D9" w:rsidP="00097E3D">
      <w:pPr>
        <w:tabs>
          <w:tab w:val="right" w:pos="9360"/>
        </w:tabs>
        <w:ind w:left="2610"/>
        <w:jc w:val="right"/>
        <w:rPr>
          <w:b/>
        </w:rPr>
      </w:pPr>
      <w:r w:rsidRPr="00F22A05">
        <w:rPr>
          <w:b/>
        </w:rPr>
        <w:t>(Eq</w:t>
      </w:r>
      <w:r w:rsidR="0041764F" w:rsidRPr="00F22A05">
        <w:rPr>
          <w:b/>
        </w:rPr>
        <w:t>uation</w:t>
      </w:r>
      <w:r w:rsidRPr="00F22A05">
        <w:rPr>
          <w:b/>
        </w:rPr>
        <w:t xml:space="preserve"> 4.2-</w:t>
      </w:r>
      <w:r w:rsidR="00FB0C85" w:rsidRPr="00F22A05">
        <w:rPr>
          <w:b/>
        </w:rPr>
        <w:t>34</w:t>
      </w:r>
      <w:r w:rsidRPr="00F22A05">
        <w:rPr>
          <w:b/>
        </w:rPr>
        <w:t>)</w:t>
      </w:r>
      <w:r w:rsidR="00A12F37" w:rsidRPr="00F22A05">
        <w:rPr>
          <w:b/>
          <w:vertAlign w:val="superscript"/>
        </w:rPr>
        <w:t xml:space="preserve"> </w:t>
      </w:r>
      <w:r w:rsidR="00D44B37" w:rsidRPr="00DC54A7">
        <w:rPr>
          <w:b/>
          <w:color w:val="0070C0"/>
          <w:vertAlign w:val="superscript"/>
        </w:rPr>
        <w:t>(1)</w:t>
      </w:r>
    </w:p>
    <w:p w14:paraId="2686C204" w14:textId="77777777" w:rsidR="008F1DC1" w:rsidRPr="00F22A05" w:rsidRDefault="008F1DC1" w:rsidP="003D1C47">
      <w:pPr>
        <w:pStyle w:val="where1"/>
        <w:ind w:left="3240"/>
      </w:pPr>
      <w:r w:rsidRPr="00F22A05">
        <w:t>where:</w:t>
      </w:r>
    </w:p>
    <w:p w14:paraId="7E00D6C7" w14:textId="77777777" w:rsidR="0043461C" w:rsidRPr="00F22A05" w:rsidRDefault="0043461C" w:rsidP="0043461C">
      <w:pPr>
        <w:ind w:left="4050" w:hanging="810"/>
      </w:pPr>
      <w:r w:rsidRPr="00F22A05">
        <w:lastRenderedPageBreak/>
        <w:t>RMC = Remaining Moisture Content = (0.97 * (</w:t>
      </w:r>
      <w:proofErr w:type="spellStart"/>
      <w:r w:rsidRPr="00F22A05">
        <w:t>CAPw</w:t>
      </w:r>
      <w:proofErr w:type="spellEnd"/>
      <w:r w:rsidRPr="00F22A05">
        <w:t xml:space="preserve"> / IMEF) – LER/312) / ((2.0104 * </w:t>
      </w:r>
      <w:proofErr w:type="spellStart"/>
      <w:r w:rsidRPr="00F22A05">
        <w:t>CAPw</w:t>
      </w:r>
      <w:proofErr w:type="spellEnd"/>
      <w:r w:rsidRPr="00F22A05">
        <w:t xml:space="preserve"> + 1.4242) * 0.455) + 0.04</w:t>
      </w:r>
    </w:p>
    <w:p w14:paraId="013C9B37" w14:textId="77777777" w:rsidR="0043461C" w:rsidRPr="00F22A05" w:rsidRDefault="0043461C" w:rsidP="0043461C">
      <w:pPr>
        <w:ind w:left="4050" w:hanging="810"/>
        <w:rPr>
          <w:u w:val="single"/>
        </w:rPr>
      </w:pPr>
      <w:r w:rsidRPr="00F22A05">
        <w:t>ACY = Annual Cycles per Year = (164+46.5*</w:t>
      </w:r>
      <w:proofErr w:type="spellStart"/>
      <w:r w:rsidRPr="00F22A05">
        <w:t>Nbr</w:t>
      </w:r>
      <w:proofErr w:type="spellEnd"/>
      <w:r w:rsidRPr="00F22A05">
        <w:t>) *</w:t>
      </w:r>
      <w:r w:rsidRPr="00F22A05">
        <w:rPr>
          <w:u w:val="single"/>
        </w:rPr>
        <w:t xml:space="preserve"> </w:t>
      </w:r>
      <w:r w:rsidRPr="00F22A05">
        <w:t>((3*2.08+1.59) / (</w:t>
      </w:r>
      <w:proofErr w:type="spellStart"/>
      <w:r w:rsidRPr="00F22A05">
        <w:t>CAPw</w:t>
      </w:r>
      <w:proofErr w:type="spellEnd"/>
      <w:r w:rsidRPr="00F22A05">
        <w:t>*2.08+1.59))</w:t>
      </w:r>
    </w:p>
    <w:p w14:paraId="1ACDC98E" w14:textId="5569432C" w:rsidR="008F1DC1" w:rsidRPr="00F22A05" w:rsidRDefault="008F1DC1" w:rsidP="003D1C47">
      <w:pPr>
        <w:pStyle w:val="equals"/>
        <w:tabs>
          <w:tab w:val="clear" w:pos="3060"/>
          <w:tab w:val="left" w:pos="4500"/>
        </w:tabs>
        <w:ind w:left="4680" w:hanging="1404"/>
      </w:pPr>
      <w:proofErr w:type="spellStart"/>
      <w:r w:rsidRPr="00F22A05">
        <w:t>Nbr</w:t>
      </w:r>
      <w:proofErr w:type="spellEnd"/>
      <w:r w:rsidRPr="00F22A05">
        <w:t xml:space="preserve"> </w:t>
      </w:r>
      <w:r w:rsidR="00924B3E" w:rsidRPr="00F22A05">
        <w:tab/>
      </w:r>
      <w:r w:rsidRPr="00F22A05">
        <w:t>= Number of Bedrooms in home</w:t>
      </w:r>
      <w:r w:rsidR="001B1D7C" w:rsidRPr="00F22A05">
        <w:t>.</w:t>
      </w:r>
    </w:p>
    <w:p w14:paraId="4C51D7CD" w14:textId="0F77FB18" w:rsidR="00924B3E" w:rsidRPr="00F22A05" w:rsidRDefault="00C72C28" w:rsidP="003D1C47">
      <w:pPr>
        <w:pStyle w:val="equals"/>
        <w:tabs>
          <w:tab w:val="clear" w:pos="3060"/>
          <w:tab w:val="left" w:pos="4500"/>
        </w:tabs>
        <w:ind w:left="4680" w:hanging="1404"/>
        <w:rPr>
          <w:u w:val="single"/>
        </w:rPr>
      </w:pPr>
      <w:r w:rsidRPr="00F22A05">
        <w:t>CEF</w:t>
      </w:r>
      <w:r w:rsidR="00924B3E" w:rsidRPr="00F22A05">
        <w:tab/>
      </w:r>
      <w:r w:rsidRPr="00F22A05">
        <w:t>=</w:t>
      </w:r>
      <w:r w:rsidRPr="00F22A05">
        <w:tab/>
        <w:t>Combined Energy Factor is the clothes dryer efficiency</w:t>
      </w:r>
      <w:r w:rsidRPr="00F22A05">
        <w:rPr>
          <w:rStyle w:val="FootnoteReference"/>
        </w:rPr>
        <w:footnoteReference w:id="14"/>
      </w:r>
      <w:r w:rsidRPr="00F22A05">
        <w:t xml:space="preserve"> (</w:t>
      </w:r>
      <w:proofErr w:type="spellStart"/>
      <w:r w:rsidRPr="00F22A05">
        <w:t>lbs</w:t>
      </w:r>
      <w:proofErr w:type="spellEnd"/>
      <w:r w:rsidRPr="00F22A05">
        <w:t xml:space="preserve"> dry clothes/kWh) based on current U.S. DOE clothes dryer testing procedures.</w:t>
      </w:r>
      <w:r w:rsidR="0043461C" w:rsidRPr="00F22A05">
        <w:t xml:space="preserve"> (default = 3.73 for electric dryers or 3.30 for gas dryers)</w:t>
      </w:r>
    </w:p>
    <w:p w14:paraId="5957C86C" w14:textId="45625B02" w:rsidR="00924B3E" w:rsidRPr="00F22A05" w:rsidRDefault="008F1DC1" w:rsidP="00097E3D">
      <w:pPr>
        <w:pStyle w:val="equals"/>
        <w:tabs>
          <w:tab w:val="clear" w:pos="3060"/>
          <w:tab w:val="left" w:pos="4500"/>
        </w:tabs>
        <w:ind w:left="4680" w:hanging="1404"/>
        <w:rPr>
          <w:strike/>
        </w:rPr>
      </w:pPr>
      <w:proofErr w:type="spellStart"/>
      <w:r w:rsidRPr="00F22A05">
        <w:t>CAPw</w:t>
      </w:r>
      <w:proofErr w:type="spellEnd"/>
      <w:r w:rsidRPr="00F22A05">
        <w:t xml:space="preserve"> </w:t>
      </w:r>
      <w:r w:rsidR="00924B3E" w:rsidRPr="00F22A05">
        <w:tab/>
      </w:r>
      <w:r w:rsidRPr="00F22A05">
        <w:t>= Capacity of clothes washer (ft</w:t>
      </w:r>
      <w:r w:rsidRPr="00F22A05">
        <w:rPr>
          <w:vertAlign w:val="superscript"/>
        </w:rPr>
        <w:t>3</w:t>
      </w:r>
      <w:r w:rsidRPr="00F22A05">
        <w:t xml:space="preserve">) from the manufacturer’s data </w:t>
      </w:r>
    </w:p>
    <w:p w14:paraId="2C79A20D" w14:textId="10F3FD8B" w:rsidR="00924B3E" w:rsidRPr="00F22A05" w:rsidRDefault="00924B3E" w:rsidP="003D1C47">
      <w:pPr>
        <w:pStyle w:val="equals"/>
        <w:tabs>
          <w:tab w:val="clear" w:pos="3060"/>
          <w:tab w:val="left" w:pos="4500"/>
        </w:tabs>
        <w:ind w:left="4680" w:hanging="1404"/>
        <w:rPr>
          <w:u w:val="single"/>
        </w:rPr>
      </w:pPr>
      <w:r w:rsidRPr="00F22A05">
        <w:t>IMEF</w:t>
      </w:r>
      <w:r w:rsidRPr="00F22A05">
        <w:tab/>
      </w:r>
      <w:r w:rsidR="00C72C28" w:rsidRPr="00F22A05">
        <w:t>= Integrated Modified Energy Factor, which has replaced MEF as the U.S. DOE Energy Factor test metric for clothes washers</w:t>
      </w:r>
      <w:r w:rsidR="004877D9" w:rsidRPr="00F22A05">
        <w:t>.</w:t>
      </w:r>
      <w:r w:rsidR="0043461C" w:rsidRPr="00F22A05">
        <w:t xml:space="preserve"> (default = 1.57 for top load clothes washers or 1.84 for front load clothes washers)</w:t>
      </w:r>
    </w:p>
    <w:p w14:paraId="68A5E570" w14:textId="5CB12778" w:rsidR="008F1DC1" w:rsidRPr="00FA69E8" w:rsidRDefault="00924B3E" w:rsidP="003D1C47">
      <w:pPr>
        <w:pStyle w:val="equals"/>
        <w:tabs>
          <w:tab w:val="clear" w:pos="3060"/>
          <w:tab w:val="left" w:pos="4500"/>
        </w:tabs>
        <w:ind w:left="4680" w:hanging="1404"/>
      </w:pPr>
      <w:r w:rsidRPr="00FA69E8">
        <w:t>LER</w:t>
      </w:r>
      <w:r w:rsidRPr="00FA69E8">
        <w:tab/>
      </w:r>
      <w:r w:rsidR="008F1DC1" w:rsidRPr="00FA69E8">
        <w:t>= Labeled Energy Rating of clothes washer (kWh/y) from the Energy Guide label</w:t>
      </w:r>
      <w:r w:rsidR="00097E3D" w:rsidRPr="00FA69E8">
        <w:t>.</w:t>
      </w:r>
    </w:p>
    <w:p w14:paraId="3F5FF266" w14:textId="77777777" w:rsidR="008F1DC1" w:rsidRPr="00FA69E8" w:rsidRDefault="008F1DC1" w:rsidP="008F1DC1">
      <w:pPr>
        <w:ind w:left="1080"/>
      </w:pPr>
    </w:p>
    <w:p w14:paraId="5EE2FE6E" w14:textId="566F7579" w:rsidR="008F1DC1" w:rsidRPr="00FA69E8" w:rsidRDefault="008F1DC1" w:rsidP="00B571C7">
      <w:pPr>
        <w:pStyle w:val="sixaa"/>
      </w:pPr>
      <w:r w:rsidRPr="00FA69E8">
        <w:t xml:space="preserve">For natural gas clothes dryers, annual energy use shall be determined in accordance with Equations </w:t>
      </w:r>
      <w:r w:rsidR="00885C17" w:rsidRPr="00FA69E8">
        <w:t>4.2-35a</w:t>
      </w:r>
      <w:r w:rsidR="00811C8B" w:rsidRPr="00FA69E8">
        <w:t xml:space="preserve"> </w:t>
      </w:r>
      <w:r w:rsidRPr="00FA69E8">
        <w:t xml:space="preserve">and </w:t>
      </w:r>
      <w:r w:rsidR="00885C17" w:rsidRPr="00FA69E8">
        <w:t>4.2-</w:t>
      </w:r>
      <w:r w:rsidR="009220AD" w:rsidRPr="00FA69E8">
        <w:t>35b</w:t>
      </w:r>
      <w:r w:rsidRPr="00FA69E8">
        <w:t>.</w:t>
      </w:r>
      <w:r w:rsidR="00A12F37" w:rsidRPr="00A12F37">
        <w:rPr>
          <w:b/>
          <w:color w:val="0070C0"/>
          <w:vertAlign w:val="superscript"/>
        </w:rPr>
        <w:t xml:space="preserve"> </w:t>
      </w:r>
      <w:r w:rsidR="00D44B37" w:rsidRPr="00DC54A7">
        <w:rPr>
          <w:b/>
          <w:color w:val="0070C0"/>
          <w:vertAlign w:val="superscript"/>
        </w:rPr>
        <w:t>(1)</w:t>
      </w:r>
    </w:p>
    <w:p w14:paraId="4547B7D3" w14:textId="77777777" w:rsidR="008F1DC1" w:rsidRPr="00FA69E8" w:rsidRDefault="008F1DC1" w:rsidP="008F1DC1">
      <w:pPr>
        <w:ind w:left="1080"/>
      </w:pPr>
    </w:p>
    <w:p w14:paraId="6B63E8C6" w14:textId="02DFB546" w:rsidR="008F1DC1" w:rsidRPr="00FA69E8" w:rsidRDefault="008F1DC1" w:rsidP="003D1C47">
      <w:pPr>
        <w:tabs>
          <w:tab w:val="right" w:pos="9360"/>
        </w:tabs>
        <w:ind w:left="2610"/>
        <w:rPr>
          <w:b/>
        </w:rPr>
      </w:pPr>
      <w:proofErr w:type="spellStart"/>
      <w:r w:rsidRPr="0094335D">
        <w:rPr>
          <w:bCs/>
        </w:rPr>
        <w:t>Therms</w:t>
      </w:r>
      <w:proofErr w:type="spellEnd"/>
      <w:r w:rsidRPr="0094335D">
        <w:rPr>
          <w:bCs/>
        </w:rPr>
        <w:t xml:space="preserve">/y = (result of </w:t>
      </w:r>
      <w:r w:rsidR="00A25E21" w:rsidRPr="0094335D">
        <w:rPr>
          <w:bCs/>
        </w:rPr>
        <w:t>Equation</w:t>
      </w:r>
      <w:r w:rsidRPr="0094335D">
        <w:rPr>
          <w:bCs/>
        </w:rPr>
        <w:t xml:space="preserve"> 4.2-</w:t>
      </w:r>
      <w:proofErr w:type="gramStart"/>
      <w:r w:rsidR="00811C8B" w:rsidRPr="0094335D">
        <w:rPr>
          <w:bCs/>
        </w:rPr>
        <w:t>31</w:t>
      </w:r>
      <w:r w:rsidRPr="0094335D">
        <w:rPr>
          <w:bCs/>
        </w:rPr>
        <w:t>)*</w:t>
      </w:r>
      <w:proofErr w:type="gramEnd"/>
      <w:r w:rsidRPr="0094335D">
        <w:rPr>
          <w:bCs/>
        </w:rPr>
        <w:t>3412*(1-0.07)</w:t>
      </w:r>
      <w:r w:rsidRPr="0094335D">
        <w:rPr>
          <w:bCs/>
        </w:rPr>
        <w:br/>
        <w:t>*(</w:t>
      </w:r>
      <w:r w:rsidR="00021AD7" w:rsidRPr="0094335D">
        <w:rPr>
          <w:bCs/>
        </w:rPr>
        <w:t>3.73/3.30</w:t>
      </w:r>
      <w:r w:rsidRPr="0094335D">
        <w:rPr>
          <w:bCs/>
        </w:rPr>
        <w:t>)/100000</w:t>
      </w:r>
      <w:r w:rsidRPr="00FA69E8">
        <w:rPr>
          <w:b/>
        </w:rPr>
        <w:tab/>
        <w:t>(</w:t>
      </w:r>
      <w:r w:rsidR="00A25E21" w:rsidRPr="00FA69E8">
        <w:rPr>
          <w:b/>
        </w:rPr>
        <w:t>Equation</w:t>
      </w:r>
      <w:r w:rsidRPr="00FA69E8">
        <w:rPr>
          <w:b/>
        </w:rPr>
        <w:t xml:space="preserve"> 4.2-</w:t>
      </w:r>
      <w:r w:rsidR="00FB0C85" w:rsidRPr="00FA69E8">
        <w:rPr>
          <w:b/>
        </w:rPr>
        <w:t>35a</w:t>
      </w:r>
      <w:r w:rsidRPr="00FA69E8">
        <w:rPr>
          <w:b/>
        </w:rPr>
        <w:t>)</w:t>
      </w:r>
      <w:r w:rsidR="00A12F37" w:rsidRPr="00A12F37">
        <w:rPr>
          <w:b/>
          <w:color w:val="0070C0"/>
          <w:vertAlign w:val="superscript"/>
        </w:rPr>
        <w:t xml:space="preserve"> </w:t>
      </w:r>
      <w:r w:rsidR="00D44B37" w:rsidRPr="00DC54A7">
        <w:rPr>
          <w:b/>
          <w:color w:val="0070C0"/>
          <w:vertAlign w:val="superscript"/>
        </w:rPr>
        <w:t>(1)</w:t>
      </w:r>
    </w:p>
    <w:p w14:paraId="08F4CE76" w14:textId="6F5AF8D2" w:rsidR="003D1C47" w:rsidRPr="0094335D" w:rsidRDefault="003D1C47" w:rsidP="003D1C47">
      <w:pPr>
        <w:tabs>
          <w:tab w:val="right" w:pos="9360"/>
        </w:tabs>
        <w:ind w:left="2610"/>
        <w:rPr>
          <w:bCs/>
        </w:rPr>
      </w:pPr>
      <w:r w:rsidRPr="0094335D">
        <w:rPr>
          <w:bCs/>
        </w:rPr>
        <w:t xml:space="preserve">kWh/y </w:t>
      </w:r>
      <w:r w:rsidR="008F1DC1" w:rsidRPr="0094335D">
        <w:rPr>
          <w:bCs/>
        </w:rPr>
        <w:t xml:space="preserve">= (result of </w:t>
      </w:r>
      <w:r w:rsidR="00A25E21" w:rsidRPr="0094335D">
        <w:rPr>
          <w:bCs/>
        </w:rPr>
        <w:t>Equation</w:t>
      </w:r>
      <w:r w:rsidR="008F1DC1" w:rsidRPr="0094335D">
        <w:rPr>
          <w:bCs/>
        </w:rPr>
        <w:t xml:space="preserve"> 4.2-</w:t>
      </w:r>
      <w:proofErr w:type="gramStart"/>
      <w:r w:rsidR="00811C8B" w:rsidRPr="0094335D">
        <w:rPr>
          <w:bCs/>
        </w:rPr>
        <w:t>31</w:t>
      </w:r>
      <w:r w:rsidR="008F1DC1" w:rsidRPr="0094335D">
        <w:rPr>
          <w:bCs/>
        </w:rPr>
        <w:t>)*</w:t>
      </w:r>
      <w:proofErr w:type="gramEnd"/>
      <w:r w:rsidR="008F1DC1" w:rsidRPr="0094335D">
        <w:rPr>
          <w:bCs/>
        </w:rPr>
        <w:t>0.07*(</w:t>
      </w:r>
      <w:r w:rsidR="00021AD7" w:rsidRPr="0094335D">
        <w:rPr>
          <w:bCs/>
        </w:rPr>
        <w:t>3.73/3.30</w:t>
      </w:r>
      <w:r w:rsidR="00ED114F" w:rsidRPr="0094335D">
        <w:rPr>
          <w:bCs/>
        </w:rPr>
        <w:t>)</w:t>
      </w:r>
      <w:r w:rsidR="008F1DC1" w:rsidRPr="0094335D">
        <w:rPr>
          <w:bCs/>
        </w:rPr>
        <w:tab/>
      </w:r>
    </w:p>
    <w:p w14:paraId="72E5ECF0" w14:textId="58D14527" w:rsidR="008F1DC1" w:rsidRPr="00F22A05" w:rsidRDefault="003D1C47" w:rsidP="003D1C47">
      <w:pPr>
        <w:tabs>
          <w:tab w:val="right" w:pos="9360"/>
        </w:tabs>
        <w:ind w:left="2610"/>
        <w:rPr>
          <w:b/>
        </w:rPr>
      </w:pPr>
      <w:r w:rsidRPr="00F22A05">
        <w:rPr>
          <w:b/>
        </w:rPr>
        <w:tab/>
      </w:r>
      <w:r w:rsidR="008F1DC1" w:rsidRPr="00F22A05">
        <w:rPr>
          <w:b/>
        </w:rPr>
        <w:t>(</w:t>
      </w:r>
      <w:r w:rsidR="00A25E21" w:rsidRPr="00F22A05">
        <w:rPr>
          <w:b/>
        </w:rPr>
        <w:t>Equation</w:t>
      </w:r>
      <w:r w:rsidR="008F1DC1" w:rsidRPr="00F22A05">
        <w:rPr>
          <w:b/>
        </w:rPr>
        <w:t xml:space="preserve"> 4.2-</w:t>
      </w:r>
      <w:r w:rsidR="00FB0C85" w:rsidRPr="00F22A05">
        <w:rPr>
          <w:b/>
        </w:rPr>
        <w:t>35b</w:t>
      </w:r>
      <w:r w:rsidR="008F1DC1" w:rsidRPr="00F22A05">
        <w:rPr>
          <w:b/>
        </w:rPr>
        <w:t>)</w:t>
      </w:r>
      <w:r w:rsidR="00A12F37" w:rsidRPr="00F22A05">
        <w:rPr>
          <w:b/>
          <w:vertAlign w:val="superscript"/>
        </w:rPr>
        <w:t xml:space="preserve"> </w:t>
      </w:r>
      <w:r w:rsidR="00D44B37" w:rsidRPr="00DC54A7">
        <w:rPr>
          <w:b/>
          <w:color w:val="0070C0"/>
          <w:vertAlign w:val="superscript"/>
        </w:rPr>
        <w:t>(1)</w:t>
      </w:r>
    </w:p>
    <w:p w14:paraId="79BF9A83" w14:textId="77777777" w:rsidR="008F1DC1" w:rsidRPr="00F22A05" w:rsidRDefault="008F1DC1" w:rsidP="008F1DC1">
      <w:pPr>
        <w:tabs>
          <w:tab w:val="right" w:pos="9360"/>
        </w:tabs>
        <w:ind w:left="990"/>
      </w:pPr>
    </w:p>
    <w:p w14:paraId="645EB401" w14:textId="73966DE8" w:rsidR="008F1DC1" w:rsidRPr="00F22A05" w:rsidRDefault="008F1DC1" w:rsidP="00B571C7">
      <w:pPr>
        <w:pStyle w:val="sixaa"/>
        <w:rPr>
          <w:strike/>
        </w:rPr>
      </w:pPr>
      <w:bookmarkStart w:id="69" w:name="OLE_LINK5"/>
      <w:bookmarkStart w:id="70" w:name="OLE_LINK6"/>
      <w:r w:rsidRPr="00F22A05">
        <w:rPr>
          <w:strike/>
        </w:rPr>
        <w:t>For the purpose of adjusting the annual clothes dryer energy consumption for calculating the</w:t>
      </w:r>
      <w:r w:rsidR="006243B8" w:rsidRPr="00F22A05">
        <w:rPr>
          <w:strike/>
        </w:rPr>
        <w:t xml:space="preserve"> Rating</w:t>
      </w:r>
      <w:r w:rsidRPr="00F22A05">
        <w:rPr>
          <w:strike/>
        </w:rPr>
        <w:t xml:space="preserve">, </w:t>
      </w:r>
      <w:r w:rsidR="00EB0F61" w:rsidRPr="00F22A05">
        <w:rPr>
          <w:strike/>
        </w:rPr>
        <w:t>EC</w:t>
      </w:r>
      <w:r w:rsidR="00EB0F61" w:rsidRPr="00F22A05">
        <w:rPr>
          <w:strike/>
          <w:vertAlign w:val="subscript"/>
        </w:rPr>
        <w:t>LA</w:t>
      </w:r>
      <w:r w:rsidR="00EB0F61" w:rsidRPr="00F22A05">
        <w:rPr>
          <w:strike/>
        </w:rPr>
        <w:t xml:space="preserve"> </w:t>
      </w:r>
      <w:r w:rsidRPr="00F22A05">
        <w:rPr>
          <w:strike/>
        </w:rPr>
        <w:t xml:space="preserve">shall be adjusted by </w:t>
      </w:r>
      <w:r w:rsidRPr="00F22A05">
        <w:rPr>
          <w:rFonts w:ascii="Symbol" w:eastAsia="Symbol" w:hAnsi="Symbol" w:cs="Symbol"/>
          <w:strike/>
        </w:rPr>
        <w:t></w:t>
      </w:r>
      <w:r w:rsidR="00EB0F61" w:rsidRPr="00F22A05">
        <w:rPr>
          <w:strike/>
        </w:rPr>
        <w:t>EC</w:t>
      </w:r>
      <w:r w:rsidR="00EB0F61" w:rsidRPr="00F22A05">
        <w:rPr>
          <w:strike/>
          <w:vertAlign w:val="subscript"/>
        </w:rPr>
        <w:t>CD</w:t>
      </w:r>
      <w:r w:rsidRPr="00F22A05">
        <w:rPr>
          <w:strike/>
        </w:rPr>
        <w:t xml:space="preserve">, which shall be calculated as the annual clothes dryer energy use derived by the procedures in this section minus the annual clothes dryer energy use derived for the Energy Rating Reference Home in Section </w:t>
      </w:r>
      <w:r w:rsidR="003B2AE4" w:rsidRPr="00F22A05">
        <w:rPr>
          <w:strike/>
        </w:rPr>
        <w:t>4.2.2.7.1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/y = (kWh/y) / 293 or (</w:t>
      </w:r>
      <w:proofErr w:type="spellStart"/>
      <w:r w:rsidR="00FE3070" w:rsidRPr="00F22A05">
        <w:rPr>
          <w:strike/>
        </w:rPr>
        <w:t>Therms</w:t>
      </w:r>
      <w:proofErr w:type="spellEnd"/>
      <w:r w:rsidR="00FE3070" w:rsidRPr="00F22A05">
        <w:rPr>
          <w:strike/>
        </w:rPr>
        <w:t>/y</w:t>
      </w:r>
      <w:r w:rsidRPr="00F22A05">
        <w:rPr>
          <w:strike/>
        </w:rPr>
        <w:t xml:space="preserve">) / 10, whichever is applicable.  </w:t>
      </w:r>
    </w:p>
    <w:p w14:paraId="202C8134" w14:textId="78EF77BD" w:rsidR="008F1DC1" w:rsidRPr="00F22A05" w:rsidRDefault="008F1DC1" w:rsidP="00B571C7">
      <w:pPr>
        <w:pStyle w:val="sixaa"/>
        <w:rPr>
          <w:strike/>
        </w:rPr>
      </w:pPr>
    </w:p>
    <w:p w14:paraId="66655E83" w14:textId="70E559FB" w:rsidR="0028213D" w:rsidRPr="00F22A05" w:rsidRDefault="0028213D" w:rsidP="00B571C7">
      <w:pPr>
        <w:pStyle w:val="sixaa"/>
        <w:rPr>
          <w:u w:val="single"/>
        </w:rPr>
      </w:pPr>
      <w:r w:rsidRPr="00F22A05">
        <w:t xml:space="preserve">When a Dwelling Unit has no in-unit clothes dryer, and no shared clothes dryers </w:t>
      </w:r>
      <w:r w:rsidR="00B94A5A" w:rsidRPr="00F22A05">
        <w:t>are available</w:t>
      </w:r>
      <w:r w:rsidRPr="00F22A05">
        <w:t xml:space="preserve"> in the building </w:t>
      </w:r>
      <w:r w:rsidR="00714145" w:rsidRPr="00F22A05">
        <w:t xml:space="preserve">or on the project site </w:t>
      </w:r>
      <w:r w:rsidRPr="00F22A05">
        <w:t xml:space="preserve">for daily use </w:t>
      </w:r>
      <w:r w:rsidR="00714145" w:rsidRPr="00F22A05">
        <w:t>by</w:t>
      </w:r>
      <w:r w:rsidRPr="00F22A05">
        <w:t xml:space="preserve"> the Rated Home occupants or they exist, but the ratio of Dwelling Units to shared clothes </w:t>
      </w:r>
      <w:r w:rsidR="00714145" w:rsidRPr="00F22A05">
        <w:t>dryers</w:t>
      </w:r>
      <w:r w:rsidRPr="00F22A05">
        <w:t xml:space="preserve"> is greater than </w:t>
      </w:r>
      <w:r w:rsidR="00B5640F" w:rsidRPr="00F22A05">
        <w:t>14</w:t>
      </w:r>
      <w:r w:rsidRPr="00F22A05">
        <w:t xml:space="preserve">, </w:t>
      </w:r>
      <w:r w:rsidR="00714145" w:rsidRPr="00F22A05">
        <w:t>the clothes dryer values from Table 4.2.2.</w:t>
      </w:r>
      <w:r w:rsidR="00714145" w:rsidRPr="00F22A05">
        <w:rPr>
          <w:strike/>
        </w:rPr>
        <w:t>5</w:t>
      </w:r>
      <w:r w:rsidR="005560B0" w:rsidRPr="00F22A05">
        <w:rPr>
          <w:u w:val="single"/>
        </w:rPr>
        <w:t>7</w:t>
      </w:r>
      <w:r w:rsidR="00714145" w:rsidRPr="00F22A05">
        <w:t>(1) shall be assumed for both the Energy Rating Reference Home and Rated Home</w:t>
      </w:r>
      <w:r w:rsidRPr="00F22A05">
        <w:t>.</w:t>
      </w:r>
      <w:r w:rsidR="00A12F37" w:rsidRPr="00F22A05">
        <w:rPr>
          <w:b/>
          <w:vertAlign w:val="superscript"/>
        </w:rPr>
        <w:t xml:space="preserve"> </w:t>
      </w:r>
      <w:r w:rsidR="00D44B37" w:rsidRPr="00DC54A7">
        <w:rPr>
          <w:b/>
          <w:color w:val="0070C0"/>
          <w:vertAlign w:val="superscript"/>
        </w:rPr>
        <w:t>(1)</w:t>
      </w:r>
    </w:p>
    <w:p w14:paraId="3B652AF4" w14:textId="016A8CD5" w:rsidR="005560B0" w:rsidRPr="00F22A05" w:rsidRDefault="005560B0" w:rsidP="00B571C7">
      <w:pPr>
        <w:pStyle w:val="sixaa"/>
        <w:rPr>
          <w:u w:val="single"/>
        </w:rPr>
      </w:pPr>
    </w:p>
    <w:p w14:paraId="6FA974A2" w14:textId="49DDF613" w:rsidR="005560B0" w:rsidRPr="00F22A05" w:rsidRDefault="005560B0" w:rsidP="00B571C7">
      <w:pPr>
        <w:pStyle w:val="sixaa"/>
      </w:pPr>
      <w:r w:rsidRPr="00F22A05">
        <w:rPr>
          <w:u w:val="single"/>
        </w:rPr>
        <w:t xml:space="preserve">Internal Gains for ventless clothes dryers shall use </w:t>
      </w:r>
      <w:proofErr w:type="spellStart"/>
      <w:r w:rsidRPr="00F22A05">
        <w:rPr>
          <w:u w:val="single"/>
        </w:rPr>
        <w:t>f</w:t>
      </w:r>
      <w:r w:rsidRPr="00F22A05">
        <w:rPr>
          <w:u w:val="single"/>
          <w:vertAlign w:val="subscript"/>
        </w:rPr>
        <w:t>internal</w:t>
      </w:r>
      <w:proofErr w:type="spellEnd"/>
      <w:r w:rsidRPr="00F22A05">
        <w:rPr>
          <w:u w:val="single"/>
        </w:rPr>
        <w:t xml:space="preserve"> = 1.0 and </w:t>
      </w:r>
      <w:proofErr w:type="spellStart"/>
      <w:r w:rsidRPr="00F22A05">
        <w:rPr>
          <w:u w:val="single"/>
        </w:rPr>
        <w:t>f</w:t>
      </w:r>
      <w:r w:rsidRPr="00F22A05">
        <w:rPr>
          <w:u w:val="single"/>
          <w:vertAlign w:val="subscript"/>
        </w:rPr>
        <w:t>sensible</w:t>
      </w:r>
      <w:proofErr w:type="spellEnd"/>
      <w:r w:rsidRPr="00F22A05">
        <w:rPr>
          <w:u w:val="single"/>
        </w:rPr>
        <w:t xml:space="preserve"> = 0.9.</w:t>
      </w:r>
    </w:p>
    <w:p w14:paraId="59E7B163" w14:textId="77777777" w:rsidR="0028213D" w:rsidRPr="00F22A05" w:rsidRDefault="0028213D" w:rsidP="00B571C7">
      <w:pPr>
        <w:pStyle w:val="sixaa"/>
        <w:rPr>
          <w:strike/>
        </w:rPr>
      </w:pPr>
    </w:p>
    <w:p w14:paraId="288D0F17" w14:textId="2103812B" w:rsidR="008F1DC1" w:rsidRPr="00F22A05" w:rsidRDefault="008F1DC1" w:rsidP="00730E0D">
      <w:pPr>
        <w:pStyle w:val="sixaa"/>
        <w:rPr>
          <w:strike/>
        </w:rPr>
      </w:pPr>
      <w:r w:rsidRPr="00F22A05">
        <w:rPr>
          <w:strike/>
        </w:rPr>
        <w:t xml:space="preserve">For clothes dryer energy use, total </w:t>
      </w:r>
      <w:r w:rsidR="000970D3" w:rsidRPr="00F22A05">
        <w:rPr>
          <w:strike/>
        </w:rPr>
        <w:t>I</w:t>
      </w:r>
      <w:r w:rsidRPr="00F22A05">
        <w:rPr>
          <w:strike/>
        </w:rPr>
        <w:t xml:space="preserve">nternal </w:t>
      </w:r>
      <w:r w:rsidR="000970D3" w:rsidRPr="00F22A05">
        <w:rPr>
          <w:strike/>
        </w:rPr>
        <w:t>G</w:t>
      </w:r>
      <w:r w:rsidRPr="00F22A05">
        <w:rPr>
          <w:strike/>
        </w:rPr>
        <w:t xml:space="preserve">ains in the Rated Home shall be modified by </w:t>
      </w:r>
      <w:r w:rsidR="003B2616" w:rsidRPr="00F22A05">
        <w:rPr>
          <w:strike/>
        </w:rPr>
        <w:t>15 percent</w:t>
      </w:r>
      <w:r w:rsidRPr="00F22A05">
        <w:rPr>
          <w:strike/>
        </w:rPr>
        <w:t xml:space="preserve"> of the clothes dryer </w:t>
      </w:r>
      <w:r w:rsidRPr="00F22A05">
        <w:rPr>
          <w:rFonts w:ascii="Symbol" w:eastAsia="Symbol" w:hAnsi="Symbol" w:cs="Symbol"/>
          <w:strike/>
        </w:rPr>
        <w:t></w:t>
      </w:r>
      <w:r w:rsidR="00B60A5A" w:rsidRPr="00F22A05">
        <w:rPr>
          <w:strike/>
        </w:rPr>
        <w:t>EC</w:t>
      </w:r>
      <w:r w:rsidR="00B60A5A" w:rsidRPr="00F22A05">
        <w:rPr>
          <w:strike/>
          <w:vertAlign w:val="subscript"/>
        </w:rPr>
        <w:t>CD</w:t>
      </w:r>
      <w:r w:rsidR="00B60A5A" w:rsidRPr="00F22A05">
        <w:rPr>
          <w:strike/>
        </w:rPr>
        <w:t xml:space="preserve"> </w:t>
      </w:r>
      <w:r w:rsidRPr="00F22A05">
        <w:rPr>
          <w:strike/>
        </w:rPr>
        <w:t xml:space="preserve">converted to Btu/day as follows: </w:t>
      </w:r>
      <w:r w:rsidRPr="00F22A05">
        <w:rPr>
          <w:rFonts w:ascii="Symbol" w:eastAsia="Symbol" w:hAnsi="Symbol" w:cs="Symbol"/>
          <w:strike/>
        </w:rPr>
        <w:t></w:t>
      </w:r>
      <w:r w:rsidR="00B60A5A" w:rsidRPr="00F22A05">
        <w:rPr>
          <w:strike/>
        </w:rPr>
        <w:t>EC</w:t>
      </w:r>
      <w:r w:rsidR="00B60A5A" w:rsidRPr="00F22A05">
        <w:rPr>
          <w:strike/>
          <w:vertAlign w:val="subscript"/>
        </w:rPr>
        <w:t>CD</w:t>
      </w:r>
      <w:r w:rsidR="00B60A5A" w:rsidRPr="00F22A05">
        <w:rPr>
          <w:strike/>
        </w:rPr>
        <w:t xml:space="preserve"> </w:t>
      </w:r>
      <w:r w:rsidRPr="00F22A05">
        <w:rPr>
          <w:strike/>
        </w:rPr>
        <w:t>* 10</w:t>
      </w:r>
      <w:r w:rsidRPr="00F22A05">
        <w:rPr>
          <w:strike/>
          <w:vertAlign w:val="superscript"/>
        </w:rPr>
        <w:t>6</w:t>
      </w:r>
      <w:r w:rsidRPr="00F22A05">
        <w:rPr>
          <w:strike/>
        </w:rPr>
        <w:t xml:space="preserve"> / 365. Of this total amount, </w:t>
      </w:r>
      <w:r w:rsidR="003B2616" w:rsidRPr="00F22A05">
        <w:rPr>
          <w:strike/>
        </w:rPr>
        <w:t>90 percent</w:t>
      </w:r>
      <w:r w:rsidRPr="00F22A05">
        <w:rPr>
          <w:strike/>
        </w:rPr>
        <w:t xml:space="preserve"> shall be apportioned to sensible </w:t>
      </w:r>
      <w:r w:rsidR="000970D3" w:rsidRPr="00F22A05">
        <w:rPr>
          <w:strike/>
        </w:rPr>
        <w:t>I</w:t>
      </w:r>
      <w:r w:rsidRPr="00F22A05">
        <w:rPr>
          <w:strike/>
        </w:rPr>
        <w:t xml:space="preserve">nternal </w:t>
      </w:r>
      <w:r w:rsidR="000970D3" w:rsidRPr="00F22A05">
        <w:rPr>
          <w:strike/>
        </w:rPr>
        <w:t>G</w:t>
      </w:r>
      <w:r w:rsidRPr="00F22A05">
        <w:rPr>
          <w:strike/>
        </w:rPr>
        <w:t xml:space="preserve">ains and </w:t>
      </w:r>
      <w:r w:rsidR="003B2616" w:rsidRPr="00F22A05">
        <w:rPr>
          <w:strike/>
        </w:rPr>
        <w:t>10 percent</w:t>
      </w:r>
      <w:r w:rsidRPr="00F22A05">
        <w:rPr>
          <w:strike/>
        </w:rPr>
        <w:t xml:space="preserve"> to latent </w:t>
      </w:r>
      <w:r w:rsidR="000970D3" w:rsidRPr="00F22A05">
        <w:rPr>
          <w:strike/>
        </w:rPr>
        <w:t>I</w:t>
      </w:r>
      <w:r w:rsidRPr="00F22A05">
        <w:rPr>
          <w:strike/>
        </w:rPr>
        <w:t xml:space="preserve">nternal </w:t>
      </w:r>
      <w:r w:rsidR="000970D3" w:rsidRPr="00F22A05">
        <w:rPr>
          <w:strike/>
        </w:rPr>
        <w:t>G</w:t>
      </w:r>
      <w:r w:rsidRPr="00F22A05">
        <w:rPr>
          <w:strike/>
        </w:rPr>
        <w:t xml:space="preserve">ains. Internal </w:t>
      </w:r>
      <w:r w:rsidR="000970D3" w:rsidRPr="00F22A05">
        <w:rPr>
          <w:strike/>
        </w:rPr>
        <w:t>G</w:t>
      </w:r>
      <w:r w:rsidRPr="00F22A05">
        <w:rPr>
          <w:strike/>
        </w:rPr>
        <w:t>ains shall not be modified for clothes dryers located in Unconditioned Space</w:t>
      </w:r>
      <w:r w:rsidR="00183C43" w:rsidRPr="00F22A05">
        <w:rPr>
          <w:strike/>
        </w:rPr>
        <w:t xml:space="preserve"> Volume</w:t>
      </w:r>
      <w:r w:rsidRPr="00F22A05">
        <w:rPr>
          <w:strike/>
        </w:rPr>
        <w:t xml:space="preserve">, </w:t>
      </w:r>
      <w:r w:rsidR="00CB5AF5" w:rsidRPr="00F22A05">
        <w:rPr>
          <w:strike/>
        </w:rPr>
        <w:t>Unrated</w:t>
      </w:r>
      <w:r w:rsidRPr="00F22A05">
        <w:rPr>
          <w:strike/>
        </w:rPr>
        <w:t xml:space="preserve"> Heated Space</w:t>
      </w:r>
      <w:r w:rsidR="00A02717" w:rsidRPr="00F22A05">
        <w:rPr>
          <w:strike/>
        </w:rPr>
        <w:t xml:space="preserve">, Unrated Conditioned </w:t>
      </w:r>
      <w:proofErr w:type="gramStart"/>
      <w:r w:rsidR="00A02717" w:rsidRPr="00F22A05">
        <w:rPr>
          <w:strike/>
        </w:rPr>
        <w:t>Space</w:t>
      </w:r>
      <w:proofErr w:type="gramEnd"/>
      <w:r w:rsidRPr="00F22A05">
        <w:rPr>
          <w:strike/>
        </w:rPr>
        <w:t xml:space="preserve"> or outdoor environment.</w:t>
      </w:r>
      <w:r w:rsidRPr="00F22A05">
        <w:rPr>
          <w:rStyle w:val="FootnoteReference"/>
          <w:strike/>
        </w:rPr>
        <w:footnoteReference w:id="15"/>
      </w:r>
    </w:p>
    <w:bookmarkEnd w:id="69"/>
    <w:bookmarkEnd w:id="70"/>
    <w:p w14:paraId="46889CF4" w14:textId="77777777" w:rsidR="008F1DC1" w:rsidRPr="00F22A05" w:rsidRDefault="008F1DC1" w:rsidP="00581A21">
      <w:pPr>
        <w:pStyle w:val="six"/>
        <w:tabs>
          <w:tab w:val="clear" w:pos="2304"/>
        </w:tabs>
        <w:ind w:left="0"/>
      </w:pPr>
    </w:p>
    <w:p w14:paraId="01FA0DF1" w14:textId="5916C571" w:rsidR="008F1DC1" w:rsidRPr="00F22A05" w:rsidRDefault="00C42695" w:rsidP="00B46795">
      <w:pPr>
        <w:pStyle w:val="sixa"/>
        <w:numPr>
          <w:ilvl w:val="0"/>
          <w:numId w:val="0"/>
        </w:numPr>
        <w:ind w:left="2610"/>
        <w:rPr>
          <w:b/>
        </w:rPr>
      </w:pPr>
      <w:bookmarkStart w:id="71" w:name="_Ref495404340"/>
      <w:r w:rsidRPr="00F22A05">
        <w:rPr>
          <w:b/>
        </w:rPr>
        <w:t>4.2.2.7.2.9</w:t>
      </w:r>
      <w:r w:rsidR="00A87B5A" w:rsidRPr="00F22A05">
        <w:rPr>
          <w:b/>
        </w:rPr>
        <w:t>.</w:t>
      </w:r>
      <w:r w:rsidRPr="00F22A05">
        <w:rPr>
          <w:b/>
        </w:rPr>
        <w:t xml:space="preserve">  </w:t>
      </w:r>
      <w:r w:rsidR="008F1DC1" w:rsidRPr="00F22A05">
        <w:rPr>
          <w:b/>
        </w:rPr>
        <w:t>Dishwashers.</w:t>
      </w:r>
      <w:r w:rsidR="008F1DC1" w:rsidRPr="00F22A05">
        <w:t xml:space="preserve">  Dishwasher annual energy use for the Rated Home shall be determined in accordance with Equation </w:t>
      </w:r>
      <w:r w:rsidR="009220AD" w:rsidRPr="00F22A05">
        <w:t>4.2-36a</w:t>
      </w:r>
      <w:r w:rsidR="00811C8B" w:rsidRPr="00F22A05">
        <w:t xml:space="preserve"> </w:t>
      </w:r>
      <w:r w:rsidR="00CD33FB" w:rsidRPr="00F22A05">
        <w:t>and shall be based on the dishwasher located within the Rated Home</w:t>
      </w:r>
      <w:r w:rsidR="00AF56F8" w:rsidRPr="00F22A05">
        <w:t xml:space="preserve">, with the </w:t>
      </w:r>
      <w:r w:rsidR="00001FC7" w:rsidRPr="00F22A05">
        <w:t>highest kWh/y</w:t>
      </w:r>
      <w:r w:rsidR="008F1DC1" w:rsidRPr="00F22A05">
        <w:t>.</w:t>
      </w:r>
      <w:r w:rsidR="00CD33FB" w:rsidRPr="00F22A05">
        <w:t xml:space="preserve"> If no dishwasher is located within t</w:t>
      </w:r>
      <w:r w:rsidR="00C3794D" w:rsidRPr="00F22A05">
        <w:t>he Rated Home, a dishwasher in the nearest</w:t>
      </w:r>
      <w:r w:rsidR="00CD33FB" w:rsidRPr="00F22A05">
        <w:t xml:space="preserve"> shared kitchen </w:t>
      </w:r>
      <w:r w:rsidR="006745BA" w:rsidRPr="00F22A05">
        <w:t xml:space="preserve">in the building </w:t>
      </w:r>
      <w:r w:rsidR="00323AD8" w:rsidRPr="00F22A05">
        <w:t>shall</w:t>
      </w:r>
      <w:r w:rsidR="00CD33FB" w:rsidRPr="00F22A05">
        <w:t xml:space="preserve"> be used </w:t>
      </w:r>
      <w:r w:rsidR="00AF56F8" w:rsidRPr="00F22A05">
        <w:t xml:space="preserve">only </w:t>
      </w:r>
      <w:r w:rsidR="00CD33FB" w:rsidRPr="00F22A05">
        <w:t xml:space="preserve">if available for daily use by the occupants </w:t>
      </w:r>
      <w:r w:rsidR="00C3794D" w:rsidRPr="00F22A05">
        <w:t xml:space="preserve">of the </w:t>
      </w:r>
      <w:r w:rsidR="00CD33FB" w:rsidRPr="00F22A05">
        <w:t>Rated Home.</w:t>
      </w:r>
      <w:bookmarkEnd w:id="71"/>
      <w:r w:rsidR="00A12F37" w:rsidRPr="00F22A05">
        <w:rPr>
          <w:b/>
          <w:vertAlign w:val="superscript"/>
        </w:rPr>
        <w:t xml:space="preserve"> </w:t>
      </w:r>
      <w:r w:rsidR="00D44B37" w:rsidRPr="00DC54A7">
        <w:rPr>
          <w:b/>
          <w:color w:val="0070C0"/>
          <w:vertAlign w:val="superscript"/>
        </w:rPr>
        <w:t>(1)</w:t>
      </w:r>
      <w:r w:rsidR="00CD33FB" w:rsidRPr="00F22A05">
        <w:t xml:space="preserve"> </w:t>
      </w:r>
    </w:p>
    <w:p w14:paraId="70F58D19" w14:textId="77777777" w:rsidR="008F1DC1" w:rsidRPr="00F22A05" w:rsidRDefault="008F1DC1" w:rsidP="008F1DC1">
      <w:pPr>
        <w:ind w:left="540"/>
      </w:pPr>
    </w:p>
    <w:p w14:paraId="1732DAEB" w14:textId="1ECE6852" w:rsidR="008F1DC1" w:rsidRPr="00F22A05" w:rsidRDefault="004E1084" w:rsidP="003D1C47">
      <w:pPr>
        <w:tabs>
          <w:tab w:val="right" w:pos="9360"/>
        </w:tabs>
        <w:ind w:left="2610"/>
        <w:rPr>
          <w:b/>
        </w:rPr>
      </w:pPr>
      <w:proofErr w:type="spellStart"/>
      <w:r w:rsidRPr="0094335D">
        <w:rPr>
          <w:bCs/>
        </w:rPr>
        <w:t>dWkWh</w:t>
      </w:r>
      <w:proofErr w:type="spellEnd"/>
      <w:r w:rsidRPr="0094335D">
        <w:rPr>
          <w:bCs/>
        </w:rPr>
        <w:t xml:space="preserve">/y = </w:t>
      </w:r>
      <w:proofErr w:type="spellStart"/>
      <w:r w:rsidRPr="0094335D">
        <w:rPr>
          <w:bCs/>
        </w:rPr>
        <w:t>dWkWh</w:t>
      </w:r>
      <w:proofErr w:type="spellEnd"/>
      <w:r w:rsidRPr="0094335D">
        <w:rPr>
          <w:bCs/>
        </w:rPr>
        <w:t>/</w:t>
      </w:r>
      <w:proofErr w:type="spellStart"/>
      <w:r w:rsidRPr="0094335D">
        <w:rPr>
          <w:bCs/>
        </w:rPr>
        <w:t>cyc</w:t>
      </w:r>
      <w:proofErr w:type="spellEnd"/>
      <w:r w:rsidRPr="0094335D">
        <w:rPr>
          <w:bCs/>
        </w:rPr>
        <w:t xml:space="preserve"> * </w:t>
      </w:r>
      <w:proofErr w:type="spellStart"/>
      <w:r w:rsidRPr="0094335D">
        <w:rPr>
          <w:bCs/>
        </w:rPr>
        <w:t>dWcpy</w:t>
      </w:r>
      <w:proofErr w:type="spellEnd"/>
      <w:r w:rsidR="008F1DC1" w:rsidRPr="00F22A05">
        <w:rPr>
          <w:b/>
        </w:rPr>
        <w:tab/>
        <w:t>(</w:t>
      </w:r>
      <w:r w:rsidR="00A25E21" w:rsidRPr="00F22A05">
        <w:rPr>
          <w:b/>
        </w:rPr>
        <w:t>Equation</w:t>
      </w:r>
      <w:r w:rsidR="008F1DC1" w:rsidRPr="00F22A05">
        <w:rPr>
          <w:b/>
        </w:rPr>
        <w:t xml:space="preserve"> 4.2-</w:t>
      </w:r>
      <w:r w:rsidR="00FB0C85" w:rsidRPr="00F22A05">
        <w:rPr>
          <w:b/>
        </w:rPr>
        <w:t>36a</w:t>
      </w:r>
      <w:r w:rsidR="008F1DC1" w:rsidRPr="00F22A05">
        <w:rPr>
          <w:b/>
        </w:rPr>
        <w:t>)</w:t>
      </w:r>
      <w:r w:rsidR="00A12F37" w:rsidRPr="00F22A05">
        <w:rPr>
          <w:b/>
          <w:vertAlign w:val="superscript"/>
        </w:rPr>
        <w:t xml:space="preserve"> </w:t>
      </w:r>
      <w:r w:rsidR="00D44B37" w:rsidRPr="00DC54A7">
        <w:rPr>
          <w:b/>
          <w:color w:val="0070C0"/>
          <w:vertAlign w:val="superscript"/>
        </w:rPr>
        <w:t>(1)</w:t>
      </w:r>
    </w:p>
    <w:p w14:paraId="150523E5" w14:textId="77777777" w:rsidR="008F1DC1" w:rsidRPr="00F22A05" w:rsidRDefault="008F1DC1" w:rsidP="008F1DC1">
      <w:pPr>
        <w:numPr>
          <w:ilvl w:val="12"/>
          <w:numId w:val="0"/>
        </w:numPr>
        <w:tabs>
          <w:tab w:val="right" w:pos="9360"/>
        </w:tabs>
        <w:ind w:left="1080"/>
      </w:pPr>
    </w:p>
    <w:p w14:paraId="013EB65A" w14:textId="77777777" w:rsidR="008F1DC1" w:rsidRPr="00F22A05" w:rsidRDefault="008F1DC1" w:rsidP="004E1084">
      <w:pPr>
        <w:pStyle w:val="where1"/>
        <w:ind w:left="2880"/>
      </w:pPr>
      <w:r w:rsidRPr="00F22A05">
        <w:t>where:</w:t>
      </w:r>
    </w:p>
    <w:p w14:paraId="61248A98" w14:textId="77777777" w:rsidR="004E1084" w:rsidRPr="00F22A05" w:rsidRDefault="004E1084" w:rsidP="004E1084">
      <w:pPr>
        <w:numPr>
          <w:ilvl w:val="12"/>
          <w:numId w:val="0"/>
        </w:numPr>
        <w:tabs>
          <w:tab w:val="right" w:pos="9360"/>
        </w:tabs>
        <w:ind w:left="4140" w:hanging="1260"/>
      </w:pPr>
      <w:proofErr w:type="spellStart"/>
      <w:r w:rsidRPr="00F22A05">
        <w:t>dWkWh</w:t>
      </w:r>
      <w:proofErr w:type="spellEnd"/>
      <w:r w:rsidRPr="00F22A05">
        <w:t xml:space="preserve">/y = dishwasher annual electric use excluding water heater energy use </w:t>
      </w:r>
    </w:p>
    <w:p w14:paraId="51E5CB99" w14:textId="77D1E777" w:rsidR="004E1084" w:rsidRPr="00F22A05" w:rsidRDefault="004E1084" w:rsidP="004E1084">
      <w:pPr>
        <w:numPr>
          <w:ilvl w:val="12"/>
          <w:numId w:val="0"/>
        </w:numPr>
        <w:tabs>
          <w:tab w:val="right" w:pos="9360"/>
        </w:tabs>
        <w:ind w:left="4320" w:hanging="1440"/>
      </w:pPr>
      <w:proofErr w:type="spellStart"/>
      <w:r w:rsidRPr="00F22A05">
        <w:t>dWkWh</w:t>
      </w:r>
      <w:proofErr w:type="spellEnd"/>
      <w:r w:rsidRPr="00F22A05">
        <w:t>/</w:t>
      </w:r>
      <w:proofErr w:type="spellStart"/>
      <w:r w:rsidRPr="00F22A05">
        <w:t>cyc</w:t>
      </w:r>
      <w:proofErr w:type="spellEnd"/>
      <w:r w:rsidRPr="00F22A05">
        <w:t xml:space="preserve"> = [(GHWC * 0.5497/ Gas$ - LER * Elec$ * 0.02504 / Elec$) / (Elec$ * 0.5497 / Gas$ - 0.02504)] / 208 </w:t>
      </w:r>
    </w:p>
    <w:p w14:paraId="77C09960" w14:textId="77777777" w:rsidR="004E1084" w:rsidRPr="00F22A05" w:rsidRDefault="004E1084" w:rsidP="004E1084">
      <w:pPr>
        <w:numPr>
          <w:ilvl w:val="12"/>
          <w:numId w:val="0"/>
        </w:numPr>
        <w:ind w:left="3420" w:right="-360"/>
      </w:pPr>
      <w:r w:rsidRPr="00F22A05">
        <w:t>GHWC = Labeled annual cost when used with a gas water heater</w:t>
      </w:r>
    </w:p>
    <w:p w14:paraId="32C8EE30" w14:textId="77777777" w:rsidR="004E1084" w:rsidRPr="00F22A05" w:rsidRDefault="004E1084" w:rsidP="004E1084">
      <w:pPr>
        <w:numPr>
          <w:ilvl w:val="12"/>
          <w:numId w:val="0"/>
        </w:numPr>
        <w:tabs>
          <w:tab w:val="right" w:pos="9360"/>
        </w:tabs>
        <w:ind w:left="3420"/>
      </w:pPr>
      <w:r w:rsidRPr="00F22A05">
        <w:t>Gas$ = Labeled price of gas in $/</w:t>
      </w:r>
      <w:proofErr w:type="spellStart"/>
      <w:r w:rsidRPr="00F22A05">
        <w:t>therm</w:t>
      </w:r>
      <w:proofErr w:type="spellEnd"/>
    </w:p>
    <w:p w14:paraId="61667A15" w14:textId="77777777" w:rsidR="004E1084" w:rsidRPr="00F22A05" w:rsidRDefault="004E1084" w:rsidP="004E1084">
      <w:pPr>
        <w:numPr>
          <w:ilvl w:val="12"/>
          <w:numId w:val="0"/>
        </w:numPr>
        <w:tabs>
          <w:tab w:val="right" w:pos="9360"/>
        </w:tabs>
        <w:ind w:left="4140" w:hanging="720"/>
      </w:pPr>
      <w:r w:rsidRPr="00F22A05">
        <w:t>LER = Labeled dishwasher Energy Rating using electric water heater in kWh/y</w:t>
      </w:r>
    </w:p>
    <w:p w14:paraId="33665EE2" w14:textId="77777777" w:rsidR="004E1084" w:rsidRPr="00F22A05" w:rsidRDefault="004E1084" w:rsidP="004E1084">
      <w:pPr>
        <w:numPr>
          <w:ilvl w:val="12"/>
          <w:numId w:val="0"/>
        </w:numPr>
        <w:tabs>
          <w:tab w:val="right" w:pos="9360"/>
        </w:tabs>
        <w:ind w:left="3420"/>
      </w:pPr>
      <w:r w:rsidRPr="00F22A05">
        <w:t>Elec$ = Labeled price of electricity in $/kWh</w:t>
      </w:r>
    </w:p>
    <w:p w14:paraId="7952C31D" w14:textId="77777777" w:rsidR="004E1084" w:rsidRPr="00F22A05" w:rsidRDefault="004E1084" w:rsidP="004E1084">
      <w:pPr>
        <w:numPr>
          <w:ilvl w:val="12"/>
          <w:numId w:val="0"/>
        </w:numPr>
        <w:tabs>
          <w:tab w:val="right" w:pos="9360"/>
        </w:tabs>
        <w:ind w:left="4320" w:hanging="900"/>
      </w:pPr>
      <w:proofErr w:type="spellStart"/>
      <w:r w:rsidRPr="00F22A05">
        <w:t>dWcpy</w:t>
      </w:r>
      <w:proofErr w:type="spellEnd"/>
      <w:r w:rsidRPr="00F22A05">
        <w:t xml:space="preserve"> = dishwasher cycles per year = (88.4 + 34.9*</w:t>
      </w:r>
      <w:proofErr w:type="spellStart"/>
      <w:proofErr w:type="gramStart"/>
      <w:r w:rsidRPr="00F22A05">
        <w:t>Nbr</w:t>
      </w:r>
      <w:proofErr w:type="spellEnd"/>
      <w:r w:rsidRPr="00F22A05">
        <w:t>)*</w:t>
      </w:r>
      <w:proofErr w:type="gramEnd"/>
      <w:r w:rsidRPr="00F22A05">
        <w:t>12/</w:t>
      </w:r>
      <w:proofErr w:type="spellStart"/>
      <w:r w:rsidRPr="00F22A05">
        <w:t>dWcap</w:t>
      </w:r>
      <w:proofErr w:type="spellEnd"/>
    </w:p>
    <w:p w14:paraId="77142685" w14:textId="77777777" w:rsidR="004E1084" w:rsidRPr="00F22A05" w:rsidRDefault="004E1084" w:rsidP="004E1084">
      <w:pPr>
        <w:numPr>
          <w:ilvl w:val="12"/>
          <w:numId w:val="0"/>
        </w:numPr>
        <w:tabs>
          <w:tab w:val="right" w:pos="9360"/>
        </w:tabs>
        <w:ind w:left="3420"/>
      </w:pPr>
      <w:proofErr w:type="spellStart"/>
      <w:r w:rsidRPr="00F22A05">
        <w:t>Nbr</w:t>
      </w:r>
      <w:proofErr w:type="spellEnd"/>
      <w:r w:rsidRPr="00F22A05">
        <w:t xml:space="preserve"> = Number of bedrooms in Rated Home</w:t>
      </w:r>
    </w:p>
    <w:p w14:paraId="5B16A73D" w14:textId="77777777" w:rsidR="004E1084" w:rsidRPr="00F22A05" w:rsidRDefault="004E1084" w:rsidP="004E1084">
      <w:pPr>
        <w:numPr>
          <w:ilvl w:val="12"/>
          <w:numId w:val="0"/>
        </w:numPr>
        <w:tabs>
          <w:tab w:val="right" w:pos="9360"/>
        </w:tabs>
        <w:ind w:left="4410" w:hanging="990"/>
      </w:pPr>
      <w:proofErr w:type="spellStart"/>
      <w:r w:rsidRPr="00F22A05">
        <w:t>dWcap</w:t>
      </w:r>
      <w:proofErr w:type="spellEnd"/>
      <w:r w:rsidRPr="00F22A05">
        <w:t xml:space="preserve"> = Dishwasher capacity where Standard = 12 and Compact = 8</w:t>
      </w:r>
    </w:p>
    <w:p w14:paraId="1BA45402" w14:textId="77777777" w:rsidR="008F1DC1" w:rsidRPr="00F22A05" w:rsidRDefault="008F1DC1" w:rsidP="004E1084">
      <w:pPr>
        <w:numPr>
          <w:ilvl w:val="12"/>
          <w:numId w:val="0"/>
        </w:numPr>
        <w:tabs>
          <w:tab w:val="right" w:pos="9360"/>
        </w:tabs>
        <w:ind w:left="540"/>
      </w:pPr>
    </w:p>
    <w:p w14:paraId="0A37A10E" w14:textId="55A45B73" w:rsidR="008F1DC1" w:rsidRPr="00F22A05" w:rsidRDefault="008F1DC1" w:rsidP="00D44B37">
      <w:pPr>
        <w:pStyle w:val="sixaa"/>
        <w:ind w:right="-270"/>
        <w:rPr>
          <w:strike/>
        </w:rPr>
      </w:pPr>
      <w:r w:rsidRPr="00F22A05">
        <w:rPr>
          <w:strike/>
        </w:rPr>
        <w:t xml:space="preserve">And the change (Δ) in daily hot water use (GPD – gallons per day) for dishwashers shall be calculated in accordance with Equation </w:t>
      </w:r>
      <w:r w:rsidR="009220AD" w:rsidRPr="00F22A05">
        <w:rPr>
          <w:strike/>
        </w:rPr>
        <w:t>4.2-36b</w:t>
      </w:r>
      <w:r w:rsidRPr="00F22A05">
        <w:rPr>
          <w:strike/>
        </w:rPr>
        <w:t>.</w:t>
      </w:r>
      <w:r w:rsidR="00A12F37" w:rsidRPr="00F22A05">
        <w:rPr>
          <w:b/>
          <w:vertAlign w:val="superscript"/>
        </w:rPr>
        <w:t xml:space="preserve"> </w:t>
      </w:r>
      <w:r w:rsidR="00D44B37" w:rsidRPr="00DC54A7">
        <w:rPr>
          <w:b/>
          <w:color w:val="0070C0"/>
          <w:vertAlign w:val="superscript"/>
        </w:rPr>
        <w:t>(1)</w:t>
      </w:r>
    </w:p>
    <w:p w14:paraId="132A3EC6" w14:textId="4DD6CDE9" w:rsidR="008F1DC1" w:rsidRPr="00F22A05" w:rsidRDefault="008F1DC1" w:rsidP="008F1DC1">
      <w:pPr>
        <w:numPr>
          <w:ilvl w:val="12"/>
          <w:numId w:val="0"/>
        </w:numPr>
        <w:tabs>
          <w:tab w:val="right" w:pos="9360"/>
        </w:tabs>
        <w:ind w:left="1080"/>
        <w:rPr>
          <w:b/>
          <w:strike/>
        </w:rPr>
      </w:pPr>
    </w:p>
    <w:p w14:paraId="463C0E37" w14:textId="162A2603" w:rsidR="008F1DC1" w:rsidRPr="00F22A05" w:rsidRDefault="006C76EB" w:rsidP="003D1C47">
      <w:pPr>
        <w:tabs>
          <w:tab w:val="right" w:pos="9360"/>
        </w:tabs>
        <w:ind w:left="2610"/>
        <w:rPr>
          <w:b/>
          <w:strike/>
        </w:rPr>
      </w:pPr>
      <w:r w:rsidRPr="0094335D">
        <w:rPr>
          <w:bCs/>
          <w:strike/>
        </w:rPr>
        <w:t>ΔGPD</w:t>
      </w:r>
      <w:r w:rsidRPr="0094335D">
        <w:rPr>
          <w:bCs/>
          <w:strike/>
          <w:vertAlign w:val="subscript"/>
        </w:rPr>
        <w:t>DW</w:t>
      </w:r>
      <w:r w:rsidRPr="0094335D">
        <w:rPr>
          <w:bCs/>
          <w:strike/>
        </w:rPr>
        <w:t xml:space="preserve"> = </w:t>
      </w:r>
      <w:proofErr w:type="spellStart"/>
      <w:r w:rsidRPr="0094335D">
        <w:rPr>
          <w:bCs/>
          <w:strike/>
        </w:rPr>
        <w:t>refDWgpd</w:t>
      </w:r>
      <w:proofErr w:type="spellEnd"/>
      <w:r w:rsidRPr="0094335D">
        <w:rPr>
          <w:bCs/>
          <w:strike/>
        </w:rPr>
        <w:t xml:space="preserve"> - </w:t>
      </w:r>
      <w:proofErr w:type="spellStart"/>
      <w:r w:rsidRPr="0094335D">
        <w:rPr>
          <w:bCs/>
          <w:strike/>
        </w:rPr>
        <w:t>rateDWgpd</w:t>
      </w:r>
      <w:proofErr w:type="spellEnd"/>
      <w:r w:rsidR="008F1DC1" w:rsidRPr="00F22A05">
        <w:rPr>
          <w:b/>
          <w:strike/>
        </w:rPr>
        <w:tab/>
        <w:t>(</w:t>
      </w:r>
      <w:r w:rsidR="00A25E21" w:rsidRPr="00F22A05">
        <w:rPr>
          <w:b/>
          <w:strike/>
        </w:rPr>
        <w:t>Equation</w:t>
      </w:r>
      <w:r w:rsidR="008F1DC1" w:rsidRPr="00F22A05">
        <w:rPr>
          <w:b/>
          <w:strike/>
        </w:rPr>
        <w:t xml:space="preserve"> 4.2-</w:t>
      </w:r>
      <w:r w:rsidR="00FB0C85" w:rsidRPr="00F22A05">
        <w:rPr>
          <w:b/>
          <w:strike/>
        </w:rPr>
        <w:t>36b</w:t>
      </w:r>
      <w:r w:rsidR="008F1DC1" w:rsidRPr="00F22A05">
        <w:rPr>
          <w:b/>
          <w:strike/>
        </w:rPr>
        <w:t>)</w:t>
      </w:r>
      <w:r w:rsidR="00D44B37" w:rsidRPr="00D44B37">
        <w:rPr>
          <w:b/>
          <w:color w:val="0070C0"/>
          <w:vertAlign w:val="superscript"/>
        </w:rPr>
        <w:t xml:space="preserve"> </w:t>
      </w:r>
      <w:r w:rsidR="00D44B37" w:rsidRPr="00DC54A7">
        <w:rPr>
          <w:b/>
          <w:color w:val="0070C0"/>
          <w:vertAlign w:val="superscript"/>
        </w:rPr>
        <w:t>(1)</w:t>
      </w:r>
    </w:p>
    <w:p w14:paraId="2C9DB28B" w14:textId="2B21F470" w:rsidR="006C76EB" w:rsidRPr="00F22A05" w:rsidRDefault="006C76EB" w:rsidP="006C76EB">
      <w:pPr>
        <w:numPr>
          <w:ilvl w:val="12"/>
          <w:numId w:val="0"/>
        </w:numPr>
        <w:tabs>
          <w:tab w:val="right" w:pos="9360"/>
        </w:tabs>
        <w:ind w:left="2880"/>
        <w:rPr>
          <w:strike/>
        </w:rPr>
      </w:pPr>
      <w:r w:rsidRPr="00F22A05">
        <w:rPr>
          <w:strike/>
        </w:rPr>
        <w:t>where:</w:t>
      </w:r>
    </w:p>
    <w:p w14:paraId="38D753B1" w14:textId="51C6C85E" w:rsidR="006C76EB" w:rsidRPr="00F22A05" w:rsidRDefault="006C76EB" w:rsidP="006C76EB">
      <w:pPr>
        <w:numPr>
          <w:ilvl w:val="12"/>
          <w:numId w:val="0"/>
        </w:numPr>
        <w:tabs>
          <w:tab w:val="right" w:pos="9360"/>
        </w:tabs>
        <w:ind w:left="2610" w:firstLine="540"/>
        <w:rPr>
          <w:i/>
          <w:strike/>
        </w:rPr>
      </w:pPr>
      <w:proofErr w:type="spellStart"/>
      <w:r w:rsidRPr="00F22A05">
        <w:rPr>
          <w:strike/>
        </w:rPr>
        <w:lastRenderedPageBreak/>
        <w:t>refDWgpd</w:t>
      </w:r>
      <w:proofErr w:type="spellEnd"/>
      <w:r w:rsidRPr="00F22A05">
        <w:rPr>
          <w:strike/>
        </w:rPr>
        <w:t xml:space="preserve"> = [(88.4+34.9*</w:t>
      </w:r>
      <w:proofErr w:type="spellStart"/>
      <w:proofErr w:type="gramStart"/>
      <w:r w:rsidRPr="00F22A05">
        <w:rPr>
          <w:strike/>
        </w:rPr>
        <w:t>Nbr</w:t>
      </w:r>
      <w:proofErr w:type="spellEnd"/>
      <w:r w:rsidRPr="00F22A05">
        <w:rPr>
          <w:strike/>
        </w:rPr>
        <w:t>)*</w:t>
      </w:r>
      <w:proofErr w:type="gramEnd"/>
      <w:r w:rsidRPr="00F22A05">
        <w:rPr>
          <w:strike/>
        </w:rPr>
        <w:t>8.16] / 365</w:t>
      </w:r>
    </w:p>
    <w:p w14:paraId="37B274EF" w14:textId="21A97CAA" w:rsidR="006C76EB" w:rsidRPr="00F22A05" w:rsidRDefault="006C76EB" w:rsidP="006C76EB">
      <w:pPr>
        <w:numPr>
          <w:ilvl w:val="12"/>
          <w:numId w:val="0"/>
        </w:numPr>
        <w:tabs>
          <w:tab w:val="right" w:pos="9360"/>
        </w:tabs>
        <w:ind w:left="2610" w:firstLine="540"/>
        <w:rPr>
          <w:i/>
          <w:strike/>
        </w:rPr>
      </w:pPr>
      <w:proofErr w:type="spellStart"/>
      <w:r w:rsidRPr="00F22A05">
        <w:rPr>
          <w:strike/>
        </w:rPr>
        <w:t>rateDWgpd</w:t>
      </w:r>
      <w:proofErr w:type="spellEnd"/>
      <w:r w:rsidRPr="00F22A05">
        <w:rPr>
          <w:strike/>
        </w:rPr>
        <w:t xml:space="preserve"> = (LER - kWh/</w:t>
      </w:r>
      <w:proofErr w:type="spellStart"/>
      <w:r w:rsidRPr="00F22A05">
        <w:rPr>
          <w:strike/>
        </w:rPr>
        <w:t>cyc</w:t>
      </w:r>
      <w:proofErr w:type="spellEnd"/>
      <w:r w:rsidRPr="00F22A05">
        <w:rPr>
          <w:strike/>
        </w:rPr>
        <w:t xml:space="preserve">*208) * 0.02504 * </w:t>
      </w:r>
      <w:proofErr w:type="spellStart"/>
      <w:r w:rsidRPr="00F22A05">
        <w:rPr>
          <w:strike/>
        </w:rPr>
        <w:t>dWcpy</w:t>
      </w:r>
      <w:proofErr w:type="spellEnd"/>
      <w:r w:rsidRPr="00F22A05">
        <w:rPr>
          <w:strike/>
        </w:rPr>
        <w:t xml:space="preserve"> / 365</w:t>
      </w:r>
    </w:p>
    <w:p w14:paraId="543CC12D" w14:textId="566BAC91" w:rsidR="006C76EB" w:rsidRPr="00F22A05" w:rsidRDefault="006C76EB" w:rsidP="006C76EB">
      <w:pPr>
        <w:spacing w:before="120"/>
        <w:ind w:left="2610"/>
      </w:pPr>
      <w:r w:rsidRPr="00F22A05">
        <w:t>For dishwashers where an Energy Guide label is not available, dishwasher inputs from Table 4.2.2.</w:t>
      </w:r>
      <w:r w:rsidR="00463446" w:rsidRPr="00F22A05">
        <w:t>6.</w:t>
      </w:r>
      <w:r w:rsidR="00D518F5" w:rsidRPr="00F22A05">
        <w:t>2.</w:t>
      </w:r>
      <w:r w:rsidR="00463446" w:rsidRPr="00F22A05">
        <w:t>9</w:t>
      </w:r>
      <w:r w:rsidRPr="00F22A05">
        <w:t xml:space="preserve"> shall be used.</w:t>
      </w:r>
    </w:p>
    <w:p w14:paraId="1893163F" w14:textId="77777777" w:rsidR="004B1D9F" w:rsidRPr="00F22A05" w:rsidRDefault="004B1D9F" w:rsidP="006C76EB">
      <w:pPr>
        <w:spacing w:before="120"/>
        <w:ind w:left="2610"/>
      </w:pPr>
    </w:p>
    <w:p w14:paraId="39CBB8B6" w14:textId="4633FDDB" w:rsidR="006C76EB" w:rsidRPr="00F22A05" w:rsidRDefault="006C76EB" w:rsidP="006C76EB">
      <w:pPr>
        <w:spacing w:before="120"/>
        <w:ind w:left="1080"/>
        <w:jc w:val="center"/>
        <w:rPr>
          <w:b/>
        </w:rPr>
      </w:pPr>
      <w:r w:rsidRPr="00F22A05">
        <w:rPr>
          <w:b/>
        </w:rPr>
        <w:t>Table 4.2.2.</w:t>
      </w:r>
      <w:r w:rsidR="00463446" w:rsidRPr="00F22A05">
        <w:rPr>
          <w:b/>
        </w:rPr>
        <w:t>6.</w:t>
      </w:r>
      <w:r w:rsidR="00D518F5" w:rsidRPr="00F22A05">
        <w:rPr>
          <w:b/>
        </w:rPr>
        <w:t>2.</w:t>
      </w:r>
      <w:r w:rsidR="00463446" w:rsidRPr="00F22A05">
        <w:rPr>
          <w:b/>
        </w:rPr>
        <w:t>9</w:t>
      </w:r>
      <w:r w:rsidRPr="00F22A05">
        <w:rPr>
          <w:b/>
        </w:rPr>
        <w:t xml:space="preserve">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F22A05" w:rsidRPr="00F22A05" w14:paraId="7947B06B" w14:textId="77777777" w:rsidTr="00594E1B">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5779DE08" w14:textId="77777777" w:rsidR="006C76EB" w:rsidRPr="00F22A05" w:rsidRDefault="006C76EB" w:rsidP="00594E1B">
            <w:pPr>
              <w:jc w:val="center"/>
              <w:rPr>
                <w:bCs/>
                <w:sz w:val="22"/>
                <w:szCs w:val="22"/>
              </w:rPr>
            </w:pPr>
            <w:r w:rsidRPr="00F22A05">
              <w:rPr>
                <w:bCs/>
                <w:sz w:val="22"/>
                <w:szCs w:val="22"/>
              </w:rPr>
              <w:t>Default Dishwasher Energy Guide Label Data</w:t>
            </w:r>
          </w:p>
        </w:tc>
      </w:tr>
      <w:tr w:rsidR="00F22A05" w:rsidRPr="00F22A05" w14:paraId="07BCE9F0" w14:textId="77777777" w:rsidTr="00594E1B">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7FF11" w14:textId="77777777" w:rsidR="006C76EB" w:rsidRPr="00F22A05" w:rsidRDefault="006C76EB" w:rsidP="00594E1B">
            <w:pPr>
              <w:rPr>
                <w:sz w:val="22"/>
                <w:szCs w:val="22"/>
              </w:rPr>
            </w:pPr>
            <w:r w:rsidRPr="00F22A05">
              <w:rPr>
                <w:sz w:val="22"/>
                <w:szCs w:val="22"/>
              </w:rPr>
              <w:t xml:space="preserve">Energy Guide </w:t>
            </w:r>
            <w:r w:rsidRPr="00F22A05">
              <w:rPr>
                <w:sz w:val="22"/>
                <w:szCs w:val="22"/>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1154E" w14:textId="77777777" w:rsidR="006C76EB" w:rsidRPr="00F22A05" w:rsidRDefault="006C76EB" w:rsidP="00594E1B">
            <w:pPr>
              <w:jc w:val="center"/>
              <w:rPr>
                <w:sz w:val="22"/>
                <w:szCs w:val="22"/>
              </w:rPr>
            </w:pPr>
            <w:r w:rsidRPr="00F22A05">
              <w:rPr>
                <w:sz w:val="22"/>
                <w:szCs w:val="22"/>
              </w:rPr>
              <w:t>ENERGY STAR</w:t>
            </w:r>
            <w:r w:rsidRPr="00F22A05">
              <w:rPr>
                <w:sz w:val="22"/>
                <w:szCs w:val="22"/>
              </w:rPr>
              <w:br/>
              <w:t>Defaults</w:t>
            </w:r>
          </w:p>
        </w:tc>
        <w:tc>
          <w:tcPr>
            <w:tcW w:w="1071" w:type="dxa"/>
            <w:tcBorders>
              <w:top w:val="nil"/>
              <w:left w:val="nil"/>
              <w:bottom w:val="nil"/>
              <w:right w:val="nil"/>
            </w:tcBorders>
            <w:shd w:val="clear" w:color="auto" w:fill="auto"/>
            <w:noWrap/>
            <w:vAlign w:val="center"/>
            <w:hideMark/>
          </w:tcPr>
          <w:p w14:paraId="196B1AEB" w14:textId="77777777" w:rsidR="006C76EB" w:rsidRPr="00F22A05" w:rsidRDefault="006C76EB" w:rsidP="00594E1B">
            <w:pPr>
              <w:jc w:val="center"/>
              <w:rPr>
                <w:sz w:val="22"/>
                <w:szCs w:val="22"/>
              </w:rPr>
            </w:pPr>
            <w:r w:rsidRPr="00F22A05">
              <w:rPr>
                <w:sz w:val="22"/>
                <w:szCs w:val="22"/>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3CF46B15" w14:textId="0ECFBD43" w:rsidR="006C76EB" w:rsidRPr="00F22A05" w:rsidRDefault="00A869C8" w:rsidP="00594E1B">
            <w:pPr>
              <w:jc w:val="center"/>
              <w:rPr>
                <w:sz w:val="22"/>
                <w:szCs w:val="22"/>
              </w:rPr>
            </w:pPr>
            <w:r w:rsidRPr="00F22A05">
              <w:rPr>
                <w:sz w:val="22"/>
                <w:szCs w:val="22"/>
              </w:rPr>
              <w:t>ERI</w:t>
            </w:r>
          </w:p>
        </w:tc>
      </w:tr>
      <w:tr w:rsidR="00F22A05" w:rsidRPr="00F22A05" w14:paraId="09D0DA92" w14:textId="77777777" w:rsidTr="00594E1B">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5673F7A" w14:textId="77777777" w:rsidR="006C76EB" w:rsidRPr="00F22A05" w:rsidRDefault="006C76EB" w:rsidP="00594E1B">
            <w:pPr>
              <w:jc w:val="right"/>
              <w:rPr>
                <w:sz w:val="22"/>
                <w:szCs w:val="22"/>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14FB1A5E" w14:textId="77777777" w:rsidR="006C76EB" w:rsidRPr="00F22A05" w:rsidRDefault="006C76EB" w:rsidP="00594E1B">
            <w:pPr>
              <w:jc w:val="center"/>
              <w:rPr>
                <w:sz w:val="22"/>
                <w:szCs w:val="22"/>
              </w:rPr>
            </w:pPr>
          </w:p>
        </w:tc>
        <w:tc>
          <w:tcPr>
            <w:tcW w:w="1071" w:type="dxa"/>
            <w:tcBorders>
              <w:top w:val="nil"/>
              <w:left w:val="nil"/>
              <w:bottom w:val="single" w:sz="8" w:space="0" w:color="auto"/>
              <w:right w:val="nil"/>
            </w:tcBorders>
            <w:shd w:val="clear" w:color="auto" w:fill="auto"/>
            <w:noWrap/>
            <w:vAlign w:val="center"/>
            <w:hideMark/>
          </w:tcPr>
          <w:p w14:paraId="002F431F" w14:textId="77777777" w:rsidR="006C76EB" w:rsidRPr="00F22A05" w:rsidRDefault="006C76EB" w:rsidP="00594E1B">
            <w:pPr>
              <w:jc w:val="center"/>
              <w:rPr>
                <w:sz w:val="22"/>
                <w:szCs w:val="22"/>
              </w:rPr>
            </w:pPr>
            <w:r w:rsidRPr="00F22A05">
              <w:rPr>
                <w:sz w:val="22"/>
                <w:szCs w:val="22"/>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302EADDE" w14:textId="77777777" w:rsidR="006C76EB" w:rsidRPr="00F22A05" w:rsidRDefault="006C76EB" w:rsidP="00594E1B">
            <w:pPr>
              <w:jc w:val="center"/>
              <w:rPr>
                <w:sz w:val="22"/>
                <w:szCs w:val="22"/>
              </w:rPr>
            </w:pPr>
            <w:r w:rsidRPr="00F22A05">
              <w:rPr>
                <w:sz w:val="22"/>
                <w:szCs w:val="22"/>
              </w:rPr>
              <w:t>Reference</w:t>
            </w:r>
          </w:p>
        </w:tc>
      </w:tr>
      <w:tr w:rsidR="00F22A05" w:rsidRPr="00F22A05" w14:paraId="51AA35DE"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C5DC864" w14:textId="77777777" w:rsidR="006C76EB" w:rsidRPr="00F22A05" w:rsidRDefault="006C76EB" w:rsidP="00594E1B">
            <w:pPr>
              <w:jc w:val="right"/>
              <w:rPr>
                <w:sz w:val="22"/>
                <w:szCs w:val="22"/>
              </w:rPr>
            </w:pPr>
            <w:r w:rsidRPr="00F22A05">
              <w:rPr>
                <w:sz w:val="22"/>
                <w:szCs w:val="22"/>
              </w:rPr>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24DD6465" w14:textId="77777777" w:rsidR="006C76EB" w:rsidRPr="00F22A05" w:rsidRDefault="006C76EB" w:rsidP="00594E1B">
            <w:pPr>
              <w:jc w:val="center"/>
              <w:rPr>
                <w:sz w:val="22"/>
                <w:szCs w:val="22"/>
              </w:rPr>
            </w:pPr>
            <w:r w:rsidRPr="00F22A05">
              <w:rPr>
                <w:sz w:val="22"/>
                <w:szCs w:val="22"/>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5C6135C8" w14:textId="77777777" w:rsidR="006C76EB" w:rsidRPr="00F22A05" w:rsidRDefault="006C76EB" w:rsidP="00594E1B">
            <w:pPr>
              <w:jc w:val="center"/>
              <w:rPr>
                <w:sz w:val="22"/>
                <w:szCs w:val="22"/>
              </w:rPr>
            </w:pPr>
            <w:r w:rsidRPr="00F22A05">
              <w:rPr>
                <w:sz w:val="22"/>
                <w:szCs w:val="22"/>
              </w:rPr>
              <w:t>standard</w:t>
            </w:r>
          </w:p>
        </w:tc>
        <w:tc>
          <w:tcPr>
            <w:tcW w:w="1071" w:type="dxa"/>
            <w:tcBorders>
              <w:top w:val="nil"/>
              <w:left w:val="nil"/>
              <w:bottom w:val="nil"/>
              <w:right w:val="nil"/>
            </w:tcBorders>
            <w:shd w:val="clear" w:color="auto" w:fill="auto"/>
            <w:noWrap/>
            <w:vAlign w:val="center"/>
            <w:hideMark/>
          </w:tcPr>
          <w:p w14:paraId="18591140" w14:textId="77777777" w:rsidR="006C76EB" w:rsidRPr="00F22A05" w:rsidRDefault="006C76EB" w:rsidP="00594E1B">
            <w:pPr>
              <w:jc w:val="center"/>
              <w:rPr>
                <w:sz w:val="22"/>
                <w:szCs w:val="22"/>
              </w:rPr>
            </w:pPr>
            <w:r w:rsidRPr="00F22A05">
              <w:rPr>
                <w:sz w:val="22"/>
                <w:szCs w:val="22"/>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2BF784B1" w14:textId="77777777" w:rsidR="006C76EB" w:rsidRPr="00F22A05" w:rsidRDefault="006C76EB" w:rsidP="00594E1B">
            <w:pPr>
              <w:jc w:val="center"/>
              <w:rPr>
                <w:sz w:val="22"/>
                <w:szCs w:val="22"/>
              </w:rPr>
            </w:pPr>
            <w:r w:rsidRPr="00F22A05">
              <w:rPr>
                <w:sz w:val="22"/>
                <w:szCs w:val="22"/>
              </w:rPr>
              <w:t>standard</w:t>
            </w:r>
          </w:p>
        </w:tc>
      </w:tr>
      <w:tr w:rsidR="00F22A05" w:rsidRPr="00F22A05" w14:paraId="33C7415D"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9E16F00" w14:textId="77777777" w:rsidR="006C76EB" w:rsidRPr="00F22A05" w:rsidRDefault="006C76EB" w:rsidP="00594E1B">
            <w:pPr>
              <w:jc w:val="right"/>
              <w:rPr>
                <w:sz w:val="22"/>
                <w:szCs w:val="22"/>
              </w:rPr>
            </w:pPr>
            <w:r w:rsidRPr="00F22A05">
              <w:rPr>
                <w:sz w:val="22"/>
                <w:szCs w:val="22"/>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286C1550" w14:textId="77777777" w:rsidR="006C76EB" w:rsidRPr="00F22A05" w:rsidRDefault="006C76EB" w:rsidP="00594E1B">
            <w:pPr>
              <w:jc w:val="center"/>
              <w:rPr>
                <w:sz w:val="22"/>
                <w:szCs w:val="22"/>
              </w:rPr>
            </w:pPr>
            <w:r w:rsidRPr="00F22A05">
              <w:rPr>
                <w:sz w:val="22"/>
                <w:szCs w:val="22"/>
              </w:rPr>
              <w:t>203</w:t>
            </w:r>
          </w:p>
        </w:tc>
        <w:tc>
          <w:tcPr>
            <w:tcW w:w="910" w:type="dxa"/>
            <w:tcBorders>
              <w:top w:val="nil"/>
              <w:left w:val="single" w:sz="4" w:space="0" w:color="auto"/>
              <w:bottom w:val="nil"/>
              <w:right w:val="single" w:sz="8" w:space="0" w:color="auto"/>
            </w:tcBorders>
            <w:shd w:val="clear" w:color="auto" w:fill="auto"/>
            <w:noWrap/>
            <w:vAlign w:val="center"/>
            <w:hideMark/>
          </w:tcPr>
          <w:p w14:paraId="557A6E62" w14:textId="77777777" w:rsidR="006C76EB" w:rsidRPr="00F22A05" w:rsidRDefault="006C76EB" w:rsidP="00594E1B">
            <w:pPr>
              <w:jc w:val="center"/>
              <w:rPr>
                <w:sz w:val="22"/>
                <w:szCs w:val="22"/>
              </w:rPr>
            </w:pPr>
            <w:r w:rsidRPr="00F22A05">
              <w:rPr>
                <w:sz w:val="22"/>
                <w:szCs w:val="22"/>
              </w:rPr>
              <w:t>270</w:t>
            </w:r>
          </w:p>
        </w:tc>
        <w:tc>
          <w:tcPr>
            <w:tcW w:w="1071" w:type="dxa"/>
            <w:tcBorders>
              <w:top w:val="nil"/>
              <w:left w:val="nil"/>
              <w:bottom w:val="nil"/>
              <w:right w:val="nil"/>
            </w:tcBorders>
            <w:shd w:val="clear" w:color="auto" w:fill="auto"/>
            <w:noWrap/>
            <w:vAlign w:val="center"/>
            <w:hideMark/>
          </w:tcPr>
          <w:p w14:paraId="54E99B03" w14:textId="77777777" w:rsidR="006C76EB" w:rsidRPr="00F22A05" w:rsidRDefault="006C76EB" w:rsidP="00594E1B">
            <w:pPr>
              <w:jc w:val="center"/>
              <w:rPr>
                <w:sz w:val="22"/>
                <w:szCs w:val="22"/>
              </w:rPr>
            </w:pPr>
            <w:r w:rsidRPr="00F22A05">
              <w:rPr>
                <w:sz w:val="22"/>
                <w:szCs w:val="22"/>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20ECB422" w14:textId="77777777" w:rsidR="006C76EB" w:rsidRPr="00F22A05" w:rsidRDefault="006C76EB" w:rsidP="00594E1B">
            <w:pPr>
              <w:jc w:val="center"/>
              <w:rPr>
                <w:sz w:val="22"/>
                <w:szCs w:val="22"/>
              </w:rPr>
            </w:pPr>
            <w:r w:rsidRPr="00F22A05">
              <w:rPr>
                <w:sz w:val="22"/>
                <w:szCs w:val="22"/>
              </w:rPr>
              <w:t>467</w:t>
            </w:r>
          </w:p>
        </w:tc>
      </w:tr>
      <w:tr w:rsidR="00F22A05" w:rsidRPr="00F22A05" w14:paraId="5E8AE84B"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E234B6C" w14:textId="77777777" w:rsidR="006C76EB" w:rsidRPr="00F22A05" w:rsidRDefault="006C76EB" w:rsidP="00594E1B">
            <w:pPr>
              <w:jc w:val="right"/>
              <w:rPr>
                <w:sz w:val="22"/>
                <w:szCs w:val="22"/>
              </w:rPr>
            </w:pPr>
            <w:r w:rsidRPr="00F22A05">
              <w:rPr>
                <w:sz w:val="22"/>
                <w:szCs w:val="22"/>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2B1168BE" w14:textId="77777777" w:rsidR="006C76EB" w:rsidRPr="00F22A05" w:rsidRDefault="006C76EB" w:rsidP="00594E1B">
            <w:pPr>
              <w:jc w:val="center"/>
              <w:rPr>
                <w:sz w:val="22"/>
                <w:szCs w:val="22"/>
              </w:rPr>
            </w:pPr>
            <w:r w:rsidRPr="00F22A05">
              <w:rPr>
                <w:sz w:val="22"/>
                <w:szCs w:val="22"/>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5EC1A43" w14:textId="77777777" w:rsidR="006C76EB" w:rsidRPr="00F22A05" w:rsidRDefault="006C76EB" w:rsidP="00594E1B">
            <w:pPr>
              <w:jc w:val="center"/>
              <w:rPr>
                <w:sz w:val="22"/>
                <w:szCs w:val="22"/>
              </w:rPr>
            </w:pPr>
            <w:r w:rsidRPr="00F22A05">
              <w:rPr>
                <w:sz w:val="22"/>
                <w:szCs w:val="22"/>
              </w:rPr>
              <w:t>$22.23</w:t>
            </w:r>
          </w:p>
        </w:tc>
        <w:tc>
          <w:tcPr>
            <w:tcW w:w="1071" w:type="dxa"/>
            <w:tcBorders>
              <w:top w:val="nil"/>
              <w:left w:val="nil"/>
              <w:bottom w:val="nil"/>
              <w:right w:val="nil"/>
            </w:tcBorders>
            <w:shd w:val="clear" w:color="auto" w:fill="auto"/>
            <w:noWrap/>
            <w:vAlign w:val="center"/>
            <w:hideMark/>
          </w:tcPr>
          <w:p w14:paraId="5DB862FD" w14:textId="77777777" w:rsidR="006C76EB" w:rsidRPr="00F22A05" w:rsidRDefault="006C76EB" w:rsidP="00594E1B">
            <w:pPr>
              <w:jc w:val="center"/>
              <w:rPr>
                <w:sz w:val="22"/>
                <w:szCs w:val="22"/>
              </w:rPr>
            </w:pPr>
            <w:r w:rsidRPr="00F22A05">
              <w:rPr>
                <w:sz w:val="22"/>
                <w:szCs w:val="22"/>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05BA7E46" w14:textId="77777777" w:rsidR="006C76EB" w:rsidRPr="00F22A05" w:rsidRDefault="006C76EB" w:rsidP="00594E1B">
            <w:pPr>
              <w:jc w:val="center"/>
              <w:rPr>
                <w:sz w:val="22"/>
                <w:szCs w:val="22"/>
              </w:rPr>
            </w:pPr>
            <w:r w:rsidRPr="00F22A05">
              <w:rPr>
                <w:sz w:val="22"/>
                <w:szCs w:val="22"/>
              </w:rPr>
              <w:t>$33.12</w:t>
            </w:r>
          </w:p>
        </w:tc>
      </w:tr>
      <w:tr w:rsidR="00F22A05" w:rsidRPr="00F22A05" w14:paraId="35BB46C9"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FE6D2D" w14:textId="77777777" w:rsidR="006C76EB" w:rsidRPr="00F22A05" w:rsidRDefault="006C76EB" w:rsidP="00594E1B">
            <w:pPr>
              <w:jc w:val="right"/>
              <w:rPr>
                <w:sz w:val="22"/>
                <w:szCs w:val="22"/>
              </w:rPr>
            </w:pPr>
            <w:r w:rsidRPr="00F22A05">
              <w:rPr>
                <w:sz w:val="22"/>
                <w:szCs w:val="22"/>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68AF0859" w14:textId="77777777" w:rsidR="006C76EB" w:rsidRPr="00F22A05" w:rsidRDefault="006C76EB" w:rsidP="00594E1B">
            <w:pPr>
              <w:jc w:val="center"/>
              <w:rPr>
                <w:sz w:val="22"/>
                <w:szCs w:val="22"/>
              </w:rPr>
            </w:pPr>
            <w:r w:rsidRPr="00F22A05">
              <w:rPr>
                <w:sz w:val="22"/>
                <w:szCs w:val="22"/>
              </w:rPr>
              <w:t>$0.12</w:t>
            </w:r>
          </w:p>
        </w:tc>
        <w:tc>
          <w:tcPr>
            <w:tcW w:w="910" w:type="dxa"/>
            <w:tcBorders>
              <w:top w:val="nil"/>
              <w:left w:val="single" w:sz="4" w:space="0" w:color="auto"/>
              <w:bottom w:val="nil"/>
              <w:right w:val="single" w:sz="8" w:space="0" w:color="auto"/>
            </w:tcBorders>
            <w:shd w:val="clear" w:color="auto" w:fill="auto"/>
            <w:noWrap/>
            <w:vAlign w:val="center"/>
            <w:hideMark/>
          </w:tcPr>
          <w:p w14:paraId="1DE03698" w14:textId="77777777" w:rsidR="006C76EB" w:rsidRPr="00F22A05" w:rsidRDefault="006C76EB" w:rsidP="00594E1B">
            <w:pPr>
              <w:jc w:val="center"/>
              <w:rPr>
                <w:sz w:val="22"/>
                <w:szCs w:val="22"/>
              </w:rPr>
            </w:pPr>
            <w:r w:rsidRPr="00F22A05">
              <w:rPr>
                <w:sz w:val="22"/>
                <w:szCs w:val="22"/>
              </w:rPr>
              <w:t>$0.12</w:t>
            </w:r>
          </w:p>
        </w:tc>
        <w:tc>
          <w:tcPr>
            <w:tcW w:w="1071" w:type="dxa"/>
            <w:tcBorders>
              <w:top w:val="nil"/>
              <w:left w:val="nil"/>
              <w:bottom w:val="nil"/>
              <w:right w:val="nil"/>
            </w:tcBorders>
            <w:shd w:val="clear" w:color="auto" w:fill="auto"/>
            <w:noWrap/>
            <w:vAlign w:val="center"/>
            <w:hideMark/>
          </w:tcPr>
          <w:p w14:paraId="3D9B2D26" w14:textId="77777777" w:rsidR="006C76EB" w:rsidRPr="00F22A05" w:rsidRDefault="006C76EB" w:rsidP="00594E1B">
            <w:pPr>
              <w:jc w:val="center"/>
              <w:rPr>
                <w:sz w:val="22"/>
                <w:szCs w:val="22"/>
              </w:rPr>
            </w:pPr>
            <w:r w:rsidRPr="00F22A05">
              <w:rPr>
                <w:sz w:val="22"/>
                <w:szCs w:val="22"/>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051FF309" w14:textId="77777777" w:rsidR="006C76EB" w:rsidRPr="00F22A05" w:rsidRDefault="006C76EB" w:rsidP="00594E1B">
            <w:pPr>
              <w:jc w:val="center"/>
              <w:rPr>
                <w:sz w:val="22"/>
                <w:szCs w:val="22"/>
              </w:rPr>
            </w:pPr>
            <w:r w:rsidRPr="00F22A05">
              <w:rPr>
                <w:sz w:val="22"/>
                <w:szCs w:val="22"/>
              </w:rPr>
              <w:t>$0.12</w:t>
            </w:r>
          </w:p>
        </w:tc>
      </w:tr>
      <w:tr w:rsidR="00F22A05" w:rsidRPr="00F22A05" w14:paraId="28644AEC" w14:textId="77777777" w:rsidTr="00DD6798">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C974E6E" w14:textId="77777777" w:rsidR="006C76EB" w:rsidRPr="00F22A05" w:rsidRDefault="006C76EB" w:rsidP="00594E1B">
            <w:pPr>
              <w:jc w:val="right"/>
              <w:rPr>
                <w:sz w:val="22"/>
                <w:szCs w:val="22"/>
              </w:rPr>
            </w:pPr>
            <w:r w:rsidRPr="00F22A05">
              <w:rPr>
                <w:sz w:val="22"/>
                <w:szCs w:val="22"/>
              </w:rPr>
              <w:t>Gas Price ($/</w:t>
            </w:r>
            <w:proofErr w:type="spellStart"/>
            <w:r w:rsidRPr="00F22A05">
              <w:rPr>
                <w:sz w:val="22"/>
                <w:szCs w:val="22"/>
              </w:rPr>
              <w:t>therm</w:t>
            </w:r>
            <w:proofErr w:type="spellEnd"/>
            <w:r w:rsidRPr="00F22A05">
              <w:rPr>
                <w:sz w:val="22"/>
                <w:szCs w:val="22"/>
              </w:rPr>
              <w:t>)</w:t>
            </w:r>
          </w:p>
        </w:tc>
        <w:tc>
          <w:tcPr>
            <w:tcW w:w="886" w:type="dxa"/>
            <w:tcBorders>
              <w:top w:val="nil"/>
              <w:left w:val="single" w:sz="4" w:space="0" w:color="auto"/>
              <w:bottom w:val="nil"/>
              <w:right w:val="single" w:sz="8" w:space="0" w:color="auto"/>
            </w:tcBorders>
            <w:shd w:val="clear" w:color="auto" w:fill="auto"/>
            <w:noWrap/>
            <w:vAlign w:val="center"/>
            <w:hideMark/>
          </w:tcPr>
          <w:p w14:paraId="03A8C1C2" w14:textId="77777777" w:rsidR="006C76EB" w:rsidRPr="00F22A05" w:rsidRDefault="006C76EB" w:rsidP="00594E1B">
            <w:pPr>
              <w:jc w:val="center"/>
              <w:rPr>
                <w:sz w:val="22"/>
                <w:szCs w:val="22"/>
              </w:rPr>
            </w:pPr>
            <w:r w:rsidRPr="00F22A05">
              <w:rPr>
                <w:sz w:val="22"/>
                <w:szCs w:val="22"/>
              </w:rPr>
              <w:t>$1.09</w:t>
            </w:r>
          </w:p>
        </w:tc>
        <w:tc>
          <w:tcPr>
            <w:tcW w:w="910" w:type="dxa"/>
            <w:tcBorders>
              <w:top w:val="nil"/>
              <w:left w:val="single" w:sz="4" w:space="0" w:color="auto"/>
              <w:bottom w:val="nil"/>
              <w:right w:val="single" w:sz="8" w:space="0" w:color="auto"/>
            </w:tcBorders>
            <w:shd w:val="clear" w:color="auto" w:fill="auto"/>
            <w:noWrap/>
            <w:vAlign w:val="center"/>
            <w:hideMark/>
          </w:tcPr>
          <w:p w14:paraId="7C1DE340" w14:textId="77777777" w:rsidR="006C76EB" w:rsidRPr="00F22A05" w:rsidRDefault="006C76EB" w:rsidP="00594E1B">
            <w:pPr>
              <w:jc w:val="center"/>
              <w:rPr>
                <w:sz w:val="22"/>
                <w:szCs w:val="22"/>
              </w:rPr>
            </w:pPr>
            <w:r w:rsidRPr="00F22A05">
              <w:rPr>
                <w:sz w:val="22"/>
                <w:szCs w:val="22"/>
              </w:rPr>
              <w:t>$1.09</w:t>
            </w:r>
          </w:p>
        </w:tc>
        <w:tc>
          <w:tcPr>
            <w:tcW w:w="1071" w:type="dxa"/>
            <w:tcBorders>
              <w:top w:val="nil"/>
              <w:left w:val="nil"/>
              <w:bottom w:val="nil"/>
              <w:right w:val="nil"/>
            </w:tcBorders>
            <w:shd w:val="clear" w:color="auto" w:fill="auto"/>
            <w:noWrap/>
            <w:vAlign w:val="center"/>
            <w:hideMark/>
          </w:tcPr>
          <w:p w14:paraId="21A3FBCC" w14:textId="77777777" w:rsidR="006C76EB" w:rsidRPr="00F22A05" w:rsidRDefault="006C76EB" w:rsidP="00594E1B">
            <w:pPr>
              <w:jc w:val="center"/>
              <w:rPr>
                <w:sz w:val="22"/>
                <w:szCs w:val="22"/>
              </w:rPr>
            </w:pPr>
            <w:r w:rsidRPr="00F22A05">
              <w:rPr>
                <w:sz w:val="22"/>
                <w:szCs w:val="22"/>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2AFF8A2B" w14:textId="77777777" w:rsidR="006C76EB" w:rsidRPr="00F22A05" w:rsidRDefault="006C76EB" w:rsidP="00594E1B">
            <w:pPr>
              <w:jc w:val="center"/>
              <w:rPr>
                <w:sz w:val="22"/>
                <w:szCs w:val="22"/>
              </w:rPr>
            </w:pPr>
            <w:r w:rsidRPr="00F22A05">
              <w:rPr>
                <w:sz w:val="22"/>
                <w:szCs w:val="22"/>
              </w:rPr>
              <w:t>$1.09</w:t>
            </w:r>
          </w:p>
        </w:tc>
      </w:tr>
      <w:tr w:rsidR="005C40A0" w:rsidRPr="00F22A05" w14:paraId="78819190" w14:textId="77777777" w:rsidTr="00DD6798">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2A9AF529" w14:textId="77777777" w:rsidR="006C76EB" w:rsidRPr="00F22A05" w:rsidRDefault="006C76EB" w:rsidP="00594E1B">
            <w:pPr>
              <w:jc w:val="right"/>
              <w:rPr>
                <w:sz w:val="22"/>
                <w:szCs w:val="22"/>
              </w:rPr>
            </w:pPr>
            <w:r w:rsidRPr="00F22A05">
              <w:rPr>
                <w:sz w:val="22"/>
                <w:szCs w:val="22"/>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15BBECEE" w14:textId="77777777" w:rsidR="006C76EB" w:rsidRPr="00F22A05" w:rsidRDefault="006C76EB" w:rsidP="00594E1B">
            <w:pPr>
              <w:jc w:val="center"/>
              <w:rPr>
                <w:sz w:val="22"/>
                <w:szCs w:val="22"/>
              </w:rPr>
            </w:pPr>
            <w:r w:rsidRPr="00F22A05">
              <w:rPr>
                <w:sz w:val="22"/>
                <w:szCs w:val="22"/>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657D216D" w14:textId="77777777" w:rsidR="006C76EB" w:rsidRPr="00F22A05" w:rsidRDefault="006C76EB" w:rsidP="00594E1B">
            <w:pPr>
              <w:jc w:val="center"/>
              <w:rPr>
                <w:sz w:val="22"/>
                <w:szCs w:val="22"/>
              </w:rPr>
            </w:pPr>
            <w:r w:rsidRPr="00F22A05">
              <w:rPr>
                <w:sz w:val="22"/>
                <w:szCs w:val="22"/>
              </w:rPr>
              <w:t>208</w:t>
            </w:r>
          </w:p>
        </w:tc>
        <w:tc>
          <w:tcPr>
            <w:tcW w:w="1071" w:type="dxa"/>
            <w:tcBorders>
              <w:top w:val="nil"/>
              <w:left w:val="nil"/>
              <w:bottom w:val="single" w:sz="8" w:space="0" w:color="auto"/>
              <w:right w:val="nil"/>
            </w:tcBorders>
            <w:shd w:val="clear" w:color="auto" w:fill="auto"/>
            <w:noWrap/>
            <w:vAlign w:val="center"/>
            <w:hideMark/>
          </w:tcPr>
          <w:p w14:paraId="0C7850EE" w14:textId="77777777" w:rsidR="006C76EB" w:rsidRPr="00F22A05" w:rsidRDefault="006C76EB" w:rsidP="00594E1B">
            <w:pPr>
              <w:jc w:val="center"/>
              <w:rPr>
                <w:sz w:val="22"/>
                <w:szCs w:val="22"/>
              </w:rPr>
            </w:pPr>
            <w:r w:rsidRPr="00F22A05">
              <w:rPr>
                <w:sz w:val="22"/>
                <w:szCs w:val="22"/>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7EC57760" w14:textId="77777777" w:rsidR="006C76EB" w:rsidRPr="00F22A05" w:rsidRDefault="006C76EB" w:rsidP="00594E1B">
            <w:pPr>
              <w:jc w:val="center"/>
              <w:rPr>
                <w:sz w:val="22"/>
                <w:szCs w:val="22"/>
              </w:rPr>
            </w:pPr>
            <w:r w:rsidRPr="00F22A05">
              <w:rPr>
                <w:sz w:val="22"/>
                <w:szCs w:val="22"/>
              </w:rPr>
              <w:t>208</w:t>
            </w:r>
          </w:p>
        </w:tc>
      </w:tr>
    </w:tbl>
    <w:p w14:paraId="34F152C6" w14:textId="77777777" w:rsidR="006C76EB" w:rsidRPr="00F22A05" w:rsidRDefault="006C76EB" w:rsidP="00581A21">
      <w:pPr>
        <w:numPr>
          <w:ilvl w:val="12"/>
          <w:numId w:val="0"/>
        </w:numPr>
      </w:pPr>
    </w:p>
    <w:p w14:paraId="7FE22CC9" w14:textId="56BDA423" w:rsidR="008F1DC1" w:rsidRPr="00F22A05" w:rsidRDefault="008F1DC1" w:rsidP="00717B8B">
      <w:pPr>
        <w:pStyle w:val="sixaa"/>
        <w:rPr>
          <w:strike/>
        </w:rPr>
      </w:pPr>
      <w:r w:rsidRPr="00F22A05">
        <w:rPr>
          <w:strike/>
        </w:rPr>
        <w:t xml:space="preserve">For the purpose of adjusting the annual </w:t>
      </w:r>
      <w:r w:rsidR="004A56AE" w:rsidRPr="00F22A05">
        <w:rPr>
          <w:strike/>
        </w:rPr>
        <w:t>d</w:t>
      </w:r>
      <w:r w:rsidRPr="00F22A05">
        <w:rPr>
          <w:strike/>
        </w:rPr>
        <w:t>ishwasher energy consumption for calculating the</w:t>
      </w:r>
      <w:r w:rsidR="006243B8" w:rsidRPr="00F22A05">
        <w:rPr>
          <w:strike/>
        </w:rPr>
        <w:t xml:space="preserve"> Rating</w:t>
      </w:r>
      <w:r w:rsidRPr="00F22A05">
        <w:rPr>
          <w:strike/>
        </w:rPr>
        <w:t xml:space="preserve">, </w:t>
      </w:r>
      <w:r w:rsidR="00EB0F61" w:rsidRPr="00F22A05">
        <w:rPr>
          <w:strike/>
        </w:rPr>
        <w:t>EC</w:t>
      </w:r>
      <w:r w:rsidR="00EB0F61" w:rsidRPr="00F22A05">
        <w:rPr>
          <w:strike/>
          <w:vertAlign w:val="subscript"/>
        </w:rPr>
        <w:t>LA</w:t>
      </w:r>
      <w:r w:rsidR="00EB0F61" w:rsidRPr="00F22A05">
        <w:rPr>
          <w:strike/>
        </w:rPr>
        <w:t xml:space="preserve"> </w:t>
      </w:r>
      <w:r w:rsidRPr="00F22A05">
        <w:rPr>
          <w:strike/>
        </w:rPr>
        <w:t xml:space="preserve">shall be adjusted by </w:t>
      </w:r>
      <w:r w:rsidRPr="00F22A05">
        <w:rPr>
          <w:rFonts w:ascii="Symbol" w:eastAsia="Symbol" w:hAnsi="Symbol" w:cs="Symbol"/>
          <w:strike/>
        </w:rPr>
        <w:t></w:t>
      </w:r>
      <w:r w:rsidR="00EB0F61" w:rsidRPr="00F22A05">
        <w:rPr>
          <w:strike/>
        </w:rPr>
        <w:t>EC</w:t>
      </w:r>
      <w:r w:rsidR="00EB0F61" w:rsidRPr="00F22A05">
        <w:rPr>
          <w:strike/>
          <w:vertAlign w:val="subscript"/>
        </w:rPr>
        <w:t>DW</w:t>
      </w:r>
      <w:r w:rsidRPr="00F22A05">
        <w:rPr>
          <w:strike/>
        </w:rPr>
        <w:t xml:space="preserve">, which shall be calculated as the annual dishwasher energy use derived by the procedures in this section minus the annual dishwasher energy use derived for the Energy Rating Reference Home in Section </w:t>
      </w:r>
      <w:r w:rsidR="00C76A6B" w:rsidRPr="00F22A05">
        <w:rPr>
          <w:strike/>
        </w:rPr>
        <w:t>4.2.2.7.1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/y = (kWh/y) / 293 or (</w:t>
      </w:r>
      <w:proofErr w:type="spellStart"/>
      <w:r w:rsidR="00FE3070" w:rsidRPr="00F22A05">
        <w:rPr>
          <w:strike/>
        </w:rPr>
        <w:t>Therms</w:t>
      </w:r>
      <w:proofErr w:type="spellEnd"/>
      <w:r w:rsidR="00FE3070" w:rsidRPr="00F22A05">
        <w:rPr>
          <w:strike/>
        </w:rPr>
        <w:t>/y</w:t>
      </w:r>
      <w:r w:rsidRPr="00F22A05">
        <w:rPr>
          <w:strike/>
        </w:rPr>
        <w:t xml:space="preserve">) / 10, whichever is applicable.  </w:t>
      </w:r>
    </w:p>
    <w:p w14:paraId="22DD2111" w14:textId="444EBA44" w:rsidR="008F1DC1" w:rsidRPr="00F22A05" w:rsidRDefault="008F1DC1" w:rsidP="00717B8B">
      <w:pPr>
        <w:pStyle w:val="sixaa"/>
        <w:rPr>
          <w:strike/>
        </w:rPr>
      </w:pPr>
    </w:p>
    <w:p w14:paraId="184A615E" w14:textId="6E41F45B" w:rsidR="008F1DC1" w:rsidRPr="00F22A05" w:rsidRDefault="008F1DC1" w:rsidP="00BC35C6">
      <w:pPr>
        <w:pStyle w:val="sixaa"/>
        <w:rPr>
          <w:strike/>
        </w:rPr>
      </w:pPr>
      <w:proofErr w:type="gramStart"/>
      <w:r w:rsidRPr="00F22A05">
        <w:rPr>
          <w:strike/>
        </w:rPr>
        <w:t>For the purpose of</w:t>
      </w:r>
      <w:proofErr w:type="gramEnd"/>
      <w:r w:rsidRPr="00F22A05">
        <w:rPr>
          <w:strike/>
        </w:rPr>
        <w:t xml:space="preserve"> adjusting the daily hot water use for calculating the</w:t>
      </w:r>
      <w:r w:rsidR="006243B8" w:rsidRPr="00F22A05">
        <w:rPr>
          <w:strike/>
        </w:rPr>
        <w:t xml:space="preserve"> Rating</w:t>
      </w:r>
      <w:r w:rsidRPr="00F22A05">
        <w:rPr>
          <w:strike/>
        </w:rPr>
        <w:t>, the daily hot water use change shall be ‘ΔGPD</w:t>
      </w:r>
      <w:r w:rsidRPr="00F22A05">
        <w:rPr>
          <w:strike/>
          <w:vertAlign w:val="subscript"/>
        </w:rPr>
        <w:t>DW</w:t>
      </w:r>
      <w:r w:rsidRPr="00F22A05">
        <w:rPr>
          <w:strike/>
        </w:rPr>
        <w:t>’ as calculated above.</w:t>
      </w:r>
    </w:p>
    <w:p w14:paraId="788624F8" w14:textId="77777777" w:rsidR="00A919F5" w:rsidRPr="00F22A05" w:rsidRDefault="00A919F5" w:rsidP="00581A21">
      <w:pPr>
        <w:pStyle w:val="sixaa"/>
        <w:ind w:left="0"/>
      </w:pPr>
    </w:p>
    <w:p w14:paraId="6515F241" w14:textId="28AF6E54" w:rsidR="00BB3F50" w:rsidRPr="00F22A05" w:rsidRDefault="00A919F5" w:rsidP="00717B8B">
      <w:pPr>
        <w:pStyle w:val="sixaa"/>
      </w:pPr>
      <w:r w:rsidRPr="00F22A05">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001275B4" w:rsidRPr="00F22A05">
        <w:t>4.2.2.7.1</w:t>
      </w:r>
      <w:r w:rsidRPr="00F22A05">
        <w:t>.</w:t>
      </w:r>
      <w:r w:rsidR="00CB3075" w:rsidRPr="00F22A05">
        <w:t xml:space="preserve"> </w:t>
      </w:r>
    </w:p>
    <w:p w14:paraId="70B9664A" w14:textId="77777777" w:rsidR="008F1DC1" w:rsidRPr="00F22A05" w:rsidRDefault="008F1DC1" w:rsidP="00CE114B">
      <w:pPr>
        <w:pStyle w:val="six"/>
        <w:tabs>
          <w:tab w:val="clear" w:pos="2304"/>
        </w:tabs>
        <w:ind w:left="2520"/>
        <w:rPr>
          <w:strike/>
        </w:rPr>
      </w:pPr>
    </w:p>
    <w:p w14:paraId="13961EB8" w14:textId="4301B169" w:rsidR="008F1DC1" w:rsidRPr="00F22A05" w:rsidRDefault="008F1DC1" w:rsidP="00BC35C6">
      <w:pPr>
        <w:pStyle w:val="sixaa"/>
        <w:rPr>
          <w:strike/>
        </w:rPr>
      </w:pPr>
      <w:r w:rsidRPr="00F22A05">
        <w:rPr>
          <w:strike/>
        </w:rPr>
        <w:t xml:space="preserve">For dishwasher energy use, total </w:t>
      </w:r>
      <w:r w:rsidR="004A56AE" w:rsidRPr="00F22A05">
        <w:rPr>
          <w:strike/>
        </w:rPr>
        <w:t>I</w:t>
      </w:r>
      <w:r w:rsidRPr="00F22A05">
        <w:rPr>
          <w:strike/>
        </w:rPr>
        <w:t xml:space="preserve">nternal </w:t>
      </w:r>
      <w:r w:rsidR="004A56AE" w:rsidRPr="00F22A05">
        <w:rPr>
          <w:strike/>
        </w:rPr>
        <w:t>G</w:t>
      </w:r>
      <w:r w:rsidRPr="00F22A05">
        <w:rPr>
          <w:strike/>
        </w:rPr>
        <w:t xml:space="preserve">ains in the Rated Home shall be modified by </w:t>
      </w:r>
      <w:r w:rsidR="003B2616" w:rsidRPr="00F22A05">
        <w:rPr>
          <w:strike/>
        </w:rPr>
        <w:t>60 percent</w:t>
      </w:r>
      <w:r w:rsidRPr="00F22A05">
        <w:rPr>
          <w:strike/>
        </w:rPr>
        <w:t xml:space="preserve"> of the dishwasher </w:t>
      </w:r>
      <w:r w:rsidRPr="00F22A05">
        <w:rPr>
          <w:rFonts w:ascii="Symbol" w:eastAsia="Symbol" w:hAnsi="Symbol" w:cs="Symbol"/>
          <w:strike/>
        </w:rPr>
        <w:t></w:t>
      </w:r>
      <w:r w:rsidR="00EB0F61" w:rsidRPr="00F22A05">
        <w:rPr>
          <w:strike/>
        </w:rPr>
        <w:t>EC</w:t>
      </w:r>
      <w:r w:rsidR="00EB0F61" w:rsidRPr="00F22A05">
        <w:rPr>
          <w:strike/>
          <w:vertAlign w:val="subscript"/>
        </w:rPr>
        <w:t>DW</w:t>
      </w:r>
      <w:r w:rsidR="00EB0F61" w:rsidRPr="00F22A05">
        <w:rPr>
          <w:strike/>
        </w:rPr>
        <w:t xml:space="preserve"> </w:t>
      </w:r>
      <w:r w:rsidRPr="00F22A05">
        <w:rPr>
          <w:strike/>
        </w:rPr>
        <w:t xml:space="preserve">converted to Btu/day as follows: </w:t>
      </w:r>
      <w:r w:rsidRPr="00F22A05">
        <w:rPr>
          <w:rFonts w:ascii="Symbol" w:eastAsia="Symbol" w:hAnsi="Symbol" w:cs="Symbol"/>
          <w:strike/>
        </w:rPr>
        <w:t></w:t>
      </w:r>
      <w:r w:rsidR="00EB0F61" w:rsidRPr="00F22A05">
        <w:rPr>
          <w:strike/>
        </w:rPr>
        <w:t>EC</w:t>
      </w:r>
      <w:r w:rsidR="00EB0F61" w:rsidRPr="00F22A05">
        <w:rPr>
          <w:strike/>
          <w:vertAlign w:val="subscript"/>
        </w:rPr>
        <w:t>DW</w:t>
      </w:r>
      <w:r w:rsidR="00EB0F61" w:rsidRPr="00F22A05">
        <w:rPr>
          <w:strike/>
        </w:rPr>
        <w:t xml:space="preserve"> </w:t>
      </w:r>
      <w:r w:rsidRPr="00F22A05">
        <w:rPr>
          <w:strike/>
        </w:rPr>
        <w:t>* 10</w:t>
      </w:r>
      <w:r w:rsidRPr="00F22A05">
        <w:rPr>
          <w:strike/>
          <w:vertAlign w:val="superscript"/>
        </w:rPr>
        <w:t>6</w:t>
      </w:r>
      <w:r w:rsidRPr="00F22A05">
        <w:rPr>
          <w:strike/>
        </w:rPr>
        <w:t xml:space="preserve"> / 365. Of this total amount, </w:t>
      </w:r>
      <w:r w:rsidR="003B2616" w:rsidRPr="00F22A05">
        <w:rPr>
          <w:strike/>
        </w:rPr>
        <w:t>50 percent</w:t>
      </w:r>
      <w:r w:rsidRPr="00F22A05">
        <w:rPr>
          <w:strike/>
        </w:rPr>
        <w:t xml:space="preserve"> shall be apportioned to sensible </w:t>
      </w:r>
      <w:r w:rsidR="004A56AE" w:rsidRPr="00F22A05">
        <w:rPr>
          <w:strike/>
        </w:rPr>
        <w:t>I</w:t>
      </w:r>
      <w:r w:rsidRPr="00F22A05">
        <w:rPr>
          <w:strike/>
        </w:rPr>
        <w:t xml:space="preserve">nternal </w:t>
      </w:r>
      <w:r w:rsidR="004A56AE" w:rsidRPr="00F22A05">
        <w:rPr>
          <w:strike/>
        </w:rPr>
        <w:t>G</w:t>
      </w:r>
      <w:r w:rsidRPr="00F22A05">
        <w:rPr>
          <w:strike/>
        </w:rPr>
        <w:t xml:space="preserve">ains and </w:t>
      </w:r>
      <w:r w:rsidR="003B2616" w:rsidRPr="00F22A05">
        <w:rPr>
          <w:strike/>
        </w:rPr>
        <w:t>50 percent</w:t>
      </w:r>
      <w:r w:rsidRPr="00F22A05">
        <w:rPr>
          <w:strike/>
        </w:rPr>
        <w:t xml:space="preserve"> to latent </w:t>
      </w:r>
      <w:r w:rsidR="004A56AE" w:rsidRPr="00F22A05">
        <w:rPr>
          <w:strike/>
        </w:rPr>
        <w:t>I</w:t>
      </w:r>
      <w:r w:rsidRPr="00F22A05">
        <w:rPr>
          <w:strike/>
        </w:rPr>
        <w:t xml:space="preserve">nternal </w:t>
      </w:r>
      <w:r w:rsidR="004A56AE" w:rsidRPr="00F22A05">
        <w:rPr>
          <w:strike/>
        </w:rPr>
        <w:t>G</w:t>
      </w:r>
      <w:r w:rsidRPr="00F22A05">
        <w:rPr>
          <w:strike/>
        </w:rPr>
        <w:t>ains.</w:t>
      </w:r>
    </w:p>
    <w:p w14:paraId="012539D0" w14:textId="77777777" w:rsidR="008F1DC1" w:rsidRPr="00F22A05" w:rsidRDefault="008F1DC1" w:rsidP="00BB3F50">
      <w:pPr>
        <w:pStyle w:val="sixaa"/>
        <w:rPr>
          <w:strike/>
        </w:rPr>
      </w:pPr>
    </w:p>
    <w:p w14:paraId="626D5793" w14:textId="6DA2913E" w:rsidR="008F1DC1" w:rsidRDefault="00AB3630" w:rsidP="00BC35C6">
      <w:pPr>
        <w:pStyle w:val="sixaa"/>
        <w:rPr>
          <w:strike/>
        </w:rPr>
      </w:pPr>
      <w:r w:rsidRPr="00F22A05">
        <w:rPr>
          <w:strike/>
        </w:rPr>
        <w:t>I</w:t>
      </w:r>
      <w:r w:rsidR="008F1DC1" w:rsidRPr="00F22A05">
        <w:rPr>
          <w:strike/>
        </w:rPr>
        <w:t xml:space="preserve">nternal </w:t>
      </w:r>
      <w:r w:rsidR="004A56AE" w:rsidRPr="00F22A05">
        <w:rPr>
          <w:strike/>
        </w:rPr>
        <w:t>G</w:t>
      </w:r>
      <w:r w:rsidR="008F1DC1" w:rsidRPr="00F22A05">
        <w:rPr>
          <w:strike/>
        </w:rPr>
        <w:t xml:space="preserve">ains shall not be modified for dishwashers located outside the </w:t>
      </w:r>
      <w:r w:rsidR="00183C43" w:rsidRPr="00F22A05">
        <w:rPr>
          <w:strike/>
        </w:rPr>
        <w:t>Rated Home</w:t>
      </w:r>
      <w:r w:rsidR="008F1DC1" w:rsidRPr="00F22A05">
        <w:rPr>
          <w:strike/>
        </w:rPr>
        <w:t>.</w:t>
      </w:r>
    </w:p>
    <w:p w14:paraId="31C16D6A" w14:textId="77777777" w:rsidR="0094335D" w:rsidRPr="00F22A05" w:rsidRDefault="0094335D" w:rsidP="00581A21">
      <w:pPr>
        <w:pStyle w:val="sixaa"/>
        <w:ind w:left="0"/>
        <w:rPr>
          <w:strike/>
        </w:rPr>
      </w:pPr>
    </w:p>
    <w:p w14:paraId="2CE7CBD4" w14:textId="77777777" w:rsidR="00CE114B" w:rsidRPr="00F22A05" w:rsidRDefault="00CE114B" w:rsidP="00581A21">
      <w:pPr>
        <w:pStyle w:val="six"/>
        <w:tabs>
          <w:tab w:val="clear" w:pos="2304"/>
        </w:tabs>
        <w:ind w:left="0"/>
      </w:pPr>
    </w:p>
    <w:p w14:paraId="0DCD6337" w14:textId="350050C3" w:rsidR="002E356C" w:rsidRPr="00FA69E8" w:rsidRDefault="00445DDD" w:rsidP="00B46795">
      <w:pPr>
        <w:pStyle w:val="sixab"/>
        <w:numPr>
          <w:ilvl w:val="0"/>
          <w:numId w:val="0"/>
        </w:numPr>
        <w:ind w:left="2520"/>
      </w:pPr>
      <w:bookmarkStart w:id="72" w:name="_Ref495404353"/>
      <w:r w:rsidRPr="00F22A05">
        <w:rPr>
          <w:b/>
        </w:rPr>
        <w:t>4.2.2.7.2.10</w:t>
      </w:r>
      <w:r w:rsidR="00A87B5A" w:rsidRPr="00F22A05">
        <w:rPr>
          <w:b/>
        </w:rPr>
        <w:t>.</w:t>
      </w:r>
      <w:r w:rsidRPr="00F22A05">
        <w:rPr>
          <w:b/>
        </w:rPr>
        <w:t xml:space="preserve">  </w:t>
      </w:r>
      <w:r w:rsidR="008F1DC1" w:rsidRPr="00F22A05">
        <w:rPr>
          <w:b/>
        </w:rPr>
        <w:t>Clothes Washers.</w:t>
      </w:r>
      <w:r w:rsidR="008F1DC1" w:rsidRPr="00F22A05">
        <w:t xml:space="preserve">  Clothes Washer annual energy use and daily hot water use for the Rated Home shall be determined </w:t>
      </w:r>
      <w:r w:rsidR="008F1DC1" w:rsidRPr="00FA69E8">
        <w:t>as follows</w:t>
      </w:r>
      <w:r w:rsidR="008258DB" w:rsidRPr="00FA69E8">
        <w:t xml:space="preserve"> and shall be based on the clothes washer located within the Rated Home. If no clothes washer is located within the Rated Home, a clothes washer in the nearest shared laundry room </w:t>
      </w:r>
      <w:r w:rsidR="00382F52" w:rsidRPr="00FA69E8">
        <w:t xml:space="preserve">on the project site </w:t>
      </w:r>
      <w:r w:rsidR="00323AD8" w:rsidRPr="00FA69E8">
        <w:t>shall</w:t>
      </w:r>
      <w:r w:rsidR="008258DB" w:rsidRPr="00FA69E8">
        <w:t xml:space="preserve"> be used if available for daily use by the occupants of the Rated Home</w:t>
      </w:r>
      <w:r w:rsidR="008F1DC1" w:rsidRPr="00FA69E8">
        <w:t>.</w:t>
      </w:r>
      <w:r w:rsidR="008258DB" w:rsidRPr="00FA69E8">
        <w:t xml:space="preserve"> If the shared laundry room has multiple clothes washers, the clothes washer with the highest LER shall be used.</w:t>
      </w:r>
      <w:bookmarkEnd w:id="72"/>
    </w:p>
    <w:p w14:paraId="07C1E609" w14:textId="77777777" w:rsidR="002E356C" w:rsidRPr="00FA69E8" w:rsidRDefault="002E356C" w:rsidP="002E356C">
      <w:pPr>
        <w:pStyle w:val="sixab"/>
        <w:numPr>
          <w:ilvl w:val="0"/>
          <w:numId w:val="0"/>
        </w:numPr>
        <w:ind w:left="2520"/>
      </w:pPr>
    </w:p>
    <w:p w14:paraId="41751C82" w14:textId="447EF025" w:rsidR="00F90268" w:rsidRPr="00FA69E8" w:rsidRDefault="008F1DC1" w:rsidP="002E356C">
      <w:pPr>
        <w:pStyle w:val="sixab"/>
        <w:numPr>
          <w:ilvl w:val="0"/>
          <w:numId w:val="0"/>
        </w:numPr>
        <w:ind w:left="2520"/>
      </w:pPr>
      <w:r w:rsidRPr="00FA69E8">
        <w:t xml:space="preserve">Annual energy use shall be calculated in accordance with Equation </w:t>
      </w:r>
      <w:r w:rsidR="009220AD" w:rsidRPr="00FA69E8">
        <w:t>4.2-37a</w:t>
      </w:r>
      <w:r w:rsidRPr="00FA69E8">
        <w:t>.</w:t>
      </w:r>
      <w:r w:rsidR="00A12F37" w:rsidRPr="00A12F37">
        <w:rPr>
          <w:b/>
          <w:color w:val="0070C0"/>
          <w:vertAlign w:val="superscript"/>
        </w:rPr>
        <w:t xml:space="preserve"> </w:t>
      </w:r>
      <w:r w:rsidR="00D44B37" w:rsidRPr="00DC54A7">
        <w:rPr>
          <w:b/>
          <w:color w:val="0070C0"/>
          <w:vertAlign w:val="superscript"/>
        </w:rPr>
        <w:t>(1)</w:t>
      </w:r>
    </w:p>
    <w:p w14:paraId="4E98BCC2" w14:textId="77777777" w:rsidR="00A33F50" w:rsidRPr="00FA69E8" w:rsidRDefault="00A33F50" w:rsidP="002E356C">
      <w:pPr>
        <w:pStyle w:val="sixab"/>
        <w:numPr>
          <w:ilvl w:val="0"/>
          <w:numId w:val="0"/>
        </w:numPr>
        <w:ind w:left="2520"/>
      </w:pPr>
    </w:p>
    <w:p w14:paraId="61A51A0E" w14:textId="3C004CEC" w:rsidR="008F1DC1" w:rsidRPr="00FA69E8" w:rsidRDefault="00680F80" w:rsidP="003D1C47">
      <w:pPr>
        <w:tabs>
          <w:tab w:val="right" w:pos="9360"/>
        </w:tabs>
        <w:ind w:left="2520"/>
        <w:rPr>
          <w:b/>
        </w:rPr>
      </w:pPr>
      <w:proofErr w:type="spellStart"/>
      <w:r w:rsidRPr="0094335D">
        <w:rPr>
          <w:bCs/>
        </w:rPr>
        <w:t>CWkWh</w:t>
      </w:r>
      <w:proofErr w:type="spellEnd"/>
      <w:r w:rsidRPr="0094335D">
        <w:rPr>
          <w:bCs/>
        </w:rPr>
        <w:t xml:space="preserve">/y = </w:t>
      </w:r>
      <w:proofErr w:type="spellStart"/>
      <w:r w:rsidRPr="0094335D">
        <w:rPr>
          <w:bCs/>
        </w:rPr>
        <w:t>Cwappl</w:t>
      </w:r>
      <w:proofErr w:type="spellEnd"/>
      <w:r w:rsidRPr="0094335D">
        <w:rPr>
          <w:bCs/>
        </w:rPr>
        <w:t xml:space="preserve"> / LCY * ACY</w:t>
      </w:r>
      <w:r w:rsidR="008F1DC1" w:rsidRPr="00FA69E8">
        <w:rPr>
          <w:b/>
        </w:rPr>
        <w:tab/>
        <w:t>(</w:t>
      </w:r>
      <w:r w:rsidR="00A25E21" w:rsidRPr="00FA69E8">
        <w:rPr>
          <w:b/>
        </w:rPr>
        <w:t>Equation</w:t>
      </w:r>
      <w:r w:rsidR="008F1DC1" w:rsidRPr="00FA69E8">
        <w:rPr>
          <w:b/>
        </w:rPr>
        <w:t xml:space="preserve"> 4.2-</w:t>
      </w:r>
      <w:r w:rsidR="00FB0C85" w:rsidRPr="00FA69E8">
        <w:rPr>
          <w:b/>
        </w:rPr>
        <w:t>37a</w:t>
      </w:r>
      <w:r w:rsidR="008F1DC1" w:rsidRPr="00FA69E8">
        <w:rPr>
          <w:b/>
        </w:rPr>
        <w:t>)</w:t>
      </w:r>
      <w:r w:rsidR="00A12F37" w:rsidRPr="00A12F37">
        <w:rPr>
          <w:b/>
          <w:color w:val="0070C0"/>
          <w:vertAlign w:val="superscript"/>
        </w:rPr>
        <w:t xml:space="preserve"> </w:t>
      </w:r>
      <w:r w:rsidR="00D44B37" w:rsidRPr="00DC54A7">
        <w:rPr>
          <w:b/>
          <w:color w:val="0070C0"/>
          <w:vertAlign w:val="superscript"/>
        </w:rPr>
        <w:t>(1)</w:t>
      </w:r>
    </w:p>
    <w:p w14:paraId="15E5848C" w14:textId="77777777" w:rsidR="008F1DC1" w:rsidRPr="00FA69E8" w:rsidRDefault="008F1DC1" w:rsidP="003D1C47">
      <w:pPr>
        <w:pStyle w:val="where1"/>
        <w:ind w:left="3240"/>
      </w:pPr>
      <w:r w:rsidRPr="00FA69E8">
        <w:t>where:</w:t>
      </w:r>
    </w:p>
    <w:p w14:paraId="25F9473E" w14:textId="77777777" w:rsidR="00680F80" w:rsidRPr="00FA69E8" w:rsidRDefault="00680F80" w:rsidP="00680F80">
      <w:pPr>
        <w:numPr>
          <w:ilvl w:val="12"/>
          <w:numId w:val="0"/>
        </w:numPr>
        <w:ind w:left="4320" w:hanging="1080"/>
      </w:pPr>
      <w:proofErr w:type="spellStart"/>
      <w:r w:rsidRPr="00FA69E8">
        <w:t>Cwappl</w:t>
      </w:r>
      <w:proofErr w:type="spellEnd"/>
      <w:r w:rsidRPr="00FA69E8">
        <w:t xml:space="preserve"> = (GHWC * gasH2O / gas$ - (LER*</w:t>
      </w:r>
      <w:proofErr w:type="spellStart"/>
      <w:r w:rsidRPr="00FA69E8">
        <w:t>elec</w:t>
      </w:r>
      <w:proofErr w:type="spellEnd"/>
      <w:r w:rsidRPr="00FA69E8">
        <w:t xml:space="preserve">$) * elecH2O / </w:t>
      </w:r>
      <w:proofErr w:type="spellStart"/>
      <w:r w:rsidRPr="00FA69E8">
        <w:t>elec</w:t>
      </w:r>
      <w:proofErr w:type="spellEnd"/>
      <w:r w:rsidRPr="00FA69E8">
        <w:t xml:space="preserve">$) / </w:t>
      </w:r>
      <w:r w:rsidRPr="00FA69E8">
        <w:br/>
        <w:t>(</w:t>
      </w:r>
      <w:proofErr w:type="spellStart"/>
      <w:r w:rsidRPr="00FA69E8">
        <w:t>elec</w:t>
      </w:r>
      <w:proofErr w:type="spellEnd"/>
      <w:r w:rsidRPr="00FA69E8">
        <w:t>$ * gasH2O / gas$ - elecH2O)</w:t>
      </w:r>
    </w:p>
    <w:p w14:paraId="672EE445" w14:textId="77777777" w:rsidR="00680F80" w:rsidRPr="00FA69E8" w:rsidRDefault="00680F80" w:rsidP="00680F80">
      <w:pPr>
        <w:numPr>
          <w:ilvl w:val="12"/>
          <w:numId w:val="0"/>
        </w:numPr>
        <w:ind w:left="4320" w:hanging="1080"/>
      </w:pPr>
      <w:r w:rsidRPr="00FA69E8">
        <w:t>GHWC = Gas Hot Water Costs from Energy Guide Label</w:t>
      </w:r>
    </w:p>
    <w:p w14:paraId="0CF8279A" w14:textId="77777777" w:rsidR="00680F80" w:rsidRPr="00FA69E8" w:rsidRDefault="00680F80" w:rsidP="00680F80">
      <w:pPr>
        <w:numPr>
          <w:ilvl w:val="12"/>
          <w:numId w:val="0"/>
        </w:numPr>
        <w:ind w:left="4320" w:hanging="1080"/>
      </w:pPr>
      <w:r w:rsidRPr="00FA69E8">
        <w:t>gasH2O = 0.3914 (gal/</w:t>
      </w:r>
      <w:proofErr w:type="spellStart"/>
      <w:r w:rsidRPr="00FA69E8">
        <w:t>cyc</w:t>
      </w:r>
      <w:proofErr w:type="spellEnd"/>
      <w:r w:rsidRPr="00FA69E8">
        <w:t>) per (</w:t>
      </w:r>
      <w:proofErr w:type="spellStart"/>
      <w:r w:rsidRPr="00FA69E8">
        <w:t>therm</w:t>
      </w:r>
      <w:proofErr w:type="spellEnd"/>
      <w:r w:rsidRPr="00FA69E8">
        <w:t>/y)</w:t>
      </w:r>
    </w:p>
    <w:p w14:paraId="2713EE14" w14:textId="77777777" w:rsidR="00680F80" w:rsidRPr="00FA69E8" w:rsidRDefault="00680F80" w:rsidP="00680F80">
      <w:pPr>
        <w:numPr>
          <w:ilvl w:val="12"/>
          <w:numId w:val="0"/>
        </w:numPr>
        <w:ind w:left="4320" w:hanging="1080"/>
      </w:pPr>
      <w:r w:rsidRPr="00FA69E8">
        <w:t>elecH2O = 0.0178 (gal/</w:t>
      </w:r>
      <w:proofErr w:type="spellStart"/>
      <w:r w:rsidRPr="00FA69E8">
        <w:t>cyc</w:t>
      </w:r>
      <w:proofErr w:type="spellEnd"/>
      <w:r w:rsidRPr="00FA69E8">
        <w:t>) per (kWh/y)</w:t>
      </w:r>
    </w:p>
    <w:p w14:paraId="211AB332" w14:textId="37E69BE1" w:rsidR="008F1DC1" w:rsidRPr="00FA69E8" w:rsidRDefault="008F1DC1" w:rsidP="003D1C47">
      <w:pPr>
        <w:pStyle w:val="equals"/>
        <w:tabs>
          <w:tab w:val="clear" w:pos="3060"/>
          <w:tab w:val="left" w:pos="4500"/>
        </w:tabs>
        <w:ind w:left="4770" w:hanging="1494"/>
      </w:pPr>
      <w:r w:rsidRPr="00FA69E8">
        <w:t>LER</w:t>
      </w:r>
      <w:r w:rsidR="001D77B7" w:rsidRPr="00FA69E8">
        <w:t xml:space="preserve"> </w:t>
      </w:r>
      <w:r w:rsidRPr="00FA69E8">
        <w:t xml:space="preserve">= Label Energy Rating (kWh/y) from the Energy Guide </w:t>
      </w:r>
      <w:r w:rsidR="00D42ECB" w:rsidRPr="00FA69E8">
        <w:t>L</w:t>
      </w:r>
      <w:r w:rsidRPr="00FA69E8">
        <w:t>abel</w:t>
      </w:r>
      <w:r w:rsidR="001B1D7C" w:rsidRPr="00FA69E8">
        <w:t>.</w:t>
      </w:r>
    </w:p>
    <w:p w14:paraId="185951D2" w14:textId="69258664" w:rsidR="008F1DC1" w:rsidRPr="00FA69E8" w:rsidRDefault="00680F80" w:rsidP="003D1C47">
      <w:pPr>
        <w:pStyle w:val="equals"/>
        <w:tabs>
          <w:tab w:val="clear" w:pos="3060"/>
          <w:tab w:val="left" w:pos="4500"/>
        </w:tabs>
        <w:ind w:left="4680" w:hanging="1404"/>
      </w:pPr>
      <w:proofErr w:type="spellStart"/>
      <w:r w:rsidRPr="00FA69E8">
        <w:t>elec</w:t>
      </w:r>
      <w:proofErr w:type="spellEnd"/>
      <w:r w:rsidRPr="00FA69E8">
        <w:t>$</w:t>
      </w:r>
      <w:r w:rsidR="00D76B2F" w:rsidRPr="00FA69E8">
        <w:tab/>
      </w:r>
      <w:r w:rsidR="008F1DC1" w:rsidRPr="00FA69E8">
        <w:t>= Electric Rate from Energy Guide Label</w:t>
      </w:r>
      <w:r w:rsidR="001B1D7C" w:rsidRPr="00FA69E8">
        <w:t>.</w:t>
      </w:r>
      <w:r w:rsidRPr="00FA69E8">
        <w:t xml:space="preserve"> (default = $0.12 per kWh)</w:t>
      </w:r>
    </w:p>
    <w:p w14:paraId="057A14E8" w14:textId="5FA18E22" w:rsidR="008F1DC1" w:rsidRPr="00FA69E8" w:rsidRDefault="00680F80" w:rsidP="003D1C47">
      <w:pPr>
        <w:pStyle w:val="equals"/>
        <w:tabs>
          <w:tab w:val="clear" w:pos="3060"/>
          <w:tab w:val="left" w:pos="4500"/>
        </w:tabs>
        <w:ind w:left="4680" w:hanging="1404"/>
      </w:pPr>
      <w:r w:rsidRPr="00FA69E8">
        <w:t>gas$</w:t>
      </w:r>
      <w:r w:rsidR="003D1C47" w:rsidRPr="00FA69E8">
        <w:tab/>
      </w:r>
      <w:r w:rsidR="008F1DC1" w:rsidRPr="00FA69E8">
        <w:t>= Gas Rate from Energy Guide Label</w:t>
      </w:r>
      <w:r w:rsidR="001B1D7C" w:rsidRPr="00FA69E8">
        <w:t>.</w:t>
      </w:r>
      <w:r w:rsidRPr="00FA69E8">
        <w:t xml:space="preserve"> (default = $1.09 per </w:t>
      </w:r>
      <w:proofErr w:type="spellStart"/>
      <w:r w:rsidRPr="00FA69E8">
        <w:t>therm</w:t>
      </w:r>
      <w:proofErr w:type="spellEnd"/>
      <w:r w:rsidRPr="00FA69E8">
        <w:t>)</w:t>
      </w:r>
    </w:p>
    <w:p w14:paraId="032FE94A" w14:textId="77777777" w:rsidR="00680F80" w:rsidRPr="00FA69E8" w:rsidRDefault="00680F80" w:rsidP="00680F80">
      <w:pPr>
        <w:numPr>
          <w:ilvl w:val="12"/>
          <w:numId w:val="0"/>
        </w:numPr>
        <w:ind w:left="4050" w:hanging="720"/>
      </w:pPr>
      <w:r w:rsidRPr="00FA69E8">
        <w:t>LCY = Label Cycles per Year from Energy Guide Label (default = 6 loads per week = 312)</w:t>
      </w:r>
    </w:p>
    <w:p w14:paraId="3780BAEF" w14:textId="646E1833" w:rsidR="008F1DC1" w:rsidRPr="00FA69E8" w:rsidRDefault="008F1DC1" w:rsidP="003D1C47">
      <w:pPr>
        <w:pStyle w:val="equals"/>
        <w:tabs>
          <w:tab w:val="clear" w:pos="3060"/>
          <w:tab w:val="left" w:pos="4500"/>
        </w:tabs>
        <w:ind w:left="4680" w:hanging="1404"/>
      </w:pPr>
      <w:r w:rsidRPr="00FA69E8">
        <w:t>ACY</w:t>
      </w:r>
      <w:r w:rsidR="001D77B7" w:rsidRPr="00FA69E8">
        <w:t xml:space="preserve"> </w:t>
      </w:r>
      <w:r w:rsidRPr="00FA69E8">
        <w:t xml:space="preserve">= </w:t>
      </w:r>
      <w:r w:rsidR="00680F80" w:rsidRPr="00FA69E8">
        <w:t xml:space="preserve">Annual </w:t>
      </w:r>
      <w:r w:rsidRPr="00FA69E8">
        <w:t>Cycles per Year</w:t>
      </w:r>
      <w:r w:rsidR="00D42ECB" w:rsidRPr="00FA69E8">
        <w:t>.</w:t>
      </w:r>
    </w:p>
    <w:p w14:paraId="60903492" w14:textId="77777777" w:rsidR="008F1DC1" w:rsidRPr="00FA69E8" w:rsidRDefault="008F1DC1" w:rsidP="003D1C47">
      <w:pPr>
        <w:pStyle w:val="where1"/>
        <w:ind w:left="3240"/>
      </w:pPr>
      <w:r w:rsidRPr="00FA69E8">
        <w:t xml:space="preserve">and where: </w:t>
      </w:r>
    </w:p>
    <w:p w14:paraId="173DA566" w14:textId="1F8CA0C0" w:rsidR="008F1DC1" w:rsidRPr="00FA69E8" w:rsidRDefault="008F1DC1" w:rsidP="003D1C47">
      <w:pPr>
        <w:pStyle w:val="equals"/>
        <w:tabs>
          <w:tab w:val="clear" w:pos="3060"/>
          <w:tab w:val="left" w:pos="4500"/>
        </w:tabs>
        <w:ind w:left="4680" w:hanging="1404"/>
      </w:pPr>
      <w:proofErr w:type="gramStart"/>
      <w:r w:rsidRPr="00FA69E8">
        <w:t xml:space="preserve">ACY </w:t>
      </w:r>
      <w:r w:rsidR="001D77B7" w:rsidRPr="00FA69E8">
        <w:t xml:space="preserve"> </w:t>
      </w:r>
      <w:r w:rsidRPr="00FA69E8">
        <w:t>=</w:t>
      </w:r>
      <w:proofErr w:type="gramEnd"/>
      <w:r w:rsidR="004B2248" w:rsidRPr="00FA69E8">
        <w:t xml:space="preserve"> </w:t>
      </w:r>
      <w:r w:rsidR="001D77B7" w:rsidRPr="00FA69E8">
        <w:t>SCY</w:t>
      </w:r>
      <w:r w:rsidRPr="00FA69E8">
        <w:t xml:space="preserve"> * [(3.0*2.08+1.59)/(</w:t>
      </w:r>
      <w:proofErr w:type="spellStart"/>
      <w:r w:rsidRPr="00FA69E8">
        <w:t>CAPw</w:t>
      </w:r>
      <w:proofErr w:type="spellEnd"/>
      <w:r w:rsidRPr="00FA69E8">
        <w:t>*2.08+1.59)]</w:t>
      </w:r>
    </w:p>
    <w:p w14:paraId="32FF0429" w14:textId="77777777" w:rsidR="008F1DC1" w:rsidRPr="00FA69E8" w:rsidRDefault="008F1DC1" w:rsidP="003D1C47">
      <w:pPr>
        <w:pStyle w:val="where1"/>
        <w:ind w:left="3240"/>
      </w:pPr>
      <w:r w:rsidRPr="00FA69E8">
        <w:t xml:space="preserve">where: </w:t>
      </w:r>
    </w:p>
    <w:p w14:paraId="7C4F6505" w14:textId="1F2E6924" w:rsidR="008F1DC1" w:rsidRPr="00FA69E8" w:rsidRDefault="001D77B7" w:rsidP="003D1C47">
      <w:pPr>
        <w:pStyle w:val="equals"/>
        <w:tabs>
          <w:tab w:val="clear" w:pos="3060"/>
          <w:tab w:val="left" w:pos="4500"/>
        </w:tabs>
        <w:ind w:left="4680" w:hanging="1404"/>
      </w:pPr>
      <w:r w:rsidRPr="00FA69E8">
        <w:t>SCY</w:t>
      </w:r>
      <w:r w:rsidR="008F1DC1" w:rsidRPr="00FA69E8">
        <w:t xml:space="preserve"> = (164 + </w:t>
      </w:r>
      <w:proofErr w:type="spellStart"/>
      <w:r w:rsidR="008F1DC1" w:rsidRPr="00FA69E8">
        <w:t>Nbr</w:t>
      </w:r>
      <w:proofErr w:type="spellEnd"/>
      <w:r w:rsidR="008F1DC1" w:rsidRPr="00FA69E8">
        <w:t>*</w:t>
      </w:r>
      <w:r w:rsidR="003A301D" w:rsidRPr="00FA69E8">
        <w:t>46</w:t>
      </w:r>
      <w:r w:rsidR="008F1DC1" w:rsidRPr="00FA69E8">
        <w:t>.5)</w:t>
      </w:r>
      <w:r w:rsidR="00D42ECB" w:rsidRPr="00FA69E8">
        <w:t>.</w:t>
      </w:r>
      <w:r w:rsidR="008F1DC1" w:rsidRPr="00FA69E8">
        <w:t xml:space="preserve"> </w:t>
      </w:r>
    </w:p>
    <w:p w14:paraId="0F575A63" w14:textId="5284583A" w:rsidR="001D77B7" w:rsidRPr="00FA69E8" w:rsidRDefault="001D77B7" w:rsidP="001D77B7">
      <w:pPr>
        <w:numPr>
          <w:ilvl w:val="12"/>
          <w:numId w:val="0"/>
        </w:numPr>
        <w:ind w:left="3870" w:hanging="900"/>
      </w:pPr>
      <w:proofErr w:type="spellStart"/>
      <w:r w:rsidRPr="00FA69E8">
        <w:t>CAPw</w:t>
      </w:r>
      <w:proofErr w:type="spellEnd"/>
      <w:r w:rsidRPr="00FA69E8">
        <w:t xml:space="preserve"> = washer capacity in cubic feet from the Energy Guide Label </w:t>
      </w:r>
    </w:p>
    <w:p w14:paraId="09D8BC92" w14:textId="77777777" w:rsidR="009C55E4" w:rsidRPr="00FA69E8" w:rsidRDefault="009C55E4" w:rsidP="004F1348">
      <w:pPr>
        <w:numPr>
          <w:ilvl w:val="12"/>
          <w:numId w:val="0"/>
        </w:numPr>
        <w:ind w:left="1080"/>
      </w:pPr>
    </w:p>
    <w:p w14:paraId="5AC6E409" w14:textId="0BE3BC11" w:rsidR="008F1DC1" w:rsidRPr="00FA69E8" w:rsidRDefault="008F1DC1" w:rsidP="00717B8B">
      <w:pPr>
        <w:pStyle w:val="sixaa"/>
      </w:pPr>
      <w:r w:rsidRPr="00FA69E8">
        <w:t xml:space="preserve">Daily hot water use shall be calculated in accordance with Equation </w:t>
      </w:r>
      <w:r w:rsidR="009220AD" w:rsidRPr="00FA69E8">
        <w:t>4.2-37b</w:t>
      </w:r>
      <w:r w:rsidRPr="00FA69E8">
        <w:t>.</w:t>
      </w:r>
    </w:p>
    <w:p w14:paraId="770ED7D0" w14:textId="394D10B2" w:rsidR="001D77B7" w:rsidRPr="00FA69E8" w:rsidRDefault="001D77B7" w:rsidP="004B2248">
      <w:pPr>
        <w:numPr>
          <w:ilvl w:val="12"/>
          <w:numId w:val="0"/>
        </w:numPr>
        <w:tabs>
          <w:tab w:val="right" w:pos="8820"/>
        </w:tabs>
        <w:rPr>
          <w:b/>
        </w:rPr>
      </w:pPr>
    </w:p>
    <w:p w14:paraId="71F5E587" w14:textId="77777777" w:rsidR="004760F0" w:rsidRPr="0094335D" w:rsidRDefault="001D77B7" w:rsidP="001D77B7">
      <w:pPr>
        <w:tabs>
          <w:tab w:val="right" w:pos="9360"/>
        </w:tabs>
        <w:ind w:left="2520"/>
        <w:rPr>
          <w:bCs/>
        </w:rPr>
      </w:pPr>
      <w:proofErr w:type="spellStart"/>
      <w:r w:rsidRPr="0094335D">
        <w:rPr>
          <w:bCs/>
        </w:rPr>
        <w:t>CWgpd</w:t>
      </w:r>
      <w:proofErr w:type="spellEnd"/>
      <w:r w:rsidRPr="0094335D">
        <w:rPr>
          <w:bCs/>
        </w:rPr>
        <w:t xml:space="preserve"> = (LER – </w:t>
      </w:r>
      <w:proofErr w:type="spellStart"/>
      <w:r w:rsidRPr="0094335D">
        <w:rPr>
          <w:bCs/>
        </w:rPr>
        <w:t>Cwappl</w:t>
      </w:r>
      <w:proofErr w:type="spellEnd"/>
      <w:r w:rsidRPr="0094335D">
        <w:rPr>
          <w:bCs/>
        </w:rPr>
        <w:t>) * elecH2O * ACY / 365</w:t>
      </w:r>
      <w:r w:rsidR="00731228" w:rsidRPr="0094335D">
        <w:rPr>
          <w:bCs/>
        </w:rPr>
        <w:tab/>
      </w:r>
    </w:p>
    <w:p w14:paraId="534577B5" w14:textId="2ADDEEF3" w:rsidR="008F1DC1" w:rsidRPr="00FA69E8" w:rsidRDefault="008F1DC1" w:rsidP="004760F0">
      <w:pPr>
        <w:tabs>
          <w:tab w:val="right" w:pos="9360"/>
        </w:tabs>
        <w:ind w:left="2520"/>
        <w:jc w:val="right"/>
        <w:rPr>
          <w:b/>
        </w:rPr>
      </w:pPr>
      <w:r w:rsidRPr="00FA69E8">
        <w:rPr>
          <w:b/>
        </w:rPr>
        <w:t>(</w:t>
      </w:r>
      <w:r w:rsidR="00A25E21" w:rsidRPr="00FA69E8">
        <w:rPr>
          <w:b/>
        </w:rPr>
        <w:t>Equation</w:t>
      </w:r>
      <w:r w:rsidRPr="00FA69E8">
        <w:rPr>
          <w:b/>
        </w:rPr>
        <w:t xml:space="preserve"> 4.2-</w:t>
      </w:r>
      <w:r w:rsidR="00FB0C85" w:rsidRPr="00FA69E8">
        <w:rPr>
          <w:b/>
        </w:rPr>
        <w:t>37b</w:t>
      </w:r>
      <w:r w:rsidR="003D1C47" w:rsidRPr="00FA69E8">
        <w:rPr>
          <w:b/>
        </w:rPr>
        <w:t>)</w:t>
      </w:r>
      <w:r w:rsidR="00A12F37" w:rsidRPr="00A12F37">
        <w:rPr>
          <w:b/>
          <w:color w:val="0070C0"/>
          <w:vertAlign w:val="superscript"/>
        </w:rPr>
        <w:t xml:space="preserve"> </w:t>
      </w:r>
      <w:r w:rsidR="00D44B37" w:rsidRPr="00DC54A7">
        <w:rPr>
          <w:b/>
          <w:color w:val="0070C0"/>
          <w:vertAlign w:val="superscript"/>
        </w:rPr>
        <w:t>(1)</w:t>
      </w:r>
    </w:p>
    <w:p w14:paraId="2C72695C" w14:textId="77777777" w:rsidR="001D77B7" w:rsidRPr="00FA69E8" w:rsidRDefault="001D77B7" w:rsidP="001D77B7">
      <w:pPr>
        <w:numPr>
          <w:ilvl w:val="12"/>
          <w:numId w:val="0"/>
        </w:numPr>
        <w:ind w:left="2520"/>
        <w:rPr>
          <w:strike/>
        </w:rPr>
      </w:pPr>
    </w:p>
    <w:p w14:paraId="75E96E85" w14:textId="5B3F0E06" w:rsidR="001D77B7" w:rsidRDefault="001D77B7" w:rsidP="001D77B7">
      <w:pPr>
        <w:ind w:left="2520"/>
        <w:rPr>
          <w:b/>
          <w:color w:val="0070C0"/>
          <w:vertAlign w:val="superscript"/>
        </w:rPr>
      </w:pPr>
      <w:r w:rsidRPr="00FA69E8">
        <w:t>For clothes washers where an Energy Guide label is not available, clothes washer inputs from Table 4.2.2.</w:t>
      </w:r>
      <w:r w:rsidR="00D518F5" w:rsidRPr="00FA69E8">
        <w:t>6.2.10</w:t>
      </w:r>
      <w:r w:rsidRPr="00FA69E8">
        <w:t xml:space="preserve"> shall be used.</w:t>
      </w:r>
      <w:r w:rsidR="00A12F37" w:rsidRPr="00A12F37">
        <w:rPr>
          <w:b/>
          <w:color w:val="0070C0"/>
          <w:vertAlign w:val="superscript"/>
        </w:rPr>
        <w:t xml:space="preserve"> </w:t>
      </w:r>
      <w:r w:rsidR="00D44B37" w:rsidRPr="00DC54A7">
        <w:rPr>
          <w:b/>
          <w:color w:val="0070C0"/>
          <w:vertAlign w:val="superscript"/>
        </w:rPr>
        <w:t>(1)</w:t>
      </w:r>
    </w:p>
    <w:p w14:paraId="1BFB6148" w14:textId="77777777" w:rsidR="00D44B37" w:rsidRDefault="00D44B37" w:rsidP="001D77B7">
      <w:pPr>
        <w:ind w:left="2520"/>
        <w:rPr>
          <w:b/>
          <w:color w:val="0070C0"/>
          <w:vertAlign w:val="superscript"/>
        </w:rPr>
      </w:pPr>
    </w:p>
    <w:p w14:paraId="5DAD8538" w14:textId="77777777" w:rsidR="00D44B37" w:rsidRDefault="00D44B37" w:rsidP="001D77B7">
      <w:pPr>
        <w:ind w:left="2520"/>
        <w:rPr>
          <w:b/>
          <w:color w:val="0070C0"/>
          <w:vertAlign w:val="superscript"/>
        </w:rPr>
      </w:pPr>
    </w:p>
    <w:p w14:paraId="7FC94913" w14:textId="77777777" w:rsidR="00D44B37" w:rsidRDefault="00D44B37" w:rsidP="001D77B7">
      <w:pPr>
        <w:ind w:left="2520"/>
        <w:rPr>
          <w:b/>
          <w:color w:val="0070C0"/>
          <w:vertAlign w:val="superscript"/>
        </w:rPr>
      </w:pPr>
    </w:p>
    <w:p w14:paraId="30376C26" w14:textId="77777777" w:rsidR="00D44B37" w:rsidRDefault="00D44B37" w:rsidP="001D77B7">
      <w:pPr>
        <w:ind w:left="2520"/>
        <w:rPr>
          <w:b/>
          <w:color w:val="0070C0"/>
          <w:vertAlign w:val="superscript"/>
        </w:rPr>
      </w:pPr>
    </w:p>
    <w:p w14:paraId="07152C8C" w14:textId="77777777" w:rsidR="00D44B37" w:rsidRPr="00FA69E8" w:rsidRDefault="00D44B37" w:rsidP="001D77B7">
      <w:pPr>
        <w:ind w:left="2520"/>
      </w:pPr>
    </w:p>
    <w:p w14:paraId="51B86460" w14:textId="77777777" w:rsidR="001D77B7" w:rsidRPr="00FA69E8" w:rsidRDefault="001D77B7" w:rsidP="001D77B7">
      <w:pPr>
        <w:rPr>
          <w:u w:val="single"/>
        </w:rPr>
      </w:pPr>
    </w:p>
    <w:p w14:paraId="29EFA0D3" w14:textId="43D7A735" w:rsidR="001D77B7" w:rsidRPr="00FA69E8" w:rsidRDefault="001D77B7" w:rsidP="001D77B7">
      <w:pPr>
        <w:jc w:val="center"/>
      </w:pPr>
      <w:r w:rsidRPr="00FA69E8">
        <w:rPr>
          <w:b/>
        </w:rPr>
        <w:t>Table 4.2.2.</w:t>
      </w:r>
      <w:r w:rsidR="00463446" w:rsidRPr="00FA69E8">
        <w:rPr>
          <w:b/>
        </w:rPr>
        <w:t>6.2.10</w:t>
      </w:r>
      <w:r w:rsidRPr="00FA69E8">
        <w:rPr>
          <w:b/>
        </w:rPr>
        <w:t xml:space="preserve"> Default Inputs for Clothes Washer Based on Year</w:t>
      </w:r>
      <w:r w:rsidR="00D44B37">
        <w:rPr>
          <w:b/>
        </w:rPr>
        <w:t xml:space="preserve"> </w:t>
      </w:r>
      <w:r w:rsidR="00D44B37" w:rsidRPr="00DC54A7">
        <w:rPr>
          <w:b/>
          <w:color w:val="0070C0"/>
          <w:vertAlign w:val="superscript"/>
        </w:rPr>
        <w:t>(1)</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FA69E8" w:rsidRPr="00FA69E8" w14:paraId="4970360D"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68F99258" w14:textId="77777777" w:rsidR="001D77B7" w:rsidRPr="00FA69E8" w:rsidRDefault="001D77B7" w:rsidP="00594E1B">
            <w:pPr>
              <w:jc w:val="center"/>
              <w:rPr>
                <w:bCs/>
                <w:sz w:val="22"/>
                <w:szCs w:val="22"/>
              </w:rPr>
            </w:pPr>
            <w:r w:rsidRPr="00FA69E8">
              <w:rPr>
                <w:bCs/>
                <w:sz w:val="22"/>
                <w:szCs w:val="22"/>
              </w:rPr>
              <w:t>Standard Clothes Washer Models</w:t>
            </w:r>
          </w:p>
        </w:tc>
      </w:tr>
      <w:tr w:rsidR="00FA69E8" w:rsidRPr="00FA69E8" w14:paraId="37787866" w14:textId="77777777" w:rsidTr="002A1DD5">
        <w:trPr>
          <w:trHeight w:val="20"/>
        </w:trPr>
        <w:tc>
          <w:tcPr>
            <w:tcW w:w="3600" w:type="dxa"/>
            <w:tcBorders>
              <w:top w:val="single" w:sz="8" w:space="0" w:color="auto"/>
              <w:right w:val="single" w:sz="8" w:space="0" w:color="auto"/>
            </w:tcBorders>
            <w:shd w:val="clear" w:color="auto" w:fill="auto"/>
            <w:noWrap/>
            <w:vAlign w:val="center"/>
            <w:hideMark/>
          </w:tcPr>
          <w:p w14:paraId="70D662C4" w14:textId="77777777" w:rsidR="001D77B7" w:rsidRPr="00FA69E8" w:rsidRDefault="001D77B7" w:rsidP="00594E1B">
            <w:pPr>
              <w:jc w:val="center"/>
              <w:rPr>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6B97F56F" w14:textId="2115441E" w:rsidR="001D77B7" w:rsidRPr="00FA69E8" w:rsidRDefault="00A869C8" w:rsidP="00594E1B">
            <w:pPr>
              <w:jc w:val="center"/>
              <w:rPr>
                <w:sz w:val="20"/>
                <w:szCs w:val="20"/>
              </w:rPr>
            </w:pPr>
            <w:r w:rsidRPr="00FA69E8">
              <w:rPr>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3FAF8375" w14:textId="77777777" w:rsidR="001D77B7" w:rsidRPr="00FA69E8" w:rsidRDefault="001D77B7" w:rsidP="00594E1B">
            <w:pPr>
              <w:jc w:val="center"/>
              <w:rPr>
                <w:sz w:val="20"/>
                <w:szCs w:val="20"/>
              </w:rPr>
            </w:pPr>
            <w:r w:rsidRPr="00FA69E8">
              <w:rPr>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4B52FB24" w14:textId="671D317B" w:rsidR="001D77B7" w:rsidRPr="00FA69E8" w:rsidRDefault="001D77B7" w:rsidP="00594E1B">
            <w:pPr>
              <w:ind w:left="-195"/>
              <w:jc w:val="center"/>
              <w:rPr>
                <w:sz w:val="20"/>
                <w:szCs w:val="20"/>
              </w:rPr>
            </w:pPr>
            <w:r w:rsidRPr="00FA69E8">
              <w:rPr>
                <w:sz w:val="20"/>
                <w:szCs w:val="20"/>
              </w:rPr>
              <w:t>E</w:t>
            </w:r>
            <w:r w:rsidR="002A1DD5" w:rsidRPr="00FA69E8">
              <w:rPr>
                <w:sz w:val="20"/>
                <w:szCs w:val="20"/>
              </w:rPr>
              <w:t xml:space="preserve">NERGY </w:t>
            </w:r>
            <w:r w:rsidRPr="00FA69E8">
              <w:rPr>
                <w:sz w:val="20"/>
                <w:szCs w:val="20"/>
              </w:rPr>
              <w:t>S</w:t>
            </w:r>
            <w:r w:rsidR="002A1DD5" w:rsidRPr="00FA69E8">
              <w:rPr>
                <w:sz w:val="20"/>
                <w:szCs w:val="20"/>
              </w:rPr>
              <w:t>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49797389" w14:textId="77777777" w:rsidR="001D77B7" w:rsidRPr="00FA69E8" w:rsidRDefault="001D77B7" w:rsidP="00594E1B">
            <w:pPr>
              <w:jc w:val="center"/>
              <w:rPr>
                <w:sz w:val="20"/>
                <w:szCs w:val="20"/>
              </w:rPr>
            </w:pPr>
            <w:r w:rsidRPr="00FA69E8">
              <w:rPr>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3523858" w14:textId="7AE93BA6" w:rsidR="001D77B7" w:rsidRPr="00FA69E8" w:rsidRDefault="002A1DD5" w:rsidP="00594E1B">
            <w:pPr>
              <w:jc w:val="center"/>
              <w:rPr>
                <w:sz w:val="20"/>
                <w:szCs w:val="20"/>
              </w:rPr>
            </w:pPr>
            <w:r w:rsidRPr="00FA69E8">
              <w:rPr>
                <w:sz w:val="20"/>
                <w:szCs w:val="20"/>
              </w:rPr>
              <w:t>ENERGY STAR</w:t>
            </w:r>
          </w:p>
        </w:tc>
        <w:tc>
          <w:tcPr>
            <w:tcW w:w="810" w:type="dxa"/>
            <w:tcBorders>
              <w:top w:val="single" w:sz="8" w:space="0" w:color="auto"/>
              <w:left w:val="single" w:sz="4" w:space="0" w:color="auto"/>
            </w:tcBorders>
            <w:shd w:val="clear" w:color="auto" w:fill="auto"/>
            <w:noWrap/>
            <w:vAlign w:val="center"/>
            <w:hideMark/>
          </w:tcPr>
          <w:p w14:paraId="14485F30" w14:textId="77777777" w:rsidR="001D77B7" w:rsidRPr="00FA69E8" w:rsidRDefault="001D77B7" w:rsidP="00594E1B">
            <w:pPr>
              <w:jc w:val="center"/>
              <w:rPr>
                <w:sz w:val="20"/>
                <w:szCs w:val="20"/>
              </w:rPr>
            </w:pPr>
            <w:r w:rsidRPr="00FA69E8">
              <w:rPr>
                <w:sz w:val="20"/>
                <w:szCs w:val="20"/>
              </w:rPr>
              <w:t>CEE</w:t>
            </w:r>
          </w:p>
        </w:tc>
      </w:tr>
      <w:tr w:rsidR="00FA69E8" w:rsidRPr="00FA69E8" w14:paraId="4033C434" w14:textId="77777777" w:rsidTr="002A1DD5">
        <w:trPr>
          <w:trHeight w:val="20"/>
        </w:trPr>
        <w:tc>
          <w:tcPr>
            <w:tcW w:w="3600" w:type="dxa"/>
            <w:tcBorders>
              <w:right w:val="single" w:sz="8" w:space="0" w:color="auto"/>
            </w:tcBorders>
            <w:shd w:val="clear" w:color="auto" w:fill="auto"/>
            <w:noWrap/>
            <w:vAlign w:val="center"/>
            <w:hideMark/>
          </w:tcPr>
          <w:p w14:paraId="23AFB13B" w14:textId="77777777" w:rsidR="001D77B7" w:rsidRPr="00FA69E8" w:rsidRDefault="001D77B7" w:rsidP="00594E1B">
            <w:pPr>
              <w:jc w:val="center"/>
              <w:rPr>
                <w:sz w:val="20"/>
                <w:szCs w:val="20"/>
              </w:rPr>
            </w:pPr>
          </w:p>
        </w:tc>
        <w:tc>
          <w:tcPr>
            <w:tcW w:w="810" w:type="dxa"/>
            <w:tcBorders>
              <w:left w:val="single" w:sz="8" w:space="0" w:color="auto"/>
              <w:right w:val="single" w:sz="4" w:space="0" w:color="auto"/>
            </w:tcBorders>
            <w:shd w:val="clear" w:color="auto" w:fill="auto"/>
            <w:noWrap/>
            <w:vAlign w:val="center"/>
            <w:hideMark/>
          </w:tcPr>
          <w:p w14:paraId="262EE58C" w14:textId="77777777" w:rsidR="001D77B7" w:rsidRPr="00FA69E8" w:rsidRDefault="001D77B7" w:rsidP="00594E1B">
            <w:pPr>
              <w:jc w:val="center"/>
              <w:rPr>
                <w:sz w:val="20"/>
                <w:szCs w:val="20"/>
              </w:rPr>
            </w:pPr>
            <w:r w:rsidRPr="00FA69E8">
              <w:rPr>
                <w:sz w:val="20"/>
                <w:szCs w:val="20"/>
              </w:rPr>
              <w:t>Ref</w:t>
            </w:r>
          </w:p>
        </w:tc>
        <w:tc>
          <w:tcPr>
            <w:tcW w:w="894" w:type="dxa"/>
            <w:tcBorders>
              <w:left w:val="single" w:sz="4" w:space="0" w:color="auto"/>
              <w:right w:val="single" w:sz="4" w:space="0" w:color="auto"/>
            </w:tcBorders>
            <w:shd w:val="clear" w:color="auto" w:fill="auto"/>
            <w:noWrap/>
            <w:vAlign w:val="center"/>
            <w:hideMark/>
          </w:tcPr>
          <w:p w14:paraId="7028FFC7" w14:textId="77777777" w:rsidR="001D77B7" w:rsidRPr="00FA69E8" w:rsidRDefault="001D77B7" w:rsidP="00594E1B">
            <w:pPr>
              <w:jc w:val="center"/>
              <w:rPr>
                <w:sz w:val="20"/>
                <w:szCs w:val="20"/>
              </w:rPr>
            </w:pPr>
            <w:r w:rsidRPr="00FA69E8">
              <w:rPr>
                <w:sz w:val="20"/>
                <w:szCs w:val="20"/>
              </w:rPr>
              <w:t>2008-</w:t>
            </w:r>
          </w:p>
        </w:tc>
        <w:tc>
          <w:tcPr>
            <w:tcW w:w="1266" w:type="dxa"/>
            <w:tcBorders>
              <w:left w:val="single" w:sz="4" w:space="0" w:color="auto"/>
              <w:right w:val="single" w:sz="4" w:space="0" w:color="auto"/>
            </w:tcBorders>
            <w:shd w:val="clear" w:color="auto" w:fill="auto"/>
            <w:noWrap/>
            <w:vAlign w:val="center"/>
            <w:hideMark/>
          </w:tcPr>
          <w:p w14:paraId="6FE95FEA" w14:textId="77777777" w:rsidR="001D77B7" w:rsidRPr="00FA69E8" w:rsidRDefault="001D77B7" w:rsidP="00594E1B">
            <w:pPr>
              <w:jc w:val="center"/>
              <w:rPr>
                <w:sz w:val="20"/>
                <w:szCs w:val="20"/>
              </w:rPr>
            </w:pPr>
            <w:r w:rsidRPr="00FA69E8">
              <w:rPr>
                <w:sz w:val="20"/>
                <w:szCs w:val="20"/>
              </w:rPr>
              <w:t>2006-</w:t>
            </w:r>
          </w:p>
        </w:tc>
        <w:tc>
          <w:tcPr>
            <w:tcW w:w="810" w:type="dxa"/>
            <w:tcBorders>
              <w:left w:val="single" w:sz="4" w:space="0" w:color="auto"/>
              <w:right w:val="single" w:sz="4" w:space="0" w:color="auto"/>
            </w:tcBorders>
            <w:shd w:val="clear" w:color="auto" w:fill="auto"/>
            <w:noWrap/>
            <w:vAlign w:val="center"/>
            <w:hideMark/>
          </w:tcPr>
          <w:p w14:paraId="67118021" w14:textId="77777777" w:rsidR="001D77B7" w:rsidRPr="00FA69E8" w:rsidRDefault="001D77B7" w:rsidP="00594E1B">
            <w:pPr>
              <w:jc w:val="center"/>
              <w:rPr>
                <w:sz w:val="20"/>
                <w:szCs w:val="20"/>
              </w:rPr>
            </w:pPr>
            <w:r w:rsidRPr="00FA69E8">
              <w:rPr>
                <w:sz w:val="20"/>
                <w:szCs w:val="20"/>
              </w:rPr>
              <w:t>2018-</w:t>
            </w:r>
          </w:p>
        </w:tc>
        <w:tc>
          <w:tcPr>
            <w:tcW w:w="1170" w:type="dxa"/>
            <w:tcBorders>
              <w:left w:val="single" w:sz="4" w:space="0" w:color="auto"/>
              <w:right w:val="single" w:sz="4" w:space="0" w:color="auto"/>
            </w:tcBorders>
            <w:shd w:val="clear" w:color="auto" w:fill="auto"/>
            <w:noWrap/>
            <w:vAlign w:val="center"/>
            <w:hideMark/>
          </w:tcPr>
          <w:p w14:paraId="256D5006" w14:textId="77777777" w:rsidR="001D77B7" w:rsidRPr="00FA69E8" w:rsidRDefault="001D77B7" w:rsidP="00594E1B">
            <w:pPr>
              <w:jc w:val="center"/>
              <w:rPr>
                <w:sz w:val="20"/>
                <w:szCs w:val="20"/>
              </w:rPr>
            </w:pPr>
            <w:r w:rsidRPr="00FA69E8">
              <w:rPr>
                <w:sz w:val="20"/>
                <w:szCs w:val="20"/>
              </w:rPr>
              <w:t>2018-</w:t>
            </w:r>
          </w:p>
        </w:tc>
        <w:tc>
          <w:tcPr>
            <w:tcW w:w="810" w:type="dxa"/>
            <w:tcBorders>
              <w:left w:val="single" w:sz="4" w:space="0" w:color="auto"/>
            </w:tcBorders>
            <w:shd w:val="clear" w:color="auto" w:fill="auto"/>
            <w:noWrap/>
            <w:vAlign w:val="center"/>
            <w:hideMark/>
          </w:tcPr>
          <w:p w14:paraId="6DA3CE71" w14:textId="77777777" w:rsidR="001D77B7" w:rsidRPr="00FA69E8" w:rsidRDefault="001D77B7" w:rsidP="00594E1B">
            <w:pPr>
              <w:jc w:val="center"/>
              <w:rPr>
                <w:sz w:val="20"/>
                <w:szCs w:val="20"/>
              </w:rPr>
            </w:pPr>
            <w:r w:rsidRPr="00FA69E8">
              <w:rPr>
                <w:sz w:val="20"/>
                <w:szCs w:val="20"/>
              </w:rPr>
              <w:t>Tier II</w:t>
            </w:r>
          </w:p>
        </w:tc>
      </w:tr>
      <w:tr w:rsidR="00FA69E8" w:rsidRPr="00FA69E8" w14:paraId="659CC60E" w14:textId="77777777" w:rsidTr="002A1DD5">
        <w:trPr>
          <w:trHeight w:val="20"/>
        </w:trPr>
        <w:tc>
          <w:tcPr>
            <w:tcW w:w="3600" w:type="dxa"/>
            <w:tcBorders>
              <w:bottom w:val="single" w:sz="8" w:space="0" w:color="auto"/>
              <w:right w:val="single" w:sz="8" w:space="0" w:color="auto"/>
            </w:tcBorders>
            <w:shd w:val="clear" w:color="auto" w:fill="auto"/>
            <w:noWrap/>
            <w:vAlign w:val="center"/>
            <w:hideMark/>
          </w:tcPr>
          <w:p w14:paraId="1CFAE22C" w14:textId="77777777" w:rsidR="001D77B7" w:rsidRPr="00FA69E8" w:rsidRDefault="001D77B7" w:rsidP="00594E1B">
            <w:pPr>
              <w:jc w:val="center"/>
              <w:rPr>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5FC37F4F" w14:textId="17B35F0A" w:rsidR="001D77B7" w:rsidRPr="00FA69E8" w:rsidRDefault="001D77B7" w:rsidP="00594E1B">
            <w:pPr>
              <w:jc w:val="center"/>
              <w:rPr>
                <w:sz w:val="20"/>
                <w:szCs w:val="20"/>
                <w:vertAlign w:val="superscript"/>
              </w:rPr>
            </w:pPr>
            <w:r w:rsidRPr="00FA69E8">
              <w:rPr>
                <w:sz w:val="20"/>
                <w:szCs w:val="20"/>
              </w:rPr>
              <w:t>2006</w:t>
            </w:r>
            <w:r w:rsidR="00713FFE" w:rsidRPr="00FA69E8">
              <w:rPr>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69F7E4EB" w14:textId="5751C2D8" w:rsidR="001D77B7" w:rsidRPr="00FA69E8" w:rsidRDefault="001D77B7" w:rsidP="00594E1B">
            <w:pPr>
              <w:jc w:val="center"/>
              <w:rPr>
                <w:sz w:val="20"/>
                <w:szCs w:val="20"/>
                <w:vertAlign w:val="superscript"/>
              </w:rPr>
            </w:pPr>
            <w:r w:rsidRPr="00FA69E8">
              <w:rPr>
                <w:sz w:val="20"/>
                <w:szCs w:val="20"/>
              </w:rPr>
              <w:t>2017</w:t>
            </w:r>
            <w:r w:rsidR="00713FFE" w:rsidRPr="00FA69E8">
              <w:rPr>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661608CD" w14:textId="76ACCBDB" w:rsidR="001D77B7" w:rsidRPr="00FA69E8" w:rsidRDefault="001D77B7" w:rsidP="00594E1B">
            <w:pPr>
              <w:jc w:val="center"/>
              <w:rPr>
                <w:sz w:val="20"/>
                <w:szCs w:val="20"/>
                <w:vertAlign w:val="superscript"/>
              </w:rPr>
            </w:pPr>
            <w:r w:rsidRPr="00FA69E8">
              <w:rPr>
                <w:sz w:val="20"/>
                <w:szCs w:val="20"/>
              </w:rPr>
              <w:t>2017</w:t>
            </w:r>
            <w:r w:rsidR="00713FFE" w:rsidRPr="00FA69E8">
              <w:rPr>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765C7CDB" w14:textId="77777777" w:rsidR="001D77B7" w:rsidRPr="00FA69E8" w:rsidRDefault="001D77B7" w:rsidP="00594E1B">
            <w:pPr>
              <w:jc w:val="center"/>
              <w:rPr>
                <w:sz w:val="20"/>
                <w:szCs w:val="20"/>
              </w:rPr>
            </w:pPr>
            <w:r w:rsidRPr="00FA69E8">
              <w:rPr>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552EDC56" w14:textId="77777777" w:rsidR="001D77B7" w:rsidRPr="00FA69E8" w:rsidRDefault="001D77B7" w:rsidP="00594E1B">
            <w:pPr>
              <w:jc w:val="center"/>
              <w:rPr>
                <w:sz w:val="20"/>
                <w:szCs w:val="20"/>
              </w:rPr>
            </w:pPr>
            <w:r w:rsidRPr="00FA69E8">
              <w:rPr>
                <w:sz w:val="20"/>
                <w:szCs w:val="20"/>
              </w:rPr>
              <w:t>present</w:t>
            </w:r>
          </w:p>
        </w:tc>
        <w:tc>
          <w:tcPr>
            <w:tcW w:w="810" w:type="dxa"/>
            <w:tcBorders>
              <w:left w:val="single" w:sz="4" w:space="0" w:color="auto"/>
              <w:bottom w:val="single" w:sz="8" w:space="0" w:color="auto"/>
            </w:tcBorders>
            <w:shd w:val="clear" w:color="auto" w:fill="auto"/>
            <w:noWrap/>
            <w:vAlign w:val="center"/>
            <w:hideMark/>
          </w:tcPr>
          <w:p w14:paraId="01C7B5F9" w14:textId="5E158645" w:rsidR="001D77B7" w:rsidRPr="00FA69E8" w:rsidRDefault="001D77B7" w:rsidP="00594E1B">
            <w:pPr>
              <w:jc w:val="center"/>
              <w:rPr>
                <w:sz w:val="20"/>
                <w:szCs w:val="20"/>
                <w:vertAlign w:val="superscript"/>
              </w:rPr>
            </w:pPr>
            <w:r w:rsidRPr="00FA69E8">
              <w:rPr>
                <w:sz w:val="20"/>
                <w:szCs w:val="20"/>
              </w:rPr>
              <w:t>2018</w:t>
            </w:r>
            <w:r w:rsidR="00713FFE" w:rsidRPr="00FA69E8">
              <w:rPr>
                <w:sz w:val="20"/>
                <w:szCs w:val="20"/>
                <w:vertAlign w:val="superscript"/>
              </w:rPr>
              <w:t>d</w:t>
            </w:r>
          </w:p>
        </w:tc>
      </w:tr>
      <w:tr w:rsidR="00FA69E8" w:rsidRPr="00FA69E8" w14:paraId="6AC0EAE3" w14:textId="77777777" w:rsidTr="00594E1B">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4A66F48F" w14:textId="77777777" w:rsidR="001D77B7" w:rsidRPr="00FA69E8" w:rsidRDefault="001D77B7" w:rsidP="00594E1B">
            <w:pPr>
              <w:jc w:val="center"/>
              <w:rPr>
                <w:bCs/>
                <w:sz w:val="22"/>
                <w:szCs w:val="22"/>
              </w:rPr>
            </w:pPr>
            <w:r w:rsidRPr="00FA69E8">
              <w:rPr>
                <w:bCs/>
                <w:sz w:val="22"/>
                <w:szCs w:val="22"/>
              </w:rPr>
              <w:t>Clothes Washer Inputs:</w:t>
            </w:r>
          </w:p>
        </w:tc>
      </w:tr>
      <w:tr w:rsidR="00FA69E8" w:rsidRPr="00FA69E8" w14:paraId="2330B8E4" w14:textId="77777777" w:rsidTr="002A1DD5">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05FFF79C" w14:textId="77777777" w:rsidR="001D77B7" w:rsidRPr="00FA69E8" w:rsidRDefault="001D77B7" w:rsidP="00594E1B">
            <w:pPr>
              <w:jc w:val="right"/>
              <w:rPr>
                <w:sz w:val="20"/>
                <w:szCs w:val="20"/>
              </w:rPr>
            </w:pPr>
            <w:r w:rsidRPr="00FA69E8">
              <w:rPr>
                <w:sz w:val="20"/>
                <w:szCs w:val="20"/>
              </w:rPr>
              <w:t>LER [Label Energy Rating in kWh/</w:t>
            </w:r>
            <w:proofErr w:type="gramStart"/>
            <w:r w:rsidRPr="00FA69E8">
              <w:rPr>
                <w:sz w:val="20"/>
                <w:szCs w:val="20"/>
              </w:rPr>
              <w:t>y]=</w:t>
            </w:r>
            <w:proofErr w:type="gramEnd"/>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AD9CA" w14:textId="77777777" w:rsidR="001D77B7" w:rsidRPr="00FA69E8" w:rsidRDefault="001D77B7" w:rsidP="00594E1B">
            <w:pPr>
              <w:jc w:val="center"/>
              <w:rPr>
                <w:sz w:val="20"/>
                <w:szCs w:val="20"/>
              </w:rPr>
            </w:pPr>
            <w:r w:rsidRPr="00FA69E8">
              <w:rPr>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C11E41D" w14:textId="77777777" w:rsidR="001D77B7" w:rsidRPr="00FA69E8" w:rsidRDefault="001D77B7" w:rsidP="00594E1B">
            <w:pPr>
              <w:jc w:val="center"/>
              <w:rPr>
                <w:sz w:val="20"/>
                <w:szCs w:val="20"/>
              </w:rPr>
            </w:pPr>
            <w:r w:rsidRPr="00FA69E8">
              <w:rPr>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68FC2F" w14:textId="77777777" w:rsidR="001D77B7" w:rsidRPr="00FA69E8" w:rsidRDefault="001D77B7" w:rsidP="00594E1B">
            <w:pPr>
              <w:jc w:val="center"/>
              <w:rPr>
                <w:sz w:val="20"/>
                <w:szCs w:val="20"/>
              </w:rPr>
            </w:pPr>
            <w:r w:rsidRPr="00FA69E8">
              <w:rPr>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9F7424" w14:textId="77777777" w:rsidR="001D77B7" w:rsidRPr="00FA69E8" w:rsidRDefault="001D77B7" w:rsidP="00594E1B">
            <w:pPr>
              <w:jc w:val="center"/>
              <w:rPr>
                <w:sz w:val="20"/>
                <w:szCs w:val="20"/>
              </w:rPr>
            </w:pPr>
            <w:r w:rsidRPr="00FA69E8">
              <w:rPr>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372D1F" w14:textId="77777777" w:rsidR="001D77B7" w:rsidRPr="00FA69E8" w:rsidRDefault="001D77B7" w:rsidP="00594E1B">
            <w:pPr>
              <w:jc w:val="center"/>
              <w:rPr>
                <w:sz w:val="20"/>
                <w:szCs w:val="20"/>
              </w:rPr>
            </w:pPr>
            <w:r w:rsidRPr="00FA69E8">
              <w:rPr>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5ECABFE6" w14:textId="77777777" w:rsidR="001D77B7" w:rsidRPr="00FA69E8" w:rsidRDefault="001D77B7" w:rsidP="00594E1B">
            <w:pPr>
              <w:jc w:val="center"/>
              <w:rPr>
                <w:sz w:val="20"/>
                <w:szCs w:val="20"/>
              </w:rPr>
            </w:pPr>
            <w:r w:rsidRPr="00FA69E8">
              <w:rPr>
                <w:sz w:val="20"/>
                <w:szCs w:val="20"/>
              </w:rPr>
              <w:t>125</w:t>
            </w:r>
          </w:p>
        </w:tc>
      </w:tr>
      <w:tr w:rsidR="00FA69E8" w:rsidRPr="00FA69E8" w14:paraId="4FC72BAF"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1F31D09B" w14:textId="77777777" w:rsidR="001D77B7" w:rsidRPr="00FA69E8" w:rsidRDefault="001D77B7" w:rsidP="00594E1B">
            <w:pPr>
              <w:jc w:val="right"/>
              <w:rPr>
                <w:sz w:val="20"/>
                <w:szCs w:val="20"/>
              </w:rPr>
            </w:pPr>
            <w:r w:rsidRPr="00FA69E8">
              <w:rPr>
                <w:sz w:val="20"/>
                <w:szCs w:val="20"/>
              </w:rPr>
              <w:t>GHWC [Cost with gas hot water in $/</w:t>
            </w:r>
            <w:proofErr w:type="gramStart"/>
            <w:r w:rsidRPr="00FA69E8">
              <w:rPr>
                <w:sz w:val="20"/>
                <w:szCs w:val="20"/>
              </w:rPr>
              <w:t>y]=</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1C929D" w14:textId="77777777" w:rsidR="001D77B7" w:rsidRPr="00FA69E8" w:rsidRDefault="001D77B7" w:rsidP="00594E1B">
            <w:pPr>
              <w:jc w:val="center"/>
              <w:rPr>
                <w:sz w:val="20"/>
                <w:szCs w:val="20"/>
              </w:rPr>
            </w:pPr>
            <w:r w:rsidRPr="00FA69E8">
              <w:rPr>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175BD" w14:textId="77777777" w:rsidR="001D77B7" w:rsidRPr="00FA69E8" w:rsidRDefault="001D77B7" w:rsidP="00594E1B">
            <w:pPr>
              <w:jc w:val="center"/>
              <w:rPr>
                <w:sz w:val="20"/>
                <w:szCs w:val="20"/>
              </w:rPr>
            </w:pPr>
            <w:r w:rsidRPr="00FA69E8">
              <w:rPr>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24C" w14:textId="77777777" w:rsidR="001D77B7" w:rsidRPr="00FA69E8" w:rsidRDefault="001D77B7" w:rsidP="00594E1B">
            <w:pPr>
              <w:jc w:val="center"/>
              <w:rPr>
                <w:sz w:val="20"/>
                <w:szCs w:val="20"/>
              </w:rPr>
            </w:pPr>
            <w:r w:rsidRPr="00FA69E8">
              <w:rPr>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D0E4" w14:textId="77777777" w:rsidR="001D77B7" w:rsidRPr="00FA69E8" w:rsidRDefault="001D77B7" w:rsidP="00594E1B">
            <w:pPr>
              <w:jc w:val="center"/>
              <w:rPr>
                <w:sz w:val="20"/>
                <w:szCs w:val="20"/>
              </w:rPr>
            </w:pPr>
            <w:r w:rsidRPr="00FA69E8">
              <w:rPr>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BF60" w14:textId="77777777" w:rsidR="001D77B7" w:rsidRPr="00FA69E8" w:rsidRDefault="001D77B7" w:rsidP="00594E1B">
            <w:pPr>
              <w:jc w:val="center"/>
              <w:rPr>
                <w:sz w:val="20"/>
                <w:szCs w:val="20"/>
              </w:rPr>
            </w:pPr>
            <w:r w:rsidRPr="00FA69E8">
              <w:rPr>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BC6AC27" w14:textId="77777777" w:rsidR="001D77B7" w:rsidRPr="00FA69E8" w:rsidRDefault="001D77B7" w:rsidP="00594E1B">
            <w:pPr>
              <w:jc w:val="center"/>
              <w:rPr>
                <w:sz w:val="20"/>
                <w:szCs w:val="20"/>
              </w:rPr>
            </w:pPr>
            <w:r w:rsidRPr="00FA69E8">
              <w:rPr>
                <w:sz w:val="20"/>
                <w:szCs w:val="20"/>
              </w:rPr>
              <w:t>$9</w:t>
            </w:r>
          </w:p>
        </w:tc>
      </w:tr>
      <w:tr w:rsidR="00FA69E8" w:rsidRPr="00FA69E8" w14:paraId="72929B69"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6E3B869" w14:textId="77777777" w:rsidR="001D77B7" w:rsidRPr="00FA69E8" w:rsidRDefault="001D77B7" w:rsidP="00594E1B">
            <w:pPr>
              <w:jc w:val="right"/>
              <w:rPr>
                <w:sz w:val="20"/>
                <w:szCs w:val="20"/>
              </w:rPr>
            </w:pPr>
            <w:proofErr w:type="spellStart"/>
            <w:r w:rsidRPr="00FA69E8">
              <w:rPr>
                <w:sz w:val="20"/>
                <w:szCs w:val="20"/>
              </w:rPr>
              <w:t>elec_price</w:t>
            </w:r>
            <w:proofErr w:type="spellEnd"/>
            <w:r w:rsidRPr="00FA69E8">
              <w:rPr>
                <w:sz w:val="20"/>
                <w:szCs w:val="20"/>
              </w:rPr>
              <w:t xml:space="preserve"> [$/</w:t>
            </w:r>
            <w:proofErr w:type="gramStart"/>
            <w:r w:rsidRPr="00FA69E8">
              <w:rPr>
                <w:sz w:val="20"/>
                <w:szCs w:val="20"/>
              </w:rPr>
              <w:t>kWh]=</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2653D6" w14:textId="77777777" w:rsidR="001D77B7" w:rsidRPr="00FA69E8" w:rsidRDefault="001D77B7" w:rsidP="00594E1B">
            <w:pPr>
              <w:jc w:val="center"/>
              <w:rPr>
                <w:sz w:val="20"/>
                <w:szCs w:val="20"/>
              </w:rPr>
            </w:pPr>
            <w:r w:rsidRPr="00FA69E8">
              <w:rPr>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FB5B" w14:textId="77777777" w:rsidR="001D77B7" w:rsidRPr="00FA69E8" w:rsidRDefault="001D77B7" w:rsidP="00594E1B">
            <w:pPr>
              <w:jc w:val="center"/>
              <w:rPr>
                <w:sz w:val="20"/>
                <w:szCs w:val="20"/>
              </w:rPr>
            </w:pPr>
            <w:r w:rsidRPr="00FA69E8">
              <w:rPr>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97E5" w14:textId="77777777" w:rsidR="001D77B7" w:rsidRPr="00FA69E8" w:rsidRDefault="001D77B7" w:rsidP="00594E1B">
            <w:pPr>
              <w:jc w:val="center"/>
              <w:rPr>
                <w:sz w:val="20"/>
                <w:szCs w:val="20"/>
              </w:rPr>
            </w:pPr>
            <w:r w:rsidRPr="00FA69E8">
              <w:rPr>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EAC3" w14:textId="77777777" w:rsidR="001D77B7" w:rsidRPr="00FA69E8" w:rsidRDefault="001D77B7" w:rsidP="00594E1B">
            <w:pPr>
              <w:jc w:val="center"/>
              <w:rPr>
                <w:sz w:val="20"/>
                <w:szCs w:val="20"/>
              </w:rPr>
            </w:pPr>
            <w:r w:rsidRPr="00FA69E8">
              <w:rPr>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E1A7" w14:textId="77777777" w:rsidR="001D77B7" w:rsidRPr="00FA69E8" w:rsidRDefault="001D77B7" w:rsidP="00594E1B">
            <w:pPr>
              <w:jc w:val="center"/>
              <w:rPr>
                <w:sz w:val="20"/>
                <w:szCs w:val="20"/>
              </w:rPr>
            </w:pPr>
            <w:r w:rsidRPr="00FA69E8">
              <w:rPr>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93A0F5" w14:textId="77777777" w:rsidR="001D77B7" w:rsidRPr="00FA69E8" w:rsidRDefault="001D77B7" w:rsidP="00594E1B">
            <w:pPr>
              <w:jc w:val="center"/>
              <w:rPr>
                <w:sz w:val="20"/>
                <w:szCs w:val="20"/>
              </w:rPr>
            </w:pPr>
            <w:r w:rsidRPr="00FA69E8">
              <w:rPr>
                <w:sz w:val="20"/>
                <w:szCs w:val="20"/>
              </w:rPr>
              <w:t>$0.12</w:t>
            </w:r>
          </w:p>
        </w:tc>
      </w:tr>
      <w:tr w:rsidR="00FA69E8" w:rsidRPr="00FA69E8" w14:paraId="7537C4FE"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D610520" w14:textId="77777777" w:rsidR="001D77B7" w:rsidRPr="00FA69E8" w:rsidRDefault="001D77B7" w:rsidP="00594E1B">
            <w:pPr>
              <w:jc w:val="right"/>
              <w:rPr>
                <w:sz w:val="20"/>
                <w:szCs w:val="20"/>
              </w:rPr>
            </w:pPr>
            <w:proofErr w:type="spellStart"/>
            <w:r w:rsidRPr="00FA69E8">
              <w:rPr>
                <w:sz w:val="20"/>
                <w:szCs w:val="20"/>
              </w:rPr>
              <w:t>gas_price</w:t>
            </w:r>
            <w:proofErr w:type="spellEnd"/>
            <w:r w:rsidRPr="00FA69E8">
              <w:rPr>
                <w:sz w:val="20"/>
                <w:szCs w:val="20"/>
              </w:rPr>
              <w:t xml:space="preserve"> [$/</w:t>
            </w:r>
            <w:proofErr w:type="spellStart"/>
            <w:proofErr w:type="gramStart"/>
            <w:r w:rsidRPr="00FA69E8">
              <w:rPr>
                <w:sz w:val="20"/>
                <w:szCs w:val="20"/>
              </w:rPr>
              <w:t>therm</w:t>
            </w:r>
            <w:proofErr w:type="spellEnd"/>
            <w:r w:rsidRPr="00FA69E8">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E91BE" w14:textId="77777777" w:rsidR="001D77B7" w:rsidRPr="00FA69E8" w:rsidRDefault="001D77B7" w:rsidP="00594E1B">
            <w:pPr>
              <w:jc w:val="center"/>
              <w:rPr>
                <w:sz w:val="20"/>
                <w:szCs w:val="20"/>
              </w:rPr>
            </w:pPr>
            <w:r w:rsidRPr="00FA69E8">
              <w:rPr>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D5E7" w14:textId="77777777" w:rsidR="001D77B7" w:rsidRPr="00FA69E8" w:rsidRDefault="001D77B7" w:rsidP="00594E1B">
            <w:pPr>
              <w:jc w:val="center"/>
              <w:rPr>
                <w:sz w:val="20"/>
                <w:szCs w:val="20"/>
              </w:rPr>
            </w:pPr>
            <w:r w:rsidRPr="00FA69E8">
              <w:rPr>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DB62" w14:textId="77777777" w:rsidR="001D77B7" w:rsidRPr="00FA69E8" w:rsidRDefault="001D77B7" w:rsidP="00594E1B">
            <w:pPr>
              <w:jc w:val="center"/>
              <w:rPr>
                <w:sz w:val="20"/>
                <w:szCs w:val="20"/>
              </w:rPr>
            </w:pPr>
            <w:r w:rsidRPr="00FA69E8">
              <w:rPr>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79F" w14:textId="77777777" w:rsidR="001D77B7" w:rsidRPr="00FA69E8" w:rsidRDefault="001D77B7" w:rsidP="00594E1B">
            <w:pPr>
              <w:jc w:val="center"/>
              <w:rPr>
                <w:sz w:val="20"/>
                <w:szCs w:val="20"/>
              </w:rPr>
            </w:pPr>
            <w:r w:rsidRPr="00FA69E8">
              <w:rPr>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715F" w14:textId="77777777" w:rsidR="001D77B7" w:rsidRPr="00FA69E8" w:rsidRDefault="001D77B7" w:rsidP="00594E1B">
            <w:pPr>
              <w:jc w:val="center"/>
              <w:rPr>
                <w:sz w:val="20"/>
                <w:szCs w:val="20"/>
              </w:rPr>
            </w:pPr>
            <w:r w:rsidRPr="00FA69E8">
              <w:rPr>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3A8FE7D" w14:textId="77777777" w:rsidR="001D77B7" w:rsidRPr="00FA69E8" w:rsidRDefault="001D77B7" w:rsidP="00594E1B">
            <w:pPr>
              <w:jc w:val="center"/>
              <w:rPr>
                <w:sz w:val="20"/>
                <w:szCs w:val="20"/>
              </w:rPr>
            </w:pPr>
            <w:r w:rsidRPr="00FA69E8">
              <w:rPr>
                <w:sz w:val="20"/>
                <w:szCs w:val="20"/>
              </w:rPr>
              <w:t>$1.09</w:t>
            </w:r>
          </w:p>
        </w:tc>
      </w:tr>
      <w:tr w:rsidR="00FA69E8" w:rsidRPr="00FA69E8" w14:paraId="7A6027E7"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778D3E54" w14:textId="77777777" w:rsidR="001D77B7" w:rsidRPr="00FA69E8" w:rsidRDefault="001D77B7" w:rsidP="00594E1B">
            <w:pPr>
              <w:jc w:val="right"/>
              <w:rPr>
                <w:sz w:val="20"/>
                <w:szCs w:val="20"/>
              </w:rPr>
            </w:pPr>
            <w:r w:rsidRPr="00FA69E8">
              <w:rPr>
                <w:sz w:val="20"/>
                <w:szCs w:val="20"/>
              </w:rPr>
              <w:t>IMEF [ft3/(kWh/</w:t>
            </w:r>
            <w:proofErr w:type="spellStart"/>
            <w:r w:rsidRPr="00FA69E8">
              <w:rPr>
                <w:sz w:val="20"/>
                <w:szCs w:val="20"/>
              </w:rPr>
              <w:t>cyc</w:t>
            </w:r>
            <w:proofErr w:type="spellEnd"/>
            <w:proofErr w:type="gramStart"/>
            <w:r w:rsidRPr="00FA69E8">
              <w:rPr>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9D18AD" w14:textId="77777777" w:rsidR="001D77B7" w:rsidRPr="00FA69E8" w:rsidRDefault="001D77B7" w:rsidP="00594E1B">
            <w:pPr>
              <w:jc w:val="center"/>
              <w:rPr>
                <w:sz w:val="20"/>
                <w:szCs w:val="20"/>
              </w:rPr>
            </w:pPr>
            <w:r w:rsidRPr="00FA69E8">
              <w:rPr>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5793" w14:textId="77777777" w:rsidR="001D77B7" w:rsidRPr="00FA69E8" w:rsidRDefault="001D77B7" w:rsidP="00594E1B">
            <w:pPr>
              <w:jc w:val="center"/>
              <w:rPr>
                <w:sz w:val="20"/>
                <w:szCs w:val="20"/>
              </w:rPr>
            </w:pPr>
            <w:r w:rsidRPr="00FA69E8">
              <w:rPr>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7B1F" w14:textId="77777777" w:rsidR="001D77B7" w:rsidRPr="00FA69E8" w:rsidRDefault="001D77B7" w:rsidP="00594E1B">
            <w:pPr>
              <w:jc w:val="center"/>
              <w:rPr>
                <w:sz w:val="20"/>
                <w:szCs w:val="20"/>
              </w:rPr>
            </w:pPr>
            <w:r w:rsidRPr="00FA69E8">
              <w:rPr>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15A4" w14:textId="77777777" w:rsidR="001D77B7" w:rsidRPr="00FA69E8" w:rsidRDefault="001D77B7" w:rsidP="00594E1B">
            <w:pPr>
              <w:jc w:val="center"/>
              <w:rPr>
                <w:sz w:val="20"/>
                <w:szCs w:val="20"/>
              </w:rPr>
            </w:pPr>
            <w:r w:rsidRPr="00FA69E8">
              <w:rPr>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E758" w14:textId="77777777" w:rsidR="001D77B7" w:rsidRPr="00FA69E8" w:rsidRDefault="001D77B7" w:rsidP="00594E1B">
            <w:pPr>
              <w:jc w:val="center"/>
              <w:rPr>
                <w:sz w:val="20"/>
                <w:szCs w:val="20"/>
              </w:rPr>
            </w:pPr>
            <w:r w:rsidRPr="00FA69E8">
              <w:rPr>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D3DE3FC" w14:textId="77777777" w:rsidR="001D77B7" w:rsidRPr="00FA69E8" w:rsidRDefault="001D77B7" w:rsidP="00594E1B">
            <w:pPr>
              <w:jc w:val="center"/>
              <w:rPr>
                <w:sz w:val="20"/>
                <w:szCs w:val="20"/>
              </w:rPr>
            </w:pPr>
            <w:r w:rsidRPr="00FA69E8">
              <w:rPr>
                <w:sz w:val="20"/>
                <w:szCs w:val="20"/>
              </w:rPr>
              <w:t>2.92</w:t>
            </w:r>
          </w:p>
        </w:tc>
      </w:tr>
      <w:tr w:rsidR="00FA69E8" w:rsidRPr="00FA69E8" w14:paraId="343A8BA3"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5E7B9FC" w14:textId="77777777" w:rsidR="001D77B7" w:rsidRPr="00FA69E8" w:rsidRDefault="001D77B7" w:rsidP="00594E1B">
            <w:pPr>
              <w:jc w:val="right"/>
              <w:rPr>
                <w:sz w:val="20"/>
                <w:szCs w:val="20"/>
              </w:rPr>
            </w:pPr>
            <w:proofErr w:type="spellStart"/>
            <w:r w:rsidRPr="00FA69E8">
              <w:rPr>
                <w:sz w:val="20"/>
                <w:szCs w:val="20"/>
              </w:rPr>
              <w:t>CAPw</w:t>
            </w:r>
            <w:proofErr w:type="spellEnd"/>
            <w:r w:rsidRPr="00FA69E8">
              <w:rPr>
                <w:sz w:val="20"/>
                <w:szCs w:val="20"/>
              </w:rPr>
              <w:t xml:space="preserve"> [ft</w:t>
            </w:r>
            <w:proofErr w:type="gramStart"/>
            <w:r w:rsidRPr="00FA69E8">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D6D622" w14:textId="77777777" w:rsidR="001D77B7" w:rsidRPr="00FA69E8" w:rsidRDefault="001D77B7" w:rsidP="00594E1B">
            <w:pPr>
              <w:jc w:val="center"/>
              <w:rPr>
                <w:sz w:val="20"/>
                <w:szCs w:val="20"/>
              </w:rPr>
            </w:pPr>
            <w:r w:rsidRPr="00FA69E8">
              <w:rPr>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AB2C" w14:textId="77777777" w:rsidR="001D77B7" w:rsidRPr="00FA69E8" w:rsidRDefault="001D77B7" w:rsidP="00594E1B">
            <w:pPr>
              <w:jc w:val="center"/>
              <w:rPr>
                <w:sz w:val="20"/>
                <w:szCs w:val="20"/>
              </w:rPr>
            </w:pPr>
            <w:r w:rsidRPr="00FA69E8">
              <w:rPr>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8224" w14:textId="77777777" w:rsidR="001D77B7" w:rsidRPr="00FA69E8" w:rsidRDefault="001D77B7" w:rsidP="00594E1B">
            <w:pPr>
              <w:jc w:val="center"/>
              <w:rPr>
                <w:sz w:val="20"/>
                <w:szCs w:val="20"/>
              </w:rPr>
            </w:pPr>
            <w:r w:rsidRPr="00FA69E8">
              <w:rPr>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59AC" w14:textId="77777777" w:rsidR="001D77B7" w:rsidRPr="00FA69E8" w:rsidRDefault="001D77B7" w:rsidP="00594E1B">
            <w:pPr>
              <w:jc w:val="center"/>
              <w:rPr>
                <w:sz w:val="20"/>
                <w:szCs w:val="20"/>
              </w:rPr>
            </w:pPr>
            <w:r w:rsidRPr="00FA69E8">
              <w:rPr>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F6FA" w14:textId="77777777" w:rsidR="001D77B7" w:rsidRPr="00FA69E8" w:rsidRDefault="001D77B7" w:rsidP="00594E1B">
            <w:pPr>
              <w:jc w:val="center"/>
              <w:rPr>
                <w:sz w:val="20"/>
                <w:szCs w:val="20"/>
              </w:rPr>
            </w:pPr>
            <w:r w:rsidRPr="00FA69E8">
              <w:rPr>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3E007FFB" w14:textId="77777777" w:rsidR="001D77B7" w:rsidRPr="00FA69E8" w:rsidRDefault="001D77B7" w:rsidP="00594E1B">
            <w:pPr>
              <w:jc w:val="center"/>
              <w:rPr>
                <w:sz w:val="20"/>
                <w:szCs w:val="20"/>
              </w:rPr>
            </w:pPr>
            <w:r w:rsidRPr="00FA69E8">
              <w:rPr>
                <w:sz w:val="20"/>
                <w:szCs w:val="20"/>
              </w:rPr>
              <w:t>5.2</w:t>
            </w:r>
          </w:p>
        </w:tc>
      </w:tr>
      <w:tr w:rsidR="00FA69E8" w:rsidRPr="00FA69E8" w14:paraId="39445904" w14:textId="77777777" w:rsidTr="002A1DD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50BC2AF" w14:textId="77777777" w:rsidR="001D77B7" w:rsidRPr="00FA69E8" w:rsidRDefault="001D77B7" w:rsidP="00594E1B">
            <w:pPr>
              <w:jc w:val="right"/>
              <w:rPr>
                <w:sz w:val="20"/>
                <w:szCs w:val="20"/>
              </w:rPr>
            </w:pPr>
            <w:r w:rsidRPr="00FA69E8">
              <w:rPr>
                <w:sz w:val="20"/>
                <w:szCs w:val="20"/>
              </w:rPr>
              <w:t>IWF [(gal/</w:t>
            </w:r>
            <w:proofErr w:type="spellStart"/>
            <w:r w:rsidRPr="00FA69E8">
              <w:rPr>
                <w:sz w:val="20"/>
                <w:szCs w:val="20"/>
              </w:rPr>
              <w:t>cyc</w:t>
            </w:r>
            <w:proofErr w:type="spellEnd"/>
            <w:r w:rsidRPr="00FA69E8">
              <w:rPr>
                <w:sz w:val="20"/>
                <w:szCs w:val="20"/>
              </w:rPr>
              <w:t>)/ft</w:t>
            </w:r>
            <w:proofErr w:type="gramStart"/>
            <w:r w:rsidRPr="00FA69E8">
              <w:rPr>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387E93" w14:textId="77777777" w:rsidR="001D77B7" w:rsidRPr="00FA69E8" w:rsidRDefault="001D77B7" w:rsidP="00594E1B">
            <w:pPr>
              <w:jc w:val="center"/>
              <w:rPr>
                <w:sz w:val="20"/>
                <w:szCs w:val="20"/>
              </w:rPr>
            </w:pPr>
            <w:r w:rsidRPr="00FA69E8">
              <w:rPr>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C6C9" w14:textId="77777777" w:rsidR="001D77B7" w:rsidRPr="00FA69E8" w:rsidRDefault="001D77B7" w:rsidP="00594E1B">
            <w:pPr>
              <w:jc w:val="center"/>
              <w:rPr>
                <w:sz w:val="20"/>
                <w:szCs w:val="20"/>
              </w:rPr>
            </w:pPr>
            <w:r w:rsidRPr="00FA69E8">
              <w:rPr>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F0C0" w14:textId="77777777" w:rsidR="001D77B7" w:rsidRPr="00FA69E8" w:rsidRDefault="001D77B7" w:rsidP="00594E1B">
            <w:pPr>
              <w:jc w:val="center"/>
              <w:rPr>
                <w:sz w:val="20"/>
                <w:szCs w:val="20"/>
              </w:rPr>
            </w:pPr>
            <w:r w:rsidRPr="00FA69E8">
              <w:rPr>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C686" w14:textId="77777777" w:rsidR="001D77B7" w:rsidRPr="00FA69E8" w:rsidRDefault="001D77B7" w:rsidP="00594E1B">
            <w:pPr>
              <w:jc w:val="center"/>
              <w:rPr>
                <w:sz w:val="20"/>
                <w:szCs w:val="20"/>
              </w:rPr>
            </w:pPr>
            <w:r w:rsidRPr="00FA69E8">
              <w:rPr>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D52D" w14:textId="77777777" w:rsidR="001D77B7" w:rsidRPr="00FA69E8" w:rsidRDefault="001D77B7" w:rsidP="00594E1B">
            <w:pPr>
              <w:jc w:val="center"/>
              <w:rPr>
                <w:sz w:val="20"/>
                <w:szCs w:val="20"/>
              </w:rPr>
            </w:pPr>
            <w:r w:rsidRPr="00FA69E8">
              <w:rPr>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6584F8A9" w14:textId="77777777" w:rsidR="001D77B7" w:rsidRPr="00FA69E8" w:rsidRDefault="001D77B7" w:rsidP="00594E1B">
            <w:pPr>
              <w:jc w:val="center"/>
              <w:rPr>
                <w:sz w:val="20"/>
                <w:szCs w:val="20"/>
              </w:rPr>
            </w:pPr>
            <w:r w:rsidRPr="00FA69E8">
              <w:rPr>
                <w:sz w:val="20"/>
                <w:szCs w:val="20"/>
              </w:rPr>
              <w:t>3.2</w:t>
            </w:r>
          </w:p>
        </w:tc>
      </w:tr>
      <w:tr w:rsidR="00FA69E8" w:rsidRPr="00FA69E8" w14:paraId="0210C9BC" w14:textId="77777777" w:rsidTr="002A1DD5">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0E17BE54" w14:textId="77777777" w:rsidR="001D77B7" w:rsidRPr="00FA69E8" w:rsidRDefault="001D77B7" w:rsidP="00594E1B">
            <w:pPr>
              <w:jc w:val="right"/>
              <w:rPr>
                <w:sz w:val="20"/>
                <w:szCs w:val="20"/>
              </w:rPr>
            </w:pPr>
            <w:r w:rsidRPr="00FA69E8">
              <w:rPr>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ED681E" w14:textId="77777777" w:rsidR="001D77B7" w:rsidRPr="00FA69E8" w:rsidRDefault="001D77B7" w:rsidP="00594E1B">
            <w:pPr>
              <w:jc w:val="center"/>
              <w:rPr>
                <w:sz w:val="20"/>
                <w:szCs w:val="20"/>
              </w:rPr>
            </w:pPr>
            <w:r w:rsidRPr="00FA69E8">
              <w:rPr>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C02B4E" w14:textId="77777777" w:rsidR="001D77B7" w:rsidRPr="00FA69E8" w:rsidRDefault="001D77B7" w:rsidP="00594E1B">
            <w:pPr>
              <w:jc w:val="center"/>
              <w:rPr>
                <w:sz w:val="20"/>
                <w:szCs w:val="20"/>
              </w:rPr>
            </w:pPr>
            <w:r w:rsidRPr="00FA69E8">
              <w:rPr>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4A121A" w14:textId="77777777" w:rsidR="001D77B7" w:rsidRPr="00FA69E8" w:rsidRDefault="001D77B7" w:rsidP="00594E1B">
            <w:pPr>
              <w:jc w:val="center"/>
              <w:rPr>
                <w:sz w:val="20"/>
                <w:szCs w:val="20"/>
              </w:rPr>
            </w:pPr>
            <w:r w:rsidRPr="00FA69E8">
              <w:rPr>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A51CD9" w14:textId="77777777" w:rsidR="001D77B7" w:rsidRPr="00FA69E8" w:rsidRDefault="001D77B7" w:rsidP="00594E1B">
            <w:pPr>
              <w:jc w:val="center"/>
              <w:rPr>
                <w:sz w:val="20"/>
                <w:szCs w:val="20"/>
              </w:rPr>
            </w:pPr>
            <w:r w:rsidRPr="00FA69E8">
              <w:rPr>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50B3E1" w14:textId="77777777" w:rsidR="001D77B7" w:rsidRPr="00FA69E8" w:rsidRDefault="001D77B7" w:rsidP="00594E1B">
            <w:pPr>
              <w:jc w:val="center"/>
              <w:rPr>
                <w:sz w:val="20"/>
                <w:szCs w:val="20"/>
              </w:rPr>
            </w:pPr>
            <w:r w:rsidRPr="00FA69E8">
              <w:rPr>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4011B31A" w14:textId="77777777" w:rsidR="001D77B7" w:rsidRPr="00FA69E8" w:rsidRDefault="001D77B7" w:rsidP="00594E1B">
            <w:pPr>
              <w:jc w:val="center"/>
              <w:rPr>
                <w:sz w:val="20"/>
                <w:szCs w:val="20"/>
              </w:rPr>
            </w:pPr>
            <w:r w:rsidRPr="00FA69E8">
              <w:rPr>
                <w:sz w:val="20"/>
                <w:szCs w:val="20"/>
              </w:rPr>
              <w:t>312</w:t>
            </w:r>
          </w:p>
        </w:tc>
      </w:tr>
    </w:tbl>
    <w:p w14:paraId="5917EA3E" w14:textId="77777777" w:rsidR="001D77B7" w:rsidRPr="00FA69E8" w:rsidRDefault="001D77B7" w:rsidP="001D77B7">
      <w:pPr>
        <w:ind w:left="1080"/>
        <w:rPr>
          <w:sz w:val="20"/>
          <w:szCs w:val="20"/>
        </w:rPr>
      </w:pPr>
      <w:r w:rsidRPr="00FA69E8">
        <w:rPr>
          <w:sz w:val="20"/>
          <w:szCs w:val="20"/>
        </w:rPr>
        <w:t>Footnotes</w:t>
      </w:r>
    </w:p>
    <w:p w14:paraId="0582282B" w14:textId="77777777" w:rsidR="001D77B7" w:rsidRPr="00FA69E8" w:rsidRDefault="001D77B7" w:rsidP="001D77B7">
      <w:pPr>
        <w:ind w:left="1080"/>
        <w:rPr>
          <w:sz w:val="20"/>
          <w:szCs w:val="20"/>
        </w:rPr>
      </w:pPr>
      <w:r w:rsidRPr="00FA69E8">
        <w:rPr>
          <w:sz w:val="20"/>
          <w:szCs w:val="20"/>
        </w:rPr>
        <w:t xml:space="preserve">a:  Used for standard clothes washers between 2006 – </w:t>
      </w:r>
      <w:proofErr w:type="gramStart"/>
      <w:r w:rsidRPr="00FA69E8">
        <w:rPr>
          <w:sz w:val="20"/>
          <w:szCs w:val="20"/>
        </w:rPr>
        <w:t>2007</w:t>
      </w:r>
      <w:proofErr w:type="gramEnd"/>
    </w:p>
    <w:p w14:paraId="6D4BA35B" w14:textId="77777777" w:rsidR="001D77B7" w:rsidRPr="00FA69E8" w:rsidRDefault="001D77B7" w:rsidP="001D77B7">
      <w:pPr>
        <w:ind w:left="1080"/>
        <w:rPr>
          <w:sz w:val="20"/>
          <w:szCs w:val="20"/>
        </w:rPr>
      </w:pPr>
      <w:r w:rsidRPr="00FA69E8">
        <w:rPr>
          <w:sz w:val="20"/>
          <w:szCs w:val="20"/>
        </w:rPr>
        <w:t xml:space="preserve">b:  Used for standard clothes washers between 2008 – </w:t>
      </w:r>
      <w:proofErr w:type="gramStart"/>
      <w:r w:rsidRPr="00FA69E8">
        <w:rPr>
          <w:sz w:val="20"/>
          <w:szCs w:val="20"/>
        </w:rPr>
        <w:t>2017</w:t>
      </w:r>
      <w:proofErr w:type="gramEnd"/>
    </w:p>
    <w:p w14:paraId="09C6BA92" w14:textId="77777777" w:rsidR="001D77B7" w:rsidRPr="00FA69E8" w:rsidRDefault="001D77B7" w:rsidP="001D77B7">
      <w:pPr>
        <w:ind w:left="1080"/>
        <w:rPr>
          <w:sz w:val="20"/>
          <w:szCs w:val="20"/>
        </w:rPr>
      </w:pPr>
      <w:r w:rsidRPr="00FA69E8">
        <w:rPr>
          <w:sz w:val="20"/>
          <w:szCs w:val="20"/>
        </w:rPr>
        <w:t xml:space="preserve">c:  Used for ENERGY STAR clothes washers between 2006 and </w:t>
      </w:r>
      <w:proofErr w:type="gramStart"/>
      <w:r w:rsidRPr="00FA69E8">
        <w:rPr>
          <w:sz w:val="20"/>
          <w:szCs w:val="20"/>
        </w:rPr>
        <w:t>2017</w:t>
      </w:r>
      <w:proofErr w:type="gramEnd"/>
    </w:p>
    <w:p w14:paraId="27F024B8" w14:textId="77777777" w:rsidR="001D77B7" w:rsidRPr="00F22A05" w:rsidRDefault="001D77B7" w:rsidP="001D77B7">
      <w:pPr>
        <w:ind w:left="1080"/>
        <w:rPr>
          <w:sz w:val="20"/>
          <w:szCs w:val="20"/>
        </w:rPr>
      </w:pPr>
      <w:r w:rsidRPr="00FA69E8">
        <w:rPr>
          <w:sz w:val="20"/>
          <w:szCs w:val="20"/>
        </w:rPr>
        <w:t>d</w:t>
      </w:r>
      <w:r w:rsidRPr="00F22A05">
        <w:rPr>
          <w:sz w:val="20"/>
          <w:szCs w:val="20"/>
        </w:rPr>
        <w:t>:  Consortium for Energy Efficiency Tier II efficiency minimum requirements</w:t>
      </w:r>
    </w:p>
    <w:p w14:paraId="42BD6ABB" w14:textId="77777777" w:rsidR="001D77B7" w:rsidRPr="00F22A05" w:rsidRDefault="001D77B7" w:rsidP="001D77B7">
      <w:pPr>
        <w:ind w:left="1080"/>
      </w:pPr>
    </w:p>
    <w:p w14:paraId="0D0D7C66" w14:textId="77777777" w:rsidR="008F1DC1" w:rsidRPr="00F22A05" w:rsidRDefault="008F1DC1" w:rsidP="008F1DC1">
      <w:pPr>
        <w:numPr>
          <w:ilvl w:val="12"/>
          <w:numId w:val="0"/>
        </w:numPr>
        <w:ind w:left="540"/>
      </w:pPr>
    </w:p>
    <w:p w14:paraId="596A139E" w14:textId="6784767F" w:rsidR="008F1DC1" w:rsidRPr="00F22A05" w:rsidRDefault="008F1DC1" w:rsidP="00717B8B">
      <w:pPr>
        <w:pStyle w:val="sixaa"/>
        <w:rPr>
          <w:strike/>
        </w:rPr>
      </w:pPr>
      <w:r w:rsidRPr="00F22A05">
        <w:rPr>
          <w:strike/>
        </w:rPr>
        <w:t>For the purpose of adjusting the annual clothes washer energy consumption for calculating the</w:t>
      </w:r>
      <w:r w:rsidR="006243B8" w:rsidRPr="00F22A05">
        <w:rPr>
          <w:strike/>
        </w:rPr>
        <w:t xml:space="preserve"> Rating</w:t>
      </w:r>
      <w:r w:rsidRPr="00F22A05">
        <w:rPr>
          <w:strike/>
        </w:rPr>
        <w:t xml:space="preserve">, </w:t>
      </w:r>
      <w:r w:rsidR="00EB0F61" w:rsidRPr="00F22A05">
        <w:rPr>
          <w:strike/>
        </w:rPr>
        <w:t>EC</w:t>
      </w:r>
      <w:r w:rsidR="00EB0F61" w:rsidRPr="00F22A05">
        <w:rPr>
          <w:strike/>
          <w:vertAlign w:val="subscript"/>
        </w:rPr>
        <w:t>LA</w:t>
      </w:r>
      <w:r w:rsidR="00EB0F61" w:rsidRPr="00F22A05">
        <w:rPr>
          <w:strike/>
        </w:rPr>
        <w:t xml:space="preserve"> </w:t>
      </w:r>
      <w:r w:rsidRPr="00F22A05">
        <w:rPr>
          <w:strike/>
        </w:rPr>
        <w:t xml:space="preserve">shall be adjusted by </w:t>
      </w:r>
      <w:r w:rsidRPr="00F22A05">
        <w:rPr>
          <w:rFonts w:ascii="Symbol" w:eastAsia="Symbol" w:hAnsi="Symbol" w:cs="Symbol"/>
          <w:strike/>
        </w:rPr>
        <w:t></w:t>
      </w:r>
      <w:r w:rsidR="00EB0F61" w:rsidRPr="00F22A05">
        <w:rPr>
          <w:strike/>
        </w:rPr>
        <w:t>EC</w:t>
      </w:r>
      <w:r w:rsidR="00EB0F61" w:rsidRPr="00F22A05">
        <w:rPr>
          <w:strike/>
          <w:vertAlign w:val="subscript"/>
        </w:rPr>
        <w:t>CW</w:t>
      </w:r>
      <w:r w:rsidRPr="00F22A05">
        <w:rPr>
          <w:strike/>
        </w:rPr>
        <w:t xml:space="preserve">, which shall be calculated as the annual clothes washer energy use derived by the procedures in this section minus the annual clothes washer energy use derived for the Energy Rating Reference Home in Section </w:t>
      </w:r>
      <w:r w:rsidR="001275B4" w:rsidRPr="00F22A05">
        <w:rPr>
          <w:strike/>
        </w:rPr>
        <w:t>4.2.2.7.1</w:t>
      </w:r>
      <w:r w:rsidRPr="00F22A05">
        <w:rPr>
          <w:strike/>
        </w:rPr>
        <w:t xml:space="preserve">, converted to </w:t>
      </w:r>
      <w:proofErr w:type="spellStart"/>
      <w:r w:rsidRPr="00F22A05">
        <w:rPr>
          <w:strike/>
        </w:rPr>
        <w:t>MBtu</w:t>
      </w:r>
      <w:proofErr w:type="spellEnd"/>
      <w:r w:rsidRPr="00F22A05">
        <w:rPr>
          <w:strike/>
        </w:rPr>
        <w:t xml:space="preserve">/y, where </w:t>
      </w:r>
      <w:proofErr w:type="spellStart"/>
      <w:r w:rsidRPr="00F22A05">
        <w:rPr>
          <w:strike/>
        </w:rPr>
        <w:t>MBtu</w:t>
      </w:r>
      <w:proofErr w:type="spellEnd"/>
      <w:r w:rsidRPr="00F22A05">
        <w:rPr>
          <w:strike/>
        </w:rPr>
        <w:t>/y = (kWh/y) / 293 or (</w:t>
      </w:r>
      <w:proofErr w:type="spellStart"/>
      <w:r w:rsidR="00FE3070" w:rsidRPr="00F22A05">
        <w:rPr>
          <w:strike/>
        </w:rPr>
        <w:t>Therms</w:t>
      </w:r>
      <w:proofErr w:type="spellEnd"/>
      <w:r w:rsidR="00FE3070" w:rsidRPr="00F22A05">
        <w:rPr>
          <w:strike/>
        </w:rPr>
        <w:t>/y</w:t>
      </w:r>
      <w:r w:rsidRPr="00F22A05">
        <w:rPr>
          <w:strike/>
        </w:rPr>
        <w:t>) / 10, whichever is applicable.</w:t>
      </w:r>
    </w:p>
    <w:p w14:paraId="557F87F0" w14:textId="468D7872" w:rsidR="007D7541" w:rsidRPr="00F22A05" w:rsidRDefault="007D7541" w:rsidP="00717B8B">
      <w:pPr>
        <w:pStyle w:val="sixaa"/>
        <w:rPr>
          <w:strike/>
        </w:rPr>
      </w:pPr>
    </w:p>
    <w:p w14:paraId="188EDF7A" w14:textId="682BF4EF" w:rsidR="008F1DC1" w:rsidRPr="00F22A05" w:rsidRDefault="008F1DC1" w:rsidP="00717B8B">
      <w:pPr>
        <w:pStyle w:val="sixaa"/>
        <w:rPr>
          <w:strike/>
        </w:rPr>
      </w:pPr>
      <w:proofErr w:type="gramStart"/>
      <w:r w:rsidRPr="00F22A05">
        <w:rPr>
          <w:strike/>
        </w:rPr>
        <w:t>For the purpose of</w:t>
      </w:r>
      <w:proofErr w:type="gramEnd"/>
      <w:r w:rsidRPr="00F22A05">
        <w:rPr>
          <w:strike/>
        </w:rPr>
        <w:t xml:space="preserve"> adjusting the daily hot water use for calculating the</w:t>
      </w:r>
      <w:r w:rsidR="006243B8" w:rsidRPr="00F22A05">
        <w:rPr>
          <w:strike/>
        </w:rPr>
        <w:t xml:space="preserve"> Rating</w:t>
      </w:r>
      <w:r w:rsidRPr="00F22A05">
        <w:rPr>
          <w:strike/>
        </w:rPr>
        <w:t xml:space="preserve">, the daily hot water use change shall be calculated as the daily hot water use derived by the procedures in this Section minus </w:t>
      </w:r>
      <w:r w:rsidR="00E35492" w:rsidRPr="00F22A05">
        <w:rPr>
          <w:strike/>
        </w:rPr>
        <w:t>the</w:t>
      </w:r>
      <w:r w:rsidRPr="00F22A05">
        <w:rPr>
          <w:strike/>
        </w:rPr>
        <w:t xml:space="preserve"> gallons per day </w:t>
      </w:r>
      <w:r w:rsidR="002B66D1" w:rsidRPr="00F22A05">
        <w:rPr>
          <w:strike/>
        </w:rPr>
        <w:t xml:space="preserve">derived </w:t>
      </w:r>
      <w:r w:rsidRPr="00F22A05">
        <w:rPr>
          <w:strike/>
        </w:rPr>
        <w:t>for the</w:t>
      </w:r>
      <w:r w:rsidR="002B66D1" w:rsidRPr="00F22A05">
        <w:rPr>
          <w:strike/>
        </w:rPr>
        <w:t xml:space="preserve"> Energy Rating</w:t>
      </w:r>
      <w:r w:rsidRPr="00F22A05">
        <w:rPr>
          <w:strike/>
        </w:rPr>
        <w:t xml:space="preserve"> </w:t>
      </w:r>
      <w:r w:rsidR="002B66D1" w:rsidRPr="00F22A05">
        <w:rPr>
          <w:strike/>
        </w:rPr>
        <w:t>R</w:t>
      </w:r>
      <w:r w:rsidRPr="00F22A05">
        <w:rPr>
          <w:strike/>
        </w:rPr>
        <w:t xml:space="preserve">eference </w:t>
      </w:r>
      <w:r w:rsidR="002B66D1" w:rsidRPr="00F22A05">
        <w:rPr>
          <w:strike/>
        </w:rPr>
        <w:t xml:space="preserve">Home </w:t>
      </w:r>
      <w:r w:rsidRPr="00F22A05">
        <w:rPr>
          <w:strike/>
        </w:rPr>
        <w:t>clothes washer</w:t>
      </w:r>
      <w:r w:rsidR="002B66D1" w:rsidRPr="00F22A05">
        <w:rPr>
          <w:strike/>
        </w:rPr>
        <w:t xml:space="preserve"> in Section </w:t>
      </w:r>
      <w:r w:rsidR="001275B4" w:rsidRPr="00F22A05">
        <w:rPr>
          <w:strike/>
        </w:rPr>
        <w:t>4.2.2.7.1.4</w:t>
      </w:r>
      <w:r w:rsidRPr="00F22A05">
        <w:rPr>
          <w:strike/>
        </w:rPr>
        <w:t>.</w:t>
      </w:r>
    </w:p>
    <w:p w14:paraId="3C200444" w14:textId="688EF2F3" w:rsidR="008F1DC1" w:rsidRPr="00F22A05" w:rsidRDefault="008F1DC1" w:rsidP="00717B8B">
      <w:pPr>
        <w:pStyle w:val="sixaa"/>
        <w:rPr>
          <w:strike/>
        </w:rPr>
      </w:pPr>
    </w:p>
    <w:p w14:paraId="33508057" w14:textId="1AB7F85C" w:rsidR="00AB009C" w:rsidRPr="00F22A05" w:rsidRDefault="00AB009C" w:rsidP="00717B8B">
      <w:pPr>
        <w:pStyle w:val="sixaa"/>
      </w:pPr>
      <w:r w:rsidRPr="00F22A05">
        <w:t xml:space="preserve">When a Dwelling Unit has no in-unit clothes washer, and no shared clothes washers are available </w:t>
      </w:r>
      <w:r w:rsidR="009A60C9" w:rsidRPr="00F22A05">
        <w:t xml:space="preserve">in the building or </w:t>
      </w:r>
      <w:r w:rsidRPr="00F22A05">
        <w:t xml:space="preserve">on the project site for daily use by the Rated Home occupants or they exist, but the ratio of Dwelling Units to shared clothes washers is greater than </w:t>
      </w:r>
      <w:r w:rsidR="00B5640F" w:rsidRPr="00F22A05">
        <w:t>14</w:t>
      </w:r>
      <w:r w:rsidRPr="00F22A05">
        <w:t xml:space="preserve">, the energy and hot water use of the Rated Home </w:t>
      </w:r>
      <w:r w:rsidR="009A60C9" w:rsidRPr="00F22A05">
        <w:t xml:space="preserve">clothes </w:t>
      </w:r>
      <w:r w:rsidRPr="00F22A05">
        <w:t xml:space="preserve">washer shall be </w:t>
      </w:r>
      <w:r w:rsidRPr="00F22A05">
        <w:lastRenderedPageBreak/>
        <w:t xml:space="preserve">the same as the Energy Rating Reference Home, in accordance with Section </w:t>
      </w:r>
      <w:r w:rsidR="001275B4" w:rsidRPr="00F22A05">
        <w:t>4.2.2.7.1</w:t>
      </w:r>
      <w:r w:rsidRPr="00F22A05">
        <w:t>.</w:t>
      </w:r>
    </w:p>
    <w:p w14:paraId="32586911" w14:textId="77777777" w:rsidR="00AB009C" w:rsidRPr="00F22A05" w:rsidRDefault="00AB009C" w:rsidP="00717B8B">
      <w:pPr>
        <w:pStyle w:val="sixaa"/>
        <w:rPr>
          <w:strike/>
        </w:rPr>
      </w:pPr>
    </w:p>
    <w:p w14:paraId="04C37464" w14:textId="4FFD28FB" w:rsidR="008F1DC1" w:rsidRPr="00F22A05" w:rsidRDefault="008F1DC1" w:rsidP="00717B8B">
      <w:pPr>
        <w:pStyle w:val="sixaa"/>
        <w:rPr>
          <w:strike/>
        </w:rPr>
      </w:pPr>
      <w:r w:rsidRPr="00F22A05">
        <w:rPr>
          <w:strike/>
        </w:rPr>
        <w:t xml:space="preserve">For clothes washer energy use, total </w:t>
      </w:r>
      <w:r w:rsidR="00CC20B6" w:rsidRPr="00F22A05">
        <w:rPr>
          <w:strike/>
        </w:rPr>
        <w:t>I</w:t>
      </w:r>
      <w:r w:rsidRPr="00F22A05">
        <w:rPr>
          <w:strike/>
        </w:rPr>
        <w:t xml:space="preserve">nternal </w:t>
      </w:r>
      <w:r w:rsidR="00CC20B6" w:rsidRPr="00F22A05">
        <w:rPr>
          <w:strike/>
        </w:rPr>
        <w:t>G</w:t>
      </w:r>
      <w:r w:rsidRPr="00F22A05">
        <w:rPr>
          <w:strike/>
        </w:rPr>
        <w:t xml:space="preserve">ains in the Rated Home shall be modified by </w:t>
      </w:r>
      <w:r w:rsidR="003B2616" w:rsidRPr="00F22A05">
        <w:rPr>
          <w:strike/>
        </w:rPr>
        <w:t>30 percent</w:t>
      </w:r>
      <w:r w:rsidRPr="00F22A05">
        <w:rPr>
          <w:strike/>
        </w:rPr>
        <w:t xml:space="preserve"> of the clothes washer </w:t>
      </w:r>
      <w:r w:rsidRPr="00F22A05">
        <w:rPr>
          <w:rFonts w:ascii="Symbol" w:eastAsia="Symbol" w:hAnsi="Symbol" w:cs="Symbol"/>
          <w:strike/>
        </w:rPr>
        <w:t></w:t>
      </w:r>
      <w:r w:rsidR="00EB0F61" w:rsidRPr="00F22A05">
        <w:rPr>
          <w:strike/>
        </w:rPr>
        <w:t>EC</w:t>
      </w:r>
      <w:r w:rsidR="00EB0F61" w:rsidRPr="00F22A05">
        <w:rPr>
          <w:strike/>
          <w:vertAlign w:val="subscript"/>
        </w:rPr>
        <w:t>CW</w:t>
      </w:r>
      <w:r w:rsidR="00EB0F61" w:rsidRPr="00F22A05">
        <w:rPr>
          <w:strike/>
        </w:rPr>
        <w:t xml:space="preserve"> </w:t>
      </w:r>
      <w:r w:rsidRPr="00F22A05">
        <w:rPr>
          <w:strike/>
        </w:rPr>
        <w:t xml:space="preserve">converted to Btu/day as follows: </w:t>
      </w:r>
      <w:r w:rsidRPr="00F22A05">
        <w:rPr>
          <w:rFonts w:ascii="Symbol" w:eastAsia="Symbol" w:hAnsi="Symbol" w:cs="Symbol"/>
          <w:strike/>
        </w:rPr>
        <w:t></w:t>
      </w:r>
      <w:r w:rsidR="00EB0F61" w:rsidRPr="00F22A05">
        <w:rPr>
          <w:strike/>
        </w:rPr>
        <w:t>EC</w:t>
      </w:r>
      <w:r w:rsidR="00EB0F61" w:rsidRPr="00F22A05">
        <w:rPr>
          <w:strike/>
          <w:vertAlign w:val="subscript"/>
        </w:rPr>
        <w:t>CW</w:t>
      </w:r>
      <w:r w:rsidR="00EB0F61" w:rsidRPr="00F22A05">
        <w:rPr>
          <w:strike/>
        </w:rPr>
        <w:t xml:space="preserve"> </w:t>
      </w:r>
      <w:r w:rsidRPr="00F22A05">
        <w:rPr>
          <w:strike/>
        </w:rPr>
        <w:t>* 10</w:t>
      </w:r>
      <w:r w:rsidRPr="00F22A05">
        <w:rPr>
          <w:strike/>
          <w:vertAlign w:val="superscript"/>
        </w:rPr>
        <w:t>6</w:t>
      </w:r>
      <w:r w:rsidRPr="00F22A05">
        <w:rPr>
          <w:strike/>
        </w:rPr>
        <w:t xml:space="preserve"> / 365. Of this total amount, </w:t>
      </w:r>
      <w:r w:rsidR="003B2616" w:rsidRPr="00F22A05">
        <w:rPr>
          <w:strike/>
        </w:rPr>
        <w:t>90 percent</w:t>
      </w:r>
      <w:r w:rsidRPr="00F22A05">
        <w:rPr>
          <w:strike/>
        </w:rPr>
        <w:t xml:space="preserve"> shall be apportioned to sensible </w:t>
      </w:r>
      <w:r w:rsidR="00CC20B6" w:rsidRPr="00F22A05">
        <w:rPr>
          <w:strike/>
        </w:rPr>
        <w:t>I</w:t>
      </w:r>
      <w:r w:rsidRPr="00F22A05">
        <w:rPr>
          <w:strike/>
        </w:rPr>
        <w:t xml:space="preserve">nternal </w:t>
      </w:r>
      <w:r w:rsidR="00CC20B6" w:rsidRPr="00F22A05">
        <w:rPr>
          <w:strike/>
        </w:rPr>
        <w:t>G</w:t>
      </w:r>
      <w:r w:rsidRPr="00F22A05">
        <w:rPr>
          <w:strike/>
        </w:rPr>
        <w:t xml:space="preserve">ains and </w:t>
      </w:r>
      <w:r w:rsidR="00C80CD1" w:rsidRPr="00F22A05">
        <w:rPr>
          <w:strike/>
        </w:rPr>
        <w:t>10 percent</w:t>
      </w:r>
      <w:r w:rsidRPr="00F22A05">
        <w:rPr>
          <w:strike/>
        </w:rPr>
        <w:t xml:space="preserve"> to latent </w:t>
      </w:r>
      <w:r w:rsidR="00CC20B6" w:rsidRPr="00F22A05">
        <w:rPr>
          <w:strike/>
        </w:rPr>
        <w:t>I</w:t>
      </w:r>
      <w:r w:rsidRPr="00F22A05">
        <w:rPr>
          <w:strike/>
        </w:rPr>
        <w:t xml:space="preserve">nternal </w:t>
      </w:r>
      <w:r w:rsidR="00CC20B6" w:rsidRPr="00F22A05">
        <w:rPr>
          <w:strike/>
        </w:rPr>
        <w:t>G</w:t>
      </w:r>
      <w:r w:rsidRPr="00F22A05">
        <w:rPr>
          <w:strike/>
        </w:rPr>
        <w:t xml:space="preserve">ains. Internal </w:t>
      </w:r>
      <w:r w:rsidR="00CC20B6" w:rsidRPr="00F22A05">
        <w:rPr>
          <w:strike/>
        </w:rPr>
        <w:t>G</w:t>
      </w:r>
      <w:r w:rsidRPr="00F22A05">
        <w:rPr>
          <w:strike/>
        </w:rPr>
        <w:t>ains shall not be modified for clothes washers located in Unconditioned Space</w:t>
      </w:r>
      <w:r w:rsidR="00C52AF8" w:rsidRPr="00F22A05">
        <w:rPr>
          <w:strike/>
        </w:rPr>
        <w:t xml:space="preserve"> Volume</w:t>
      </w:r>
      <w:r w:rsidRPr="00F22A05">
        <w:rPr>
          <w:strike/>
        </w:rPr>
        <w:t xml:space="preserve">, </w:t>
      </w:r>
      <w:r w:rsidR="00CB5AF5" w:rsidRPr="00F22A05">
        <w:rPr>
          <w:strike/>
        </w:rPr>
        <w:t>Unrated</w:t>
      </w:r>
      <w:r w:rsidRPr="00F22A05">
        <w:rPr>
          <w:strike/>
        </w:rPr>
        <w:t xml:space="preserve"> Heated Space,</w:t>
      </w:r>
      <w:r w:rsidR="000829EF" w:rsidRPr="00F22A05">
        <w:rPr>
          <w:strike/>
        </w:rPr>
        <w:t xml:space="preserve"> Unrated Conditioned Space,</w:t>
      </w:r>
      <w:r w:rsidRPr="00F22A05">
        <w:rPr>
          <w:strike/>
        </w:rPr>
        <w:t xml:space="preserve"> or outdoor environment</w:t>
      </w:r>
      <w:r w:rsidR="00CC20B6" w:rsidRPr="00F22A05">
        <w:rPr>
          <w:strike/>
        </w:rPr>
        <w:t>.</w:t>
      </w:r>
      <w:r w:rsidRPr="00F22A05">
        <w:rPr>
          <w:rStyle w:val="FootnoteReference"/>
          <w:strike/>
        </w:rPr>
        <w:footnoteReference w:id="16"/>
      </w:r>
    </w:p>
    <w:p w14:paraId="5954D12E" w14:textId="77777777" w:rsidR="008F1DC1" w:rsidRPr="00F22A05" w:rsidRDefault="008F1DC1" w:rsidP="008F1DC1"/>
    <w:p w14:paraId="12DF7572" w14:textId="4344F4F7" w:rsidR="008F1DC1" w:rsidRPr="00F22A05" w:rsidRDefault="00445DDD" w:rsidP="00D44B37">
      <w:pPr>
        <w:pStyle w:val="sixab"/>
        <w:numPr>
          <w:ilvl w:val="0"/>
          <w:numId w:val="0"/>
        </w:numPr>
        <w:ind w:left="2520"/>
        <w:rPr>
          <w:b/>
        </w:rPr>
      </w:pPr>
      <w:bookmarkStart w:id="73" w:name="_Ref495403304"/>
      <w:bookmarkStart w:id="74" w:name="_Hlk161503485"/>
      <w:r w:rsidRPr="00F22A05">
        <w:rPr>
          <w:b/>
        </w:rPr>
        <w:t>4.2.2.7.2.11</w:t>
      </w:r>
      <w:r w:rsidR="00A87B5A" w:rsidRPr="00F22A05">
        <w:rPr>
          <w:b/>
        </w:rPr>
        <w:t>.</w:t>
      </w:r>
      <w:r w:rsidRPr="00F22A05">
        <w:rPr>
          <w:b/>
        </w:rPr>
        <w:t xml:space="preserve">  </w:t>
      </w:r>
      <w:r w:rsidR="009F463B" w:rsidRPr="00F22A05">
        <w:rPr>
          <w:b/>
        </w:rPr>
        <w:t>Service</w:t>
      </w:r>
      <w:r w:rsidR="008F1DC1" w:rsidRPr="00F22A05">
        <w:rPr>
          <w:b/>
        </w:rPr>
        <w:t xml:space="preserve"> Hot Water Use.</w:t>
      </w:r>
      <w:r w:rsidR="008F1DC1" w:rsidRPr="00F22A05">
        <w:t xml:space="preserve">  </w:t>
      </w:r>
      <w:r w:rsidR="009F463B" w:rsidRPr="00F22A05">
        <w:t>Service</w:t>
      </w:r>
      <w:r w:rsidR="008F1DC1" w:rsidRPr="00F22A05">
        <w:t xml:space="preserve"> hot water system use in gallons per </w:t>
      </w:r>
      <w:r w:rsidR="008F1DC1" w:rsidRPr="00F22A05">
        <w:rPr>
          <w:strike/>
        </w:rPr>
        <w:t xml:space="preserve">day </w:t>
      </w:r>
      <w:r w:rsidR="001D2BE3" w:rsidRPr="00F22A05">
        <w:rPr>
          <w:u w:val="single"/>
        </w:rPr>
        <w:t xml:space="preserve">hour </w:t>
      </w:r>
      <w:r w:rsidR="008F1DC1" w:rsidRPr="00F22A05">
        <w:t>for the Rated Home shall be determined in accordance with Equation </w:t>
      </w:r>
      <w:bookmarkEnd w:id="73"/>
      <w:r w:rsidR="009220AD" w:rsidRPr="00F22A05">
        <w:t>4.2-38</w:t>
      </w:r>
      <w:r w:rsidR="00717B8B" w:rsidRPr="00F22A05">
        <w:t>.</w:t>
      </w:r>
      <w:r w:rsidR="00A12F37" w:rsidRPr="00F22A05">
        <w:rPr>
          <w:b/>
          <w:vertAlign w:val="superscript"/>
        </w:rPr>
        <w:t xml:space="preserve"> </w:t>
      </w:r>
      <w:r w:rsidR="00D44B37" w:rsidRPr="00DC54A7">
        <w:rPr>
          <w:b/>
          <w:color w:val="0070C0"/>
          <w:vertAlign w:val="superscript"/>
        </w:rPr>
        <w:t>(1)</w:t>
      </w:r>
    </w:p>
    <w:p w14:paraId="788FA9F6" w14:textId="45D0F8EC" w:rsidR="008F1DC1" w:rsidRPr="00F22A05" w:rsidRDefault="008F1DC1" w:rsidP="00E71E24">
      <w:pPr>
        <w:pStyle w:val="Equation"/>
        <w:tabs>
          <w:tab w:val="clear" w:pos="7470"/>
          <w:tab w:val="left" w:pos="7200"/>
        </w:tabs>
        <w:ind w:left="2610"/>
        <w:rPr>
          <w:color w:val="auto"/>
        </w:rPr>
      </w:pPr>
      <w:proofErr w:type="spellStart"/>
      <w:r w:rsidRPr="00172266">
        <w:rPr>
          <w:b w:val="0"/>
          <w:bCs/>
          <w:strike/>
          <w:color w:val="auto"/>
        </w:rPr>
        <w:t>HWgpd</w:t>
      </w:r>
      <w:proofErr w:type="spellEnd"/>
      <w:r w:rsidRPr="00172266">
        <w:rPr>
          <w:b w:val="0"/>
          <w:bCs/>
          <w:strike/>
          <w:color w:val="auto"/>
        </w:rPr>
        <w:t xml:space="preserve"> </w:t>
      </w:r>
      <w:proofErr w:type="spellStart"/>
      <w:r w:rsidR="001D2BE3" w:rsidRPr="00172266">
        <w:rPr>
          <w:b w:val="0"/>
          <w:bCs/>
          <w:color w:val="auto"/>
          <w:u w:val="single"/>
        </w:rPr>
        <w:t>HWgph</w:t>
      </w:r>
      <w:proofErr w:type="spellEnd"/>
      <w:r w:rsidR="001D2BE3" w:rsidRPr="00172266">
        <w:rPr>
          <w:b w:val="0"/>
          <w:bCs/>
          <w:color w:val="auto"/>
          <w:u w:val="single"/>
        </w:rPr>
        <w:t xml:space="preserve"> </w:t>
      </w:r>
      <w:r w:rsidRPr="00172266">
        <w:rPr>
          <w:b w:val="0"/>
          <w:bCs/>
          <w:color w:val="auto"/>
        </w:rPr>
        <w:t>= (</w:t>
      </w:r>
      <w:proofErr w:type="spellStart"/>
      <w:r w:rsidRPr="00172266">
        <w:rPr>
          <w:b w:val="0"/>
          <w:bCs/>
          <w:strike/>
          <w:color w:val="auto"/>
        </w:rPr>
        <w:t>DWgpd</w:t>
      </w:r>
      <w:proofErr w:type="spellEnd"/>
      <w:r w:rsidRPr="00172266">
        <w:rPr>
          <w:b w:val="0"/>
          <w:bCs/>
          <w:strike/>
          <w:color w:val="auto"/>
        </w:rPr>
        <w:t xml:space="preserve"> </w:t>
      </w:r>
      <w:proofErr w:type="spellStart"/>
      <w:r w:rsidR="001D2BE3" w:rsidRPr="00172266">
        <w:rPr>
          <w:b w:val="0"/>
          <w:bCs/>
          <w:color w:val="auto"/>
          <w:u w:val="single"/>
        </w:rPr>
        <w:t>DWgph</w:t>
      </w:r>
      <w:proofErr w:type="spellEnd"/>
      <w:r w:rsidR="001D2BE3" w:rsidRPr="00172266">
        <w:rPr>
          <w:b w:val="0"/>
          <w:bCs/>
          <w:color w:val="auto"/>
          <w:u w:val="single"/>
        </w:rPr>
        <w:t xml:space="preserve"> </w:t>
      </w:r>
      <w:r w:rsidRPr="00172266">
        <w:rPr>
          <w:b w:val="0"/>
          <w:bCs/>
          <w:color w:val="auto"/>
        </w:rPr>
        <w:t xml:space="preserve">+ </w:t>
      </w:r>
      <w:proofErr w:type="spellStart"/>
      <w:r w:rsidRPr="00172266">
        <w:rPr>
          <w:b w:val="0"/>
          <w:bCs/>
          <w:strike/>
          <w:color w:val="auto"/>
        </w:rPr>
        <w:t>CWgpd</w:t>
      </w:r>
      <w:proofErr w:type="spellEnd"/>
      <w:r w:rsidRPr="00172266">
        <w:rPr>
          <w:b w:val="0"/>
          <w:bCs/>
          <w:strike/>
          <w:color w:val="auto"/>
        </w:rPr>
        <w:t xml:space="preserve"> </w:t>
      </w:r>
      <w:proofErr w:type="spellStart"/>
      <w:r w:rsidR="001D2BE3" w:rsidRPr="00172266">
        <w:rPr>
          <w:b w:val="0"/>
          <w:bCs/>
          <w:color w:val="auto"/>
          <w:u w:val="single"/>
        </w:rPr>
        <w:t>CWgph</w:t>
      </w:r>
      <w:proofErr w:type="spellEnd"/>
      <w:r w:rsidR="001D2BE3" w:rsidRPr="00172266">
        <w:rPr>
          <w:b w:val="0"/>
          <w:bCs/>
          <w:color w:val="auto"/>
          <w:u w:val="single"/>
        </w:rPr>
        <w:t xml:space="preserve"> </w:t>
      </w:r>
      <w:r w:rsidRPr="00172266">
        <w:rPr>
          <w:b w:val="0"/>
          <w:bCs/>
          <w:color w:val="auto"/>
        </w:rPr>
        <w:t xml:space="preserve">+ </w:t>
      </w:r>
      <w:proofErr w:type="spellStart"/>
      <w:r w:rsidRPr="00172266">
        <w:rPr>
          <w:b w:val="0"/>
          <w:bCs/>
          <w:color w:val="auto"/>
        </w:rPr>
        <w:t>F</w:t>
      </w:r>
      <w:r w:rsidRPr="00172266">
        <w:rPr>
          <w:b w:val="0"/>
          <w:bCs/>
          <w:color w:val="auto"/>
          <w:vertAlign w:val="subscript"/>
        </w:rPr>
        <w:t>eff</w:t>
      </w:r>
      <w:proofErr w:type="spellEnd"/>
      <w:r w:rsidRPr="00172266">
        <w:rPr>
          <w:b w:val="0"/>
          <w:bCs/>
          <w:color w:val="auto"/>
        </w:rPr>
        <w:t xml:space="preserve"> * </w:t>
      </w:r>
      <w:proofErr w:type="spellStart"/>
      <w:r w:rsidRPr="00172266">
        <w:rPr>
          <w:b w:val="0"/>
          <w:bCs/>
          <w:color w:val="auto"/>
        </w:rPr>
        <w:t>adjF</w:t>
      </w:r>
      <w:r w:rsidRPr="00172266">
        <w:rPr>
          <w:b w:val="0"/>
          <w:bCs/>
          <w:color w:val="auto"/>
          <w:vertAlign w:val="subscript"/>
        </w:rPr>
        <w:t>mix</w:t>
      </w:r>
      <w:proofErr w:type="spellEnd"/>
      <w:r w:rsidR="00731228" w:rsidRPr="00172266">
        <w:rPr>
          <w:b w:val="0"/>
          <w:bCs/>
          <w:color w:val="auto"/>
        </w:rPr>
        <w:t xml:space="preserve"> * (</w:t>
      </w:r>
      <w:proofErr w:type="spellStart"/>
      <w:r w:rsidR="00731228" w:rsidRPr="00172266">
        <w:rPr>
          <w:b w:val="0"/>
          <w:bCs/>
          <w:strike/>
          <w:color w:val="auto"/>
        </w:rPr>
        <w:t>refFgpd</w:t>
      </w:r>
      <w:proofErr w:type="spellEnd"/>
      <w:r w:rsidR="00731228" w:rsidRPr="00172266">
        <w:rPr>
          <w:b w:val="0"/>
          <w:bCs/>
          <w:strike/>
          <w:color w:val="auto"/>
        </w:rPr>
        <w:t xml:space="preserve"> </w:t>
      </w:r>
      <w:proofErr w:type="spellStart"/>
      <w:r w:rsidR="001D2BE3" w:rsidRPr="00172266">
        <w:rPr>
          <w:b w:val="0"/>
          <w:bCs/>
          <w:color w:val="auto"/>
          <w:u w:val="single"/>
        </w:rPr>
        <w:t>refFgph</w:t>
      </w:r>
      <w:proofErr w:type="spellEnd"/>
      <w:r w:rsidR="001D2BE3" w:rsidRPr="00172266">
        <w:rPr>
          <w:b w:val="0"/>
          <w:bCs/>
          <w:color w:val="auto"/>
          <w:u w:val="single"/>
        </w:rPr>
        <w:t xml:space="preserve"> </w:t>
      </w:r>
      <w:r w:rsidRPr="00172266">
        <w:rPr>
          <w:b w:val="0"/>
          <w:bCs/>
          <w:color w:val="auto"/>
        </w:rPr>
        <w:t xml:space="preserve">+ </w:t>
      </w:r>
      <w:proofErr w:type="spellStart"/>
      <w:r w:rsidRPr="00172266">
        <w:rPr>
          <w:b w:val="0"/>
          <w:bCs/>
          <w:strike/>
          <w:color w:val="auto"/>
        </w:rPr>
        <w:t>oWgpd</w:t>
      </w:r>
      <w:proofErr w:type="spellEnd"/>
      <w:r w:rsidRPr="00172266">
        <w:rPr>
          <w:b w:val="0"/>
          <w:bCs/>
          <w:strike/>
          <w:color w:val="auto"/>
        </w:rPr>
        <w:t xml:space="preserve"> </w:t>
      </w:r>
      <w:proofErr w:type="spellStart"/>
      <w:r w:rsidR="004F3BF8" w:rsidRPr="00172266">
        <w:rPr>
          <w:b w:val="0"/>
          <w:bCs/>
          <w:color w:val="auto"/>
        </w:rPr>
        <w:t>oWgph</w:t>
      </w:r>
      <w:proofErr w:type="spellEnd"/>
      <w:r w:rsidR="004F3BF8" w:rsidRPr="00172266">
        <w:rPr>
          <w:b w:val="0"/>
          <w:bCs/>
          <w:color w:val="auto"/>
        </w:rPr>
        <w:t xml:space="preserve"> </w:t>
      </w:r>
      <w:r w:rsidRPr="00172266">
        <w:rPr>
          <w:b w:val="0"/>
          <w:bCs/>
          <w:color w:val="auto"/>
        </w:rPr>
        <w:t xml:space="preserve">+ </w:t>
      </w:r>
      <w:proofErr w:type="spellStart"/>
      <w:r w:rsidRPr="00172266">
        <w:rPr>
          <w:b w:val="0"/>
          <w:bCs/>
          <w:strike/>
          <w:color w:val="auto"/>
        </w:rPr>
        <w:t>sWgpd</w:t>
      </w:r>
      <w:proofErr w:type="spellEnd"/>
      <w:r w:rsidRPr="00172266">
        <w:rPr>
          <w:b w:val="0"/>
          <w:bCs/>
          <w:strike/>
          <w:color w:val="auto"/>
        </w:rPr>
        <w:t xml:space="preserve"> </w:t>
      </w:r>
      <w:proofErr w:type="spellStart"/>
      <w:r w:rsidR="004F3BF8" w:rsidRPr="00172266">
        <w:rPr>
          <w:b w:val="0"/>
          <w:bCs/>
          <w:color w:val="auto"/>
          <w:u w:val="single"/>
        </w:rPr>
        <w:t>sWgph</w:t>
      </w:r>
      <w:proofErr w:type="spellEnd"/>
      <w:r w:rsidR="004F3BF8" w:rsidRPr="00172266">
        <w:rPr>
          <w:b w:val="0"/>
          <w:bCs/>
          <w:color w:val="auto"/>
          <w:u w:val="single"/>
        </w:rPr>
        <w:t xml:space="preserve"> </w:t>
      </w:r>
      <w:r w:rsidRPr="00172266">
        <w:rPr>
          <w:b w:val="0"/>
          <w:bCs/>
          <w:color w:val="auto"/>
        </w:rPr>
        <w:t xml:space="preserve">* </w:t>
      </w:r>
      <w:proofErr w:type="spellStart"/>
      <w:r w:rsidRPr="00172266">
        <w:rPr>
          <w:b w:val="0"/>
          <w:bCs/>
          <w:color w:val="auto"/>
        </w:rPr>
        <w:t>WD</w:t>
      </w:r>
      <w:r w:rsidRPr="00172266">
        <w:rPr>
          <w:b w:val="0"/>
          <w:bCs/>
          <w:color w:val="auto"/>
          <w:vertAlign w:val="subscript"/>
        </w:rPr>
        <w:t>eff</w:t>
      </w:r>
      <w:proofErr w:type="spellEnd"/>
      <w:r w:rsidR="00731228" w:rsidRPr="00172266">
        <w:rPr>
          <w:b w:val="0"/>
          <w:bCs/>
          <w:color w:val="auto"/>
        </w:rPr>
        <w:t>))</w:t>
      </w:r>
      <w:r w:rsidR="00E71E24" w:rsidRPr="00F22A05">
        <w:rPr>
          <w:color w:val="auto"/>
        </w:rPr>
        <w:tab/>
      </w:r>
      <w:r w:rsidRPr="00F22A05">
        <w:rPr>
          <w:color w:val="auto"/>
        </w:rPr>
        <w:t>(</w:t>
      </w:r>
      <w:r w:rsidR="003D1C47" w:rsidRPr="00F22A05">
        <w:rPr>
          <w:color w:val="auto"/>
        </w:rPr>
        <w:t>Equati</w:t>
      </w:r>
      <w:r w:rsidR="00A25E21" w:rsidRPr="00F22A05">
        <w:rPr>
          <w:color w:val="auto"/>
        </w:rPr>
        <w:t>on</w:t>
      </w:r>
      <w:r w:rsidRPr="00F22A05">
        <w:rPr>
          <w:color w:val="auto"/>
        </w:rPr>
        <w:t xml:space="preserve"> 4.2-</w:t>
      </w:r>
      <w:r w:rsidR="00FB0C85" w:rsidRPr="00F22A05">
        <w:rPr>
          <w:color w:val="auto"/>
        </w:rPr>
        <w:t>38</w:t>
      </w:r>
      <w:r w:rsidRPr="00F22A05">
        <w:rPr>
          <w:color w:val="auto"/>
        </w:rPr>
        <w:t>)</w:t>
      </w:r>
      <w:r w:rsidR="00A12F37" w:rsidRPr="00F22A05">
        <w:rPr>
          <w:b w:val="0"/>
          <w:color w:val="auto"/>
          <w:vertAlign w:val="superscript"/>
        </w:rPr>
        <w:t xml:space="preserve"> </w:t>
      </w:r>
      <w:r w:rsidR="00D44B37" w:rsidRPr="00DC54A7">
        <w:rPr>
          <w:b w:val="0"/>
          <w:color w:val="0070C0"/>
          <w:vertAlign w:val="superscript"/>
        </w:rPr>
        <w:t>(</w:t>
      </w:r>
      <w:r w:rsidR="00D44B37" w:rsidRPr="00DC54A7">
        <w:rPr>
          <w:color w:val="0070C0"/>
          <w:vertAlign w:val="superscript"/>
        </w:rPr>
        <w:t>1</w:t>
      </w:r>
      <w:r w:rsidR="00D44B37" w:rsidRPr="00DC54A7">
        <w:rPr>
          <w:b w:val="0"/>
          <w:color w:val="0070C0"/>
          <w:vertAlign w:val="superscript"/>
        </w:rPr>
        <w:t>)</w:t>
      </w:r>
      <w:r w:rsidR="00E71E24" w:rsidRPr="00F22A05">
        <w:rPr>
          <w:color w:val="auto"/>
        </w:rPr>
        <w:tab/>
      </w:r>
    </w:p>
    <w:p w14:paraId="3A782CFE" w14:textId="77777777" w:rsidR="008F1DC1" w:rsidRPr="00F22A05" w:rsidRDefault="008F1DC1" w:rsidP="003D1C47">
      <w:pPr>
        <w:pStyle w:val="where1"/>
        <w:ind w:left="3240"/>
      </w:pPr>
      <w:r w:rsidRPr="00F22A05">
        <w:t>where:</w:t>
      </w:r>
    </w:p>
    <w:p w14:paraId="7793C264" w14:textId="14811384" w:rsidR="00CE114B" w:rsidRPr="00F22A05" w:rsidRDefault="00CE114B" w:rsidP="003D1C47">
      <w:pPr>
        <w:pStyle w:val="equals"/>
        <w:tabs>
          <w:tab w:val="clear" w:pos="3060"/>
          <w:tab w:val="left" w:pos="4500"/>
        </w:tabs>
        <w:ind w:left="4680" w:hanging="1404"/>
      </w:pPr>
      <w:proofErr w:type="spellStart"/>
      <w:r w:rsidRPr="00F22A05">
        <w:rPr>
          <w:strike/>
        </w:rPr>
        <w:t>HWgpd</w:t>
      </w:r>
      <w:r w:rsidR="004F3BF8" w:rsidRPr="00F22A05">
        <w:rPr>
          <w:u w:val="single"/>
        </w:rPr>
        <w:t>HWgph</w:t>
      </w:r>
      <w:proofErr w:type="spellEnd"/>
      <w:r w:rsidRPr="00F22A05">
        <w:tab/>
      </w:r>
      <w:r w:rsidR="008F1DC1" w:rsidRPr="00F22A05">
        <w:t xml:space="preserve">= gallons per </w:t>
      </w:r>
      <w:r w:rsidR="008F1DC1" w:rsidRPr="00F22A05">
        <w:rPr>
          <w:strike/>
        </w:rPr>
        <w:t xml:space="preserve">day </w:t>
      </w:r>
      <w:r w:rsidR="004F3BF8" w:rsidRPr="00F22A05">
        <w:rPr>
          <w:u w:val="single"/>
        </w:rPr>
        <w:t xml:space="preserve">hour </w:t>
      </w:r>
      <w:r w:rsidR="008F1DC1" w:rsidRPr="00F22A05">
        <w:t xml:space="preserve">of hot water use in Rated </w:t>
      </w:r>
      <w:r w:rsidR="00CC20B6" w:rsidRPr="00F22A05">
        <w:t>H</w:t>
      </w:r>
      <w:r w:rsidR="008F1DC1" w:rsidRPr="00F22A05">
        <w:t>ome</w:t>
      </w:r>
      <w:r w:rsidR="001B1D7C" w:rsidRPr="00F22A05">
        <w:t>.</w:t>
      </w:r>
    </w:p>
    <w:p w14:paraId="4C2614B8" w14:textId="5DCCDD64" w:rsidR="00CE114B" w:rsidRPr="00F22A05" w:rsidRDefault="007A2DA7" w:rsidP="003D1C47">
      <w:pPr>
        <w:pStyle w:val="equals"/>
        <w:tabs>
          <w:tab w:val="clear" w:pos="3060"/>
          <w:tab w:val="left" w:pos="4500"/>
        </w:tabs>
        <w:ind w:left="4680" w:hanging="1404"/>
      </w:pPr>
      <w:proofErr w:type="spellStart"/>
      <w:r w:rsidRPr="00F22A05">
        <w:rPr>
          <w:strike/>
        </w:rPr>
        <w:t>DWgpd</w:t>
      </w:r>
      <w:r w:rsidR="004F3BF8" w:rsidRPr="00F22A05">
        <w:rPr>
          <w:u w:val="single"/>
        </w:rPr>
        <w:t>DWgph</w:t>
      </w:r>
      <w:proofErr w:type="spellEnd"/>
      <w:r w:rsidR="00CE114B" w:rsidRPr="00F22A05">
        <w:tab/>
      </w:r>
      <w:r w:rsidR="008F1DC1" w:rsidRPr="00F22A05">
        <w:t xml:space="preserve">= dishwasher gallons per </w:t>
      </w:r>
      <w:proofErr w:type="spellStart"/>
      <w:r w:rsidR="008F1DC1" w:rsidRPr="00F22A05">
        <w:rPr>
          <w:strike/>
        </w:rPr>
        <w:t>day</w:t>
      </w:r>
      <w:r w:rsidR="004F3BF8" w:rsidRPr="00F22A05">
        <w:t>hour</w:t>
      </w:r>
      <w:proofErr w:type="spellEnd"/>
      <w:r w:rsidR="001B1D7C" w:rsidRPr="00F22A05">
        <w:t>.</w:t>
      </w:r>
    </w:p>
    <w:p w14:paraId="72563D61" w14:textId="3F56FCF4" w:rsidR="00CE114B" w:rsidRPr="00F22A05" w:rsidRDefault="002F2B39" w:rsidP="003D1C47">
      <w:pPr>
        <w:pStyle w:val="equals"/>
        <w:tabs>
          <w:tab w:val="clear" w:pos="3060"/>
          <w:tab w:val="left" w:pos="4500"/>
        </w:tabs>
        <w:ind w:left="4680" w:hanging="1404"/>
        <w:rPr>
          <w:vertAlign w:val="subscript"/>
        </w:rPr>
      </w:pPr>
      <w:r w:rsidRPr="00F22A05">
        <w:tab/>
      </w:r>
      <w:r w:rsidR="008F1DC1" w:rsidRPr="00F22A05">
        <w:t xml:space="preserve">= </w:t>
      </w:r>
      <w:r w:rsidR="004F3BF8" w:rsidRPr="00F22A05">
        <w:rPr>
          <w:u w:val="single"/>
        </w:rPr>
        <w:t>(</w:t>
      </w:r>
      <w:r w:rsidR="008F1DC1" w:rsidRPr="00F22A05">
        <w:t>((88.4+34.9*</w:t>
      </w:r>
      <w:proofErr w:type="spellStart"/>
      <w:proofErr w:type="gramStart"/>
      <w:r w:rsidR="008F1DC1" w:rsidRPr="00F22A05">
        <w:t>Nbr</w:t>
      </w:r>
      <w:proofErr w:type="spellEnd"/>
      <w:r w:rsidR="008F1DC1" w:rsidRPr="00F22A05">
        <w:t>)*</w:t>
      </w:r>
      <w:proofErr w:type="gramEnd"/>
      <w:r w:rsidR="008F1DC1" w:rsidRPr="00F22A05">
        <w:t>12/</w:t>
      </w:r>
      <w:proofErr w:type="spellStart"/>
      <w:r w:rsidR="008F1DC1" w:rsidRPr="00F22A05">
        <w:t>dW</w:t>
      </w:r>
      <w:r w:rsidR="00CE114B" w:rsidRPr="00F22A05">
        <w:t>cap</w:t>
      </w:r>
      <w:proofErr w:type="spellEnd"/>
      <w:r w:rsidR="00CE114B" w:rsidRPr="00F22A05">
        <w:t>*(4.6415*(1/EF)-1.9295))/365</w:t>
      </w:r>
      <w:r w:rsidR="004F3BF8" w:rsidRPr="00F22A05">
        <w:rPr>
          <w:u w:val="single"/>
        </w:rPr>
        <w:t>)*</w:t>
      </w:r>
      <w:proofErr w:type="spellStart"/>
      <w:r w:rsidR="004F3BF8" w:rsidRPr="00F22A05">
        <w:rPr>
          <w:u w:val="single"/>
        </w:rPr>
        <w:t>h</w:t>
      </w:r>
      <w:r w:rsidR="004F3BF8" w:rsidRPr="00F22A05">
        <w:rPr>
          <w:u w:val="single"/>
          <w:vertAlign w:val="subscript"/>
        </w:rPr>
        <w:t>DW</w:t>
      </w:r>
      <w:proofErr w:type="spellEnd"/>
    </w:p>
    <w:p w14:paraId="3469405B" w14:textId="295A35C2" w:rsidR="008F1DC1" w:rsidRPr="00F22A05" w:rsidRDefault="007A2DA7" w:rsidP="003D1C47">
      <w:pPr>
        <w:pStyle w:val="equals"/>
        <w:tabs>
          <w:tab w:val="clear" w:pos="3060"/>
          <w:tab w:val="left" w:pos="4500"/>
        </w:tabs>
        <w:ind w:left="4680" w:hanging="1404"/>
        <w:rPr>
          <w:u w:val="single"/>
        </w:rPr>
      </w:pPr>
      <w:proofErr w:type="spellStart"/>
      <w:r w:rsidRPr="00F22A05">
        <w:rPr>
          <w:strike/>
        </w:rPr>
        <w:t>CWgpd</w:t>
      </w:r>
      <w:r w:rsidR="004F3BF8" w:rsidRPr="00F22A05">
        <w:rPr>
          <w:u w:val="single"/>
        </w:rPr>
        <w:t>CWgph</w:t>
      </w:r>
      <w:proofErr w:type="spellEnd"/>
      <w:r w:rsidR="00CE114B" w:rsidRPr="00F22A05">
        <w:tab/>
      </w:r>
      <w:r w:rsidR="008F1DC1" w:rsidRPr="00F22A05">
        <w:t xml:space="preserve">= clothes washer gallons per </w:t>
      </w:r>
      <w:proofErr w:type="gramStart"/>
      <w:r w:rsidR="008F1DC1" w:rsidRPr="00F22A05">
        <w:rPr>
          <w:strike/>
        </w:rPr>
        <w:t xml:space="preserve">day  </w:t>
      </w:r>
      <w:r w:rsidR="004F3BF8" w:rsidRPr="00F22A05">
        <w:rPr>
          <w:u w:val="single"/>
        </w:rPr>
        <w:t>hour</w:t>
      </w:r>
      <w:proofErr w:type="gramEnd"/>
      <w:r w:rsidR="004F3BF8" w:rsidRPr="00F22A05">
        <w:rPr>
          <w:u w:val="single"/>
        </w:rPr>
        <w:t xml:space="preserve">  </w:t>
      </w:r>
      <w:r w:rsidR="008F1DC1" w:rsidRPr="00F22A05">
        <w:t xml:space="preserve">= </w:t>
      </w:r>
      <w:r w:rsidR="0037548B" w:rsidRPr="00F22A05">
        <w:rPr>
          <w:u w:val="single"/>
        </w:rPr>
        <w:t>(</w:t>
      </w:r>
      <w:proofErr w:type="gramStart"/>
      <w:r w:rsidR="008F1DC1" w:rsidRPr="00F22A05">
        <w:t>60*(</w:t>
      </w:r>
      <w:proofErr w:type="gramEnd"/>
      <w:r w:rsidR="008F1DC1" w:rsidRPr="00F22A05">
        <w:t>(LER*($/kWh)</w:t>
      </w:r>
      <w:r w:rsidR="008019CE" w:rsidRPr="00F22A05">
        <w:t xml:space="preserve"> </w:t>
      </w:r>
      <w:r w:rsidR="008F1DC1" w:rsidRPr="00F22A05">
        <w:t>-AGC)/(21.9825*($/kWh)</w:t>
      </w:r>
      <w:r w:rsidR="001B1D7C" w:rsidRPr="00F22A05">
        <w:t xml:space="preserve"> </w:t>
      </w:r>
      <w:r w:rsidR="008F1DC1" w:rsidRPr="00F22A05">
        <w:t>-</w:t>
      </w:r>
      <w:r w:rsidR="001B1D7C" w:rsidRPr="00F22A05">
        <w:t xml:space="preserve"> </w:t>
      </w:r>
      <w:r w:rsidR="008F1DC1" w:rsidRPr="00F22A05">
        <w:t>($/</w:t>
      </w:r>
      <w:proofErr w:type="spellStart"/>
      <w:r w:rsidR="008F1DC1" w:rsidRPr="00F22A05">
        <w:t>therm</w:t>
      </w:r>
      <w:proofErr w:type="spellEnd"/>
      <w:r w:rsidR="008F1DC1" w:rsidRPr="00F22A05">
        <w:t>))/392)*ACY/365</w:t>
      </w:r>
      <w:r w:rsidR="0037548B" w:rsidRPr="00F22A05">
        <w:rPr>
          <w:u w:val="single"/>
        </w:rPr>
        <w:t>)*</w:t>
      </w:r>
      <w:proofErr w:type="spellStart"/>
      <w:r w:rsidR="0037548B" w:rsidRPr="00F22A05">
        <w:rPr>
          <w:u w:val="single"/>
        </w:rPr>
        <w:t>h</w:t>
      </w:r>
      <w:r w:rsidR="0037548B" w:rsidRPr="00F22A05">
        <w:rPr>
          <w:u w:val="single"/>
          <w:vertAlign w:val="subscript"/>
        </w:rPr>
        <w:t>CW</w:t>
      </w:r>
      <w:proofErr w:type="spellEnd"/>
      <w:r w:rsidR="00D42ECB" w:rsidRPr="00F22A05">
        <w:rPr>
          <w:strike/>
        </w:rPr>
        <w:t>.</w:t>
      </w:r>
    </w:p>
    <w:p w14:paraId="3F5ECCA6" w14:textId="5B91B388" w:rsidR="00CF522E" w:rsidRPr="00F22A05" w:rsidRDefault="00CF522E" w:rsidP="00CF522E">
      <w:pPr>
        <w:pStyle w:val="equals"/>
        <w:tabs>
          <w:tab w:val="clear" w:pos="3060"/>
          <w:tab w:val="left" w:pos="4500"/>
        </w:tabs>
        <w:ind w:left="4680" w:hanging="1404"/>
        <w:rPr>
          <w:u w:val="single"/>
        </w:rPr>
      </w:pPr>
      <w:proofErr w:type="spellStart"/>
      <w:r w:rsidRPr="00F22A05">
        <w:rPr>
          <w:u w:val="single"/>
        </w:rPr>
        <w:t>h</w:t>
      </w:r>
      <w:r w:rsidRPr="00F22A05">
        <w:rPr>
          <w:u w:val="single"/>
          <w:vertAlign w:val="subscript"/>
        </w:rPr>
        <w:t>DW</w:t>
      </w:r>
      <w:proofErr w:type="spellEnd"/>
      <w:r w:rsidRPr="00F22A05">
        <w:rPr>
          <w:u w:val="single"/>
        </w:rPr>
        <w:t xml:space="preserve"> </w:t>
      </w:r>
      <w:r w:rsidRPr="00F22A05">
        <w:rPr>
          <w:u w:val="single"/>
        </w:rPr>
        <w:tab/>
        <w:t>= hourly profile schedule</w:t>
      </w:r>
      <w:r w:rsidR="00E97637" w:rsidRPr="00F22A05">
        <w:rPr>
          <w:u w:val="single"/>
        </w:rPr>
        <w:t xml:space="preserve"> value</w:t>
      </w:r>
      <w:r w:rsidRPr="00F22A05">
        <w:rPr>
          <w:u w:val="single"/>
        </w:rPr>
        <w:t xml:space="preserve"> for dishwashers in Normative Appendix </w:t>
      </w:r>
      <w:r w:rsidR="00A9642D">
        <w:rPr>
          <w:strike/>
          <w:color w:val="FF0000"/>
          <w:u w:val="single"/>
        </w:rPr>
        <w:t>C.4</w:t>
      </w:r>
      <w:r w:rsidR="00A9642D" w:rsidRPr="00047996">
        <w:rPr>
          <w:color w:val="FF0000"/>
          <w:u w:val="single"/>
        </w:rPr>
        <w:t>C3</w:t>
      </w:r>
      <w:r w:rsidR="007136AE" w:rsidRPr="00F22A05">
        <w:rPr>
          <w:u w:val="single"/>
        </w:rPr>
        <w:t xml:space="preserve"> Table </w:t>
      </w:r>
      <w:r w:rsidR="00A9642D">
        <w:rPr>
          <w:strike/>
          <w:color w:val="FF0000"/>
          <w:u w:val="single"/>
        </w:rPr>
        <w:t>C4</w:t>
      </w:r>
      <w:r w:rsidR="00A9642D" w:rsidRPr="00047996">
        <w:rPr>
          <w:color w:val="FF0000"/>
          <w:u w:val="single"/>
        </w:rPr>
        <w:t>C.3</w:t>
      </w:r>
      <w:r w:rsidR="00A9642D" w:rsidRPr="00F22A05">
        <w:rPr>
          <w:u w:val="single"/>
        </w:rPr>
        <w:t xml:space="preserve"> </w:t>
      </w:r>
      <w:r w:rsidR="007136AE" w:rsidRPr="00F22A05">
        <w:rPr>
          <w:u w:val="single"/>
        </w:rPr>
        <w:t>(1).</w:t>
      </w:r>
    </w:p>
    <w:p w14:paraId="44D6A8D1" w14:textId="660E763E" w:rsidR="00667A73" w:rsidRPr="00F22A05" w:rsidRDefault="00CF522E" w:rsidP="00D44B37">
      <w:pPr>
        <w:pStyle w:val="equals"/>
        <w:tabs>
          <w:tab w:val="clear" w:pos="3060"/>
          <w:tab w:val="left" w:pos="4500"/>
        </w:tabs>
        <w:ind w:left="4680" w:hanging="1404"/>
      </w:pPr>
      <w:proofErr w:type="spellStart"/>
      <w:r w:rsidRPr="00F22A05">
        <w:rPr>
          <w:u w:val="single"/>
        </w:rPr>
        <w:t>h</w:t>
      </w:r>
      <w:r w:rsidRPr="00F22A05">
        <w:rPr>
          <w:u w:val="single"/>
          <w:vertAlign w:val="subscript"/>
        </w:rPr>
        <w:t>CW</w:t>
      </w:r>
      <w:proofErr w:type="spellEnd"/>
      <w:r w:rsidRPr="00F22A05">
        <w:rPr>
          <w:u w:val="single"/>
        </w:rPr>
        <w:t xml:space="preserve"> </w:t>
      </w:r>
      <w:r w:rsidRPr="00F22A05">
        <w:rPr>
          <w:u w:val="single"/>
        </w:rPr>
        <w:tab/>
        <w:t xml:space="preserve">= hourly profile schedule </w:t>
      </w:r>
      <w:r w:rsidR="00E97637" w:rsidRPr="00F22A05">
        <w:rPr>
          <w:u w:val="single"/>
        </w:rPr>
        <w:t xml:space="preserve">value </w:t>
      </w:r>
      <w:r w:rsidRPr="00F22A05">
        <w:rPr>
          <w:u w:val="single"/>
        </w:rPr>
        <w:t xml:space="preserve">for clothes washers in Normative Appendix </w:t>
      </w:r>
      <w:r w:rsidR="00B91AC8">
        <w:rPr>
          <w:strike/>
          <w:color w:val="FF0000"/>
          <w:u w:val="single"/>
        </w:rPr>
        <w:t>C.4</w:t>
      </w:r>
      <w:r w:rsidR="00B91AC8" w:rsidRPr="00047996">
        <w:rPr>
          <w:color w:val="FF0000"/>
          <w:u w:val="single"/>
        </w:rPr>
        <w:t>C3</w:t>
      </w:r>
      <w:r w:rsidR="005006DB">
        <w:rPr>
          <w:bCs/>
          <w:u w:val="single"/>
        </w:rPr>
        <w:t>.</w:t>
      </w:r>
      <w:r w:rsidR="0033538E">
        <w:rPr>
          <w:bCs/>
          <w:u w:val="single"/>
        </w:rPr>
        <w:t xml:space="preserve"> </w:t>
      </w:r>
      <w:r w:rsidR="007136AE" w:rsidRPr="00F22A05">
        <w:rPr>
          <w:u w:val="single"/>
        </w:rPr>
        <w:t xml:space="preserve">Table </w:t>
      </w:r>
      <w:r w:rsidR="00B91AC8">
        <w:rPr>
          <w:strike/>
          <w:color w:val="FF0000"/>
          <w:u w:val="single"/>
        </w:rPr>
        <w:t>C4</w:t>
      </w:r>
      <w:r w:rsidR="00B91AC8" w:rsidRPr="00047996">
        <w:rPr>
          <w:color w:val="FF0000"/>
          <w:u w:val="single"/>
        </w:rPr>
        <w:t>C.3</w:t>
      </w:r>
      <w:r w:rsidR="00B91AC8" w:rsidRPr="00E922D8">
        <w:rPr>
          <w:u w:val="single"/>
        </w:rPr>
        <w:t>(1</w:t>
      </w:r>
      <w:r w:rsidR="00B91AC8" w:rsidRPr="00F22A05">
        <w:rPr>
          <w:u w:val="single"/>
        </w:rPr>
        <w:t>)</w:t>
      </w:r>
      <w:r w:rsidR="007136AE" w:rsidRPr="00F22A05">
        <w:rPr>
          <w:u w:val="single"/>
        </w:rPr>
        <w:t>.</w:t>
      </w:r>
    </w:p>
    <w:bookmarkEnd w:id="74"/>
    <w:p w14:paraId="77A0A5D3" w14:textId="07B1BFB1" w:rsidR="00FB04E2" w:rsidRPr="00F22A05" w:rsidRDefault="00667A73" w:rsidP="00D44B37">
      <w:pPr>
        <w:pStyle w:val="sixaa"/>
      </w:pPr>
      <w:r w:rsidRPr="00F22A05">
        <w:t xml:space="preserve">Where more than one water heater exists in a Rated Home or building, </w:t>
      </w:r>
      <w:r w:rsidR="000D4DF0" w:rsidRPr="00F22A05">
        <w:t xml:space="preserve">and it is evident which water heater provides an appliance with hot water, </w:t>
      </w:r>
      <w:r w:rsidRPr="00F22A05">
        <w:t xml:space="preserve">the </w:t>
      </w:r>
      <w:proofErr w:type="spellStart"/>
      <w:r w:rsidRPr="00F22A05">
        <w:rPr>
          <w:strike/>
        </w:rPr>
        <w:t>DWgpd</w:t>
      </w:r>
      <w:proofErr w:type="spellEnd"/>
      <w:r w:rsidRPr="00F22A05">
        <w:rPr>
          <w:strike/>
        </w:rPr>
        <w:t xml:space="preserve"> </w:t>
      </w:r>
      <w:proofErr w:type="spellStart"/>
      <w:r w:rsidR="0037548B" w:rsidRPr="00F22A05">
        <w:rPr>
          <w:u w:val="single"/>
        </w:rPr>
        <w:t>DWgph</w:t>
      </w:r>
      <w:proofErr w:type="spellEnd"/>
      <w:r w:rsidR="0037548B" w:rsidRPr="00F22A05">
        <w:rPr>
          <w:u w:val="single"/>
        </w:rPr>
        <w:t xml:space="preserve"> </w:t>
      </w:r>
      <w:r w:rsidRPr="00F22A05">
        <w:t xml:space="preserve">load </w:t>
      </w:r>
      <w:r w:rsidR="00F66EC8" w:rsidRPr="00F22A05">
        <w:t xml:space="preserve">and </w:t>
      </w:r>
      <w:proofErr w:type="spellStart"/>
      <w:r w:rsidR="00F66EC8" w:rsidRPr="00F22A05">
        <w:rPr>
          <w:strike/>
        </w:rPr>
        <w:t>CWgpd</w:t>
      </w:r>
      <w:proofErr w:type="spellEnd"/>
      <w:r w:rsidR="00F66EC8" w:rsidRPr="00F22A05">
        <w:rPr>
          <w:strike/>
        </w:rPr>
        <w:t xml:space="preserve"> </w:t>
      </w:r>
      <w:proofErr w:type="spellStart"/>
      <w:r w:rsidR="0037548B" w:rsidRPr="00F22A05">
        <w:rPr>
          <w:u w:val="single"/>
        </w:rPr>
        <w:t>CWgph</w:t>
      </w:r>
      <w:proofErr w:type="spellEnd"/>
      <w:r w:rsidR="0037548B" w:rsidRPr="00F22A05">
        <w:rPr>
          <w:u w:val="single"/>
        </w:rPr>
        <w:t xml:space="preserve"> </w:t>
      </w:r>
      <w:r w:rsidR="00F66EC8" w:rsidRPr="00F22A05">
        <w:t xml:space="preserve">load </w:t>
      </w:r>
      <w:r w:rsidRPr="00F22A05">
        <w:t>must be attributed to th</w:t>
      </w:r>
      <w:r w:rsidR="00F66EC8" w:rsidRPr="00F22A05">
        <w:t>e</w:t>
      </w:r>
      <w:r w:rsidRPr="00F22A05">
        <w:t xml:space="preserve"> water heater</w:t>
      </w:r>
      <w:r w:rsidR="00F66EC8" w:rsidRPr="00F22A05">
        <w:t xml:space="preserve"> providing that appliance with hot water</w:t>
      </w:r>
      <w:r w:rsidRPr="00F22A05">
        <w:t>.</w:t>
      </w:r>
    </w:p>
    <w:p w14:paraId="386E1CE6" w14:textId="764FA058" w:rsidR="008F1DC1" w:rsidRDefault="008F1DC1" w:rsidP="00D44B37">
      <w:pPr>
        <w:pStyle w:val="equals"/>
        <w:tabs>
          <w:tab w:val="clear" w:pos="3060"/>
          <w:tab w:val="left" w:pos="4500"/>
        </w:tabs>
        <w:ind w:left="4680" w:hanging="1404"/>
        <w:rPr>
          <w:b/>
          <w:color w:val="0070C0"/>
          <w:vertAlign w:val="superscript"/>
        </w:rPr>
      </w:pPr>
      <w:proofErr w:type="spellStart"/>
      <w:r w:rsidRPr="00F22A05">
        <w:t>F</w:t>
      </w:r>
      <w:r w:rsidRPr="00F22A05">
        <w:rPr>
          <w:vertAlign w:val="subscript"/>
        </w:rPr>
        <w:t>eff</w:t>
      </w:r>
      <w:proofErr w:type="spellEnd"/>
      <w:r w:rsidR="00CE114B" w:rsidRPr="00F22A05">
        <w:tab/>
      </w:r>
      <w:r w:rsidRPr="00F22A05">
        <w:t>= fixture effectiveness in accordance with Table 4.2.2.5.2.11(1)</w:t>
      </w:r>
      <w:r w:rsidR="00FE6F62" w:rsidRPr="00F22A05">
        <w:t>.</w:t>
      </w:r>
      <w:r w:rsidR="00A12F37" w:rsidRPr="00F22A05">
        <w:rPr>
          <w:bCs/>
          <w:vertAlign w:val="superscript"/>
        </w:rPr>
        <w:t xml:space="preserve"> </w:t>
      </w:r>
      <w:r w:rsidR="00D44B37" w:rsidRPr="00DC54A7">
        <w:rPr>
          <w:b/>
          <w:color w:val="0070C0"/>
          <w:vertAlign w:val="superscript"/>
        </w:rPr>
        <w:t>(1)</w:t>
      </w:r>
    </w:p>
    <w:p w14:paraId="25C34D54" w14:textId="77777777" w:rsidR="00D44B37" w:rsidRDefault="00D44B37" w:rsidP="00D44B37">
      <w:pPr>
        <w:pStyle w:val="equals"/>
        <w:tabs>
          <w:tab w:val="clear" w:pos="3060"/>
          <w:tab w:val="left" w:pos="4500"/>
        </w:tabs>
        <w:ind w:left="4680" w:hanging="1404"/>
      </w:pPr>
    </w:p>
    <w:p w14:paraId="190F0DE5" w14:textId="77777777" w:rsidR="00FD0E57" w:rsidRDefault="00FD0E57" w:rsidP="00D44B37">
      <w:pPr>
        <w:pStyle w:val="equals"/>
        <w:tabs>
          <w:tab w:val="clear" w:pos="3060"/>
          <w:tab w:val="left" w:pos="4500"/>
        </w:tabs>
        <w:ind w:left="4680" w:hanging="1404"/>
      </w:pPr>
    </w:p>
    <w:p w14:paraId="15BCCDB5" w14:textId="77777777" w:rsidR="00FD0E57" w:rsidRDefault="00FD0E57" w:rsidP="00D44B37">
      <w:pPr>
        <w:pStyle w:val="equals"/>
        <w:tabs>
          <w:tab w:val="clear" w:pos="3060"/>
          <w:tab w:val="left" w:pos="4500"/>
        </w:tabs>
        <w:ind w:left="4680" w:hanging="1404"/>
      </w:pPr>
    </w:p>
    <w:p w14:paraId="4C4C8463" w14:textId="77777777" w:rsidR="00FD0E57" w:rsidRDefault="00FD0E57" w:rsidP="00D44B37">
      <w:pPr>
        <w:pStyle w:val="equals"/>
        <w:tabs>
          <w:tab w:val="clear" w:pos="3060"/>
          <w:tab w:val="left" w:pos="4500"/>
        </w:tabs>
        <w:ind w:left="4680" w:hanging="1404"/>
      </w:pPr>
    </w:p>
    <w:p w14:paraId="70A5140D" w14:textId="77777777" w:rsidR="00FD0E57" w:rsidRPr="00F22A05" w:rsidRDefault="00FD0E57" w:rsidP="00D44B37">
      <w:pPr>
        <w:pStyle w:val="equals"/>
        <w:tabs>
          <w:tab w:val="clear" w:pos="3060"/>
          <w:tab w:val="left" w:pos="4500"/>
        </w:tabs>
        <w:ind w:left="4680" w:hanging="1404"/>
      </w:pPr>
    </w:p>
    <w:p w14:paraId="73578183" w14:textId="5EE0B868" w:rsidR="008F1DC1" w:rsidRPr="00F22A05" w:rsidRDefault="008F1DC1" w:rsidP="003D1C47">
      <w:pPr>
        <w:ind w:left="1080"/>
        <w:jc w:val="center"/>
        <w:rPr>
          <w:b/>
        </w:rPr>
      </w:pPr>
      <w:r w:rsidRPr="00F22A05">
        <w:rPr>
          <w:b/>
        </w:rPr>
        <w:t>Table 4.2.2.5.2.11(1) Hot water fixture effectivene</w:t>
      </w:r>
      <w:r w:rsidR="00D44B37">
        <w:rPr>
          <w:b/>
        </w:rPr>
        <w:t>s</w:t>
      </w:r>
      <w:r w:rsidRPr="00F22A05">
        <w:rPr>
          <w:b/>
        </w:rPr>
        <w:t>s</w:t>
      </w:r>
      <w:r w:rsidR="00D44B37">
        <w:rPr>
          <w:b/>
        </w:rPr>
        <w:t xml:space="preserve"> </w:t>
      </w:r>
      <w:r w:rsidR="00D44B37" w:rsidRPr="00DC54A7">
        <w:rPr>
          <w:b/>
          <w:color w:val="0070C0"/>
          <w:vertAlign w:val="superscript"/>
        </w:rPr>
        <w:t>(1)</w:t>
      </w:r>
    </w:p>
    <w:tbl>
      <w:tblPr>
        <w:tblStyle w:val="TableGrid"/>
        <w:tblW w:w="7334" w:type="dxa"/>
        <w:tblInd w:w="2016" w:type="dxa"/>
        <w:tblLook w:val="04A0" w:firstRow="1" w:lastRow="0" w:firstColumn="1" w:lastColumn="0" w:noHBand="0" w:noVBand="1"/>
      </w:tblPr>
      <w:tblGrid>
        <w:gridCol w:w="5572"/>
        <w:gridCol w:w="880"/>
        <w:gridCol w:w="882"/>
      </w:tblGrid>
      <w:tr w:rsidR="00F22A05" w:rsidRPr="00F22A05" w14:paraId="3C80B1AC" w14:textId="77777777" w:rsidTr="00A12F37">
        <w:trPr>
          <w:trHeight w:val="270"/>
        </w:trPr>
        <w:tc>
          <w:tcPr>
            <w:tcW w:w="5572" w:type="dxa"/>
            <w:shd w:val="clear" w:color="auto" w:fill="auto"/>
          </w:tcPr>
          <w:p w14:paraId="7F10763F" w14:textId="77777777" w:rsidR="00A12F37" w:rsidRPr="00F22A05" w:rsidRDefault="00A12F37" w:rsidP="00F22703">
            <w:pPr>
              <w:tabs>
                <w:tab w:val="left" w:pos="748"/>
              </w:tabs>
            </w:pPr>
            <w:r w:rsidRPr="00F22A05">
              <w:rPr>
                <w:b/>
                <w:sz w:val="22"/>
              </w:rPr>
              <w:t>Plumbing Fixture Description</w:t>
            </w:r>
            <w:r w:rsidRPr="00F22A05">
              <w:rPr>
                <w:b/>
                <w:bCs/>
                <w:sz w:val="22"/>
                <w:szCs w:val="22"/>
              </w:rPr>
              <w:t xml:space="preserve"> </w:t>
            </w:r>
          </w:p>
        </w:tc>
        <w:tc>
          <w:tcPr>
            <w:tcW w:w="880" w:type="dxa"/>
          </w:tcPr>
          <w:p w14:paraId="421AE8E4" w14:textId="77777777" w:rsidR="00A12F37" w:rsidRPr="00F22A05" w:rsidRDefault="00A12F37" w:rsidP="00F22703">
            <w:pPr>
              <w:tabs>
                <w:tab w:val="left" w:pos="748"/>
              </w:tabs>
              <w:rPr>
                <w:b/>
                <w:sz w:val="22"/>
              </w:rPr>
            </w:pPr>
          </w:p>
        </w:tc>
        <w:tc>
          <w:tcPr>
            <w:tcW w:w="882" w:type="dxa"/>
            <w:shd w:val="clear" w:color="auto" w:fill="auto"/>
          </w:tcPr>
          <w:p w14:paraId="3595523D" w14:textId="42293674" w:rsidR="00A12F37" w:rsidRPr="00F22A05" w:rsidRDefault="00A12F37" w:rsidP="00F22703">
            <w:pPr>
              <w:tabs>
                <w:tab w:val="left" w:pos="748"/>
              </w:tabs>
            </w:pPr>
            <w:proofErr w:type="spellStart"/>
            <w:r w:rsidRPr="00F22A05">
              <w:rPr>
                <w:b/>
                <w:sz w:val="22"/>
              </w:rPr>
              <w:t>F</w:t>
            </w:r>
            <w:r w:rsidRPr="00F22A05">
              <w:rPr>
                <w:b/>
                <w:sz w:val="14"/>
              </w:rPr>
              <w:t>eff</w:t>
            </w:r>
            <w:proofErr w:type="spellEnd"/>
            <w:r w:rsidRPr="00F22A05">
              <w:rPr>
                <w:b/>
                <w:bCs/>
                <w:sz w:val="14"/>
                <w:szCs w:val="14"/>
              </w:rPr>
              <w:t xml:space="preserve"> </w:t>
            </w:r>
          </w:p>
        </w:tc>
      </w:tr>
      <w:tr w:rsidR="00F22A05" w:rsidRPr="00F22A05" w14:paraId="221BC72E" w14:textId="77777777" w:rsidTr="00A12F37">
        <w:trPr>
          <w:trHeight w:val="254"/>
        </w:trPr>
        <w:tc>
          <w:tcPr>
            <w:tcW w:w="5572" w:type="dxa"/>
            <w:shd w:val="clear" w:color="auto" w:fill="auto"/>
          </w:tcPr>
          <w:p w14:paraId="302CE036" w14:textId="47F8D272" w:rsidR="00A12F37" w:rsidRPr="00F22A05" w:rsidRDefault="00A12F37" w:rsidP="00F22703">
            <w:pPr>
              <w:tabs>
                <w:tab w:val="left" w:pos="748"/>
              </w:tabs>
            </w:pPr>
            <w:r w:rsidRPr="00F22A05">
              <w:rPr>
                <w:sz w:val="22"/>
              </w:rPr>
              <w:t xml:space="preserve">Standard-flow: showers ≤2.5 </w:t>
            </w:r>
            <w:proofErr w:type="spellStart"/>
            <w:r w:rsidRPr="00F22A05">
              <w:rPr>
                <w:sz w:val="22"/>
              </w:rPr>
              <w:t>gpm</w:t>
            </w:r>
            <w:proofErr w:type="spellEnd"/>
            <w:r w:rsidRPr="00F22A05">
              <w:rPr>
                <w:sz w:val="22"/>
              </w:rPr>
              <w:t xml:space="preserve"> and </w:t>
            </w:r>
            <w:proofErr w:type="spellStart"/>
            <w:r w:rsidRPr="00F22A05">
              <w:rPr>
                <w:strike/>
                <w:sz w:val="22"/>
              </w:rPr>
              <w:t>b</w:t>
            </w:r>
            <w:r w:rsidRPr="00F22A05">
              <w:rPr>
                <w:sz w:val="22"/>
              </w:rPr>
              <w:t>Bathroom</w:t>
            </w:r>
            <w:proofErr w:type="spellEnd"/>
            <w:r w:rsidRPr="00F22A05">
              <w:rPr>
                <w:sz w:val="22"/>
              </w:rPr>
              <w:t xml:space="preserve"> sink faucets ≤2.2 </w:t>
            </w:r>
            <w:proofErr w:type="spellStart"/>
            <w:r w:rsidRPr="00F22A05">
              <w:rPr>
                <w:sz w:val="22"/>
              </w:rPr>
              <w:t>gpm</w:t>
            </w:r>
            <w:proofErr w:type="spellEnd"/>
            <w:r w:rsidRPr="00F22A05">
              <w:rPr>
                <w:sz w:val="22"/>
                <w:szCs w:val="22"/>
              </w:rPr>
              <w:t xml:space="preserve"> </w:t>
            </w:r>
          </w:p>
        </w:tc>
        <w:tc>
          <w:tcPr>
            <w:tcW w:w="880" w:type="dxa"/>
          </w:tcPr>
          <w:p w14:paraId="7E148A1E" w14:textId="77777777" w:rsidR="00A12F37" w:rsidRPr="00F22A05" w:rsidRDefault="00A12F37" w:rsidP="00F22703">
            <w:pPr>
              <w:tabs>
                <w:tab w:val="left" w:pos="748"/>
              </w:tabs>
              <w:rPr>
                <w:sz w:val="22"/>
              </w:rPr>
            </w:pPr>
          </w:p>
        </w:tc>
        <w:tc>
          <w:tcPr>
            <w:tcW w:w="882" w:type="dxa"/>
            <w:shd w:val="clear" w:color="auto" w:fill="auto"/>
          </w:tcPr>
          <w:p w14:paraId="44A25175" w14:textId="1E8F64A3" w:rsidR="00A12F37" w:rsidRPr="00F22A05" w:rsidRDefault="00A12F37" w:rsidP="00F22703">
            <w:pPr>
              <w:tabs>
                <w:tab w:val="left" w:pos="748"/>
              </w:tabs>
            </w:pPr>
            <w:r w:rsidRPr="00F22A05">
              <w:rPr>
                <w:sz w:val="22"/>
              </w:rPr>
              <w:t>1.00</w:t>
            </w:r>
            <w:r w:rsidRPr="00F22A05">
              <w:rPr>
                <w:sz w:val="22"/>
                <w:szCs w:val="22"/>
              </w:rPr>
              <w:t xml:space="preserve"> </w:t>
            </w:r>
          </w:p>
        </w:tc>
      </w:tr>
      <w:tr w:rsidR="00A12F37" w:rsidRPr="00F22A05" w14:paraId="58BEE237" w14:textId="77777777" w:rsidTr="00A12F37">
        <w:trPr>
          <w:trHeight w:val="270"/>
        </w:trPr>
        <w:tc>
          <w:tcPr>
            <w:tcW w:w="5572" w:type="dxa"/>
            <w:shd w:val="clear" w:color="auto" w:fill="auto"/>
          </w:tcPr>
          <w:p w14:paraId="1EB4E2BD" w14:textId="49A6667C" w:rsidR="00A12F37" w:rsidRPr="00F22A05" w:rsidRDefault="00A12F37" w:rsidP="00F22703">
            <w:pPr>
              <w:tabs>
                <w:tab w:val="left" w:pos="748"/>
              </w:tabs>
            </w:pPr>
            <w:proofErr w:type="gramStart"/>
            <w:r w:rsidRPr="00F22A05">
              <w:rPr>
                <w:sz w:val="22"/>
              </w:rPr>
              <w:t>Low-flow</w:t>
            </w:r>
            <w:proofErr w:type="gramEnd"/>
            <w:r w:rsidRPr="00F22A05">
              <w:rPr>
                <w:sz w:val="22"/>
              </w:rPr>
              <w:t>: all showers</w:t>
            </w:r>
            <w:r w:rsidRPr="00F22A05">
              <w:rPr>
                <w:rStyle w:val="FootnoteReference"/>
                <w:sz w:val="22"/>
              </w:rPr>
              <w:footnoteReference w:id="17"/>
            </w:r>
            <w:r w:rsidRPr="00F22A05">
              <w:rPr>
                <w:sz w:val="22"/>
              </w:rPr>
              <w:t xml:space="preserve"> and </w:t>
            </w:r>
            <w:proofErr w:type="spellStart"/>
            <w:r w:rsidRPr="00F22A05">
              <w:rPr>
                <w:strike/>
                <w:sz w:val="22"/>
              </w:rPr>
              <w:t>b</w:t>
            </w:r>
            <w:r w:rsidRPr="00F22A05">
              <w:rPr>
                <w:sz w:val="22"/>
              </w:rPr>
              <w:t>Bathroom</w:t>
            </w:r>
            <w:proofErr w:type="spellEnd"/>
            <w:r w:rsidRPr="00F22A05">
              <w:rPr>
                <w:sz w:val="22"/>
              </w:rPr>
              <w:t xml:space="preserve"> sink faucets ≤2.0 </w:t>
            </w:r>
            <w:proofErr w:type="spellStart"/>
            <w:r w:rsidRPr="00F22A05">
              <w:rPr>
                <w:sz w:val="22"/>
              </w:rPr>
              <w:t>gpm</w:t>
            </w:r>
            <w:proofErr w:type="spellEnd"/>
            <w:r w:rsidRPr="00F22A05">
              <w:rPr>
                <w:sz w:val="22"/>
                <w:szCs w:val="22"/>
              </w:rPr>
              <w:t xml:space="preserve"> </w:t>
            </w:r>
          </w:p>
        </w:tc>
        <w:tc>
          <w:tcPr>
            <w:tcW w:w="880" w:type="dxa"/>
          </w:tcPr>
          <w:p w14:paraId="384E459B" w14:textId="77777777" w:rsidR="00A12F37" w:rsidRPr="00F22A05" w:rsidRDefault="00A12F37" w:rsidP="00F22703">
            <w:pPr>
              <w:tabs>
                <w:tab w:val="left" w:pos="748"/>
              </w:tabs>
              <w:rPr>
                <w:sz w:val="22"/>
              </w:rPr>
            </w:pPr>
          </w:p>
        </w:tc>
        <w:tc>
          <w:tcPr>
            <w:tcW w:w="882" w:type="dxa"/>
            <w:shd w:val="clear" w:color="auto" w:fill="auto"/>
          </w:tcPr>
          <w:p w14:paraId="1C6B3AE3" w14:textId="70E2651F" w:rsidR="00A12F37" w:rsidRPr="00F22A05" w:rsidRDefault="00A12F37" w:rsidP="00F22703">
            <w:pPr>
              <w:tabs>
                <w:tab w:val="left" w:pos="748"/>
              </w:tabs>
            </w:pPr>
            <w:r w:rsidRPr="00F22A05">
              <w:rPr>
                <w:sz w:val="22"/>
              </w:rPr>
              <w:t>0.95</w:t>
            </w:r>
            <w:r w:rsidRPr="00F22A05">
              <w:rPr>
                <w:sz w:val="22"/>
                <w:szCs w:val="22"/>
              </w:rPr>
              <w:t xml:space="preserve"> </w:t>
            </w:r>
          </w:p>
        </w:tc>
      </w:tr>
    </w:tbl>
    <w:p w14:paraId="2DF94A53" w14:textId="77777777" w:rsidR="008F1DC1" w:rsidRPr="00F22A05" w:rsidRDefault="008F1DC1" w:rsidP="008F1DC1">
      <w:pPr>
        <w:tabs>
          <w:tab w:val="left" w:pos="748"/>
        </w:tabs>
        <w:ind w:left="1440"/>
      </w:pPr>
    </w:p>
    <w:p w14:paraId="4FA50CAC" w14:textId="026F0BCE" w:rsidR="008F1DC1" w:rsidRPr="00F22A05" w:rsidRDefault="008F1DC1" w:rsidP="00D44B37">
      <w:pPr>
        <w:tabs>
          <w:tab w:val="left" w:pos="7353"/>
          <w:tab w:val="right" w:pos="9360"/>
        </w:tabs>
        <w:spacing w:before="240"/>
        <w:ind w:left="2610"/>
        <w:rPr>
          <w:b/>
        </w:rPr>
      </w:pPr>
      <w:proofErr w:type="spellStart"/>
      <w:r w:rsidRPr="00172266">
        <w:rPr>
          <w:bCs/>
        </w:rPr>
        <w:t>adjF</w:t>
      </w:r>
      <w:r w:rsidRPr="00172266">
        <w:rPr>
          <w:bCs/>
          <w:vertAlign w:val="subscript"/>
        </w:rPr>
        <w:t>mix</w:t>
      </w:r>
      <w:proofErr w:type="spellEnd"/>
      <w:r w:rsidR="00731228" w:rsidRPr="00172266">
        <w:rPr>
          <w:bCs/>
        </w:rPr>
        <w:t xml:space="preserve"> </w:t>
      </w:r>
      <w:r w:rsidRPr="00172266">
        <w:rPr>
          <w:bCs/>
        </w:rPr>
        <w:t>= 1 – ((</w:t>
      </w:r>
      <w:proofErr w:type="spellStart"/>
      <w:r w:rsidRPr="00172266">
        <w:rPr>
          <w:bCs/>
        </w:rPr>
        <w:t>T</w:t>
      </w:r>
      <w:r w:rsidRPr="00172266">
        <w:rPr>
          <w:bCs/>
          <w:vertAlign w:val="subscript"/>
        </w:rPr>
        <w:t>set</w:t>
      </w:r>
      <w:proofErr w:type="spellEnd"/>
      <w:r w:rsidRPr="00172266">
        <w:rPr>
          <w:bCs/>
        </w:rPr>
        <w:t xml:space="preserve"> – </w:t>
      </w:r>
      <w:proofErr w:type="spellStart"/>
      <w:r w:rsidRPr="00172266">
        <w:rPr>
          <w:bCs/>
        </w:rPr>
        <w:t>T</w:t>
      </w:r>
      <w:r w:rsidRPr="00172266">
        <w:rPr>
          <w:bCs/>
          <w:vertAlign w:val="subscript"/>
        </w:rPr>
        <w:t>use</w:t>
      </w:r>
      <w:proofErr w:type="spellEnd"/>
      <w:r w:rsidRPr="00172266">
        <w:rPr>
          <w:bCs/>
        </w:rPr>
        <w:t>)/ (</w:t>
      </w:r>
      <w:proofErr w:type="spellStart"/>
      <w:r w:rsidRPr="00172266">
        <w:rPr>
          <w:bCs/>
        </w:rPr>
        <w:t>T</w:t>
      </w:r>
      <w:r w:rsidRPr="00172266">
        <w:rPr>
          <w:bCs/>
          <w:vertAlign w:val="subscript"/>
        </w:rPr>
        <w:t>set</w:t>
      </w:r>
      <w:proofErr w:type="spellEnd"/>
      <w:r w:rsidRPr="00172266">
        <w:rPr>
          <w:bCs/>
        </w:rPr>
        <w:t xml:space="preserve"> – </w:t>
      </w:r>
      <w:proofErr w:type="spellStart"/>
      <w:r w:rsidRPr="00172266">
        <w:rPr>
          <w:bCs/>
        </w:rPr>
        <w:t>WH</w:t>
      </w:r>
      <w:r w:rsidRPr="00172266">
        <w:rPr>
          <w:bCs/>
          <w:vertAlign w:val="subscript"/>
        </w:rPr>
        <w:t>in</w:t>
      </w:r>
      <w:r w:rsidRPr="00172266">
        <w:rPr>
          <w:bCs/>
        </w:rPr>
        <w:t>T</w:t>
      </w:r>
      <w:proofErr w:type="spellEnd"/>
      <w:r w:rsidRPr="00172266">
        <w:rPr>
          <w:bCs/>
        </w:rPr>
        <w:t>))</w:t>
      </w:r>
      <w:r w:rsidR="007650BA" w:rsidRPr="00F22A05">
        <w:rPr>
          <w:b/>
        </w:rPr>
        <w:tab/>
        <w:t>(Equation 4.2-</w:t>
      </w:r>
      <w:proofErr w:type="gramStart"/>
      <w:r w:rsidR="007650BA" w:rsidRPr="00F22A05">
        <w:rPr>
          <w:b/>
        </w:rPr>
        <w:t>3</w:t>
      </w:r>
      <w:r w:rsidR="007B3AFD">
        <w:rPr>
          <w:b/>
        </w:rPr>
        <w:t>)</w:t>
      </w:r>
      <w:r w:rsidR="00D44B37" w:rsidRPr="00DC54A7">
        <w:rPr>
          <w:b/>
          <w:color w:val="0070C0"/>
          <w:vertAlign w:val="superscript"/>
        </w:rPr>
        <w:t>(</w:t>
      </w:r>
      <w:proofErr w:type="gramEnd"/>
      <w:r w:rsidR="00D44B37" w:rsidRPr="00DC54A7">
        <w:rPr>
          <w:b/>
          <w:color w:val="0070C0"/>
          <w:vertAlign w:val="superscript"/>
        </w:rPr>
        <w:t>1)</w:t>
      </w:r>
    </w:p>
    <w:p w14:paraId="09E3F702" w14:textId="0C857F40" w:rsidR="008F1DC1" w:rsidRPr="00F22A05" w:rsidRDefault="008F1DC1" w:rsidP="0025098F">
      <w:pPr>
        <w:pStyle w:val="where1"/>
        <w:ind w:left="3240"/>
      </w:pPr>
      <w:r w:rsidRPr="00F22A05">
        <w:t>where</w:t>
      </w:r>
      <w:r w:rsidR="00FE6F62" w:rsidRPr="00F22A05">
        <w:t>:</w:t>
      </w:r>
    </w:p>
    <w:p w14:paraId="17FF411B" w14:textId="77777777" w:rsidR="0025098F" w:rsidRPr="00F22A05" w:rsidRDefault="008F1DC1" w:rsidP="0025098F">
      <w:pPr>
        <w:pStyle w:val="equals"/>
        <w:tabs>
          <w:tab w:val="clear" w:pos="3060"/>
          <w:tab w:val="left" w:pos="4500"/>
        </w:tabs>
        <w:ind w:left="4680" w:hanging="1404"/>
      </w:pPr>
      <w:proofErr w:type="spellStart"/>
      <w:r w:rsidRPr="00F22A05">
        <w:t>T</w:t>
      </w:r>
      <w:r w:rsidRPr="00F22A05">
        <w:rPr>
          <w:vertAlign w:val="subscript"/>
        </w:rPr>
        <w:t>set</w:t>
      </w:r>
      <w:proofErr w:type="spellEnd"/>
      <w:r w:rsidR="00DF63F1" w:rsidRPr="00F22A05">
        <w:tab/>
      </w:r>
      <w:r w:rsidRPr="00F22A05">
        <w:t>= 125 °F = water heater set point temperature</w:t>
      </w:r>
      <w:r w:rsidR="00FE6F62" w:rsidRPr="00F22A05">
        <w:t>.</w:t>
      </w:r>
    </w:p>
    <w:p w14:paraId="12D82DEF" w14:textId="77777777" w:rsidR="0025098F" w:rsidRPr="00F22A05" w:rsidRDefault="008F1DC1" w:rsidP="0025098F">
      <w:pPr>
        <w:pStyle w:val="equals"/>
        <w:tabs>
          <w:tab w:val="clear" w:pos="3060"/>
          <w:tab w:val="left" w:pos="4500"/>
        </w:tabs>
        <w:ind w:left="4680" w:hanging="1404"/>
      </w:pPr>
      <w:proofErr w:type="spellStart"/>
      <w:r w:rsidRPr="00F22A05">
        <w:t>T</w:t>
      </w:r>
      <w:r w:rsidRPr="00F22A05">
        <w:rPr>
          <w:vertAlign w:val="subscript"/>
        </w:rPr>
        <w:t>use</w:t>
      </w:r>
      <w:proofErr w:type="spellEnd"/>
      <w:r w:rsidR="00D76B2F" w:rsidRPr="00F22A05">
        <w:tab/>
      </w:r>
      <w:r w:rsidRPr="00F22A05">
        <w:t>= 105 °F = temperature of mixed water at fixtures</w:t>
      </w:r>
      <w:r w:rsidR="00FE6F62" w:rsidRPr="00F22A05">
        <w:t>.</w:t>
      </w:r>
    </w:p>
    <w:p w14:paraId="1700C2D4" w14:textId="3A7AC4AF" w:rsidR="008F1DC1" w:rsidRPr="00F22A05" w:rsidRDefault="008F1DC1" w:rsidP="0025098F">
      <w:pPr>
        <w:pStyle w:val="equals"/>
        <w:tabs>
          <w:tab w:val="clear" w:pos="3060"/>
          <w:tab w:val="left" w:pos="4500"/>
        </w:tabs>
        <w:ind w:left="4680" w:hanging="1404"/>
      </w:pPr>
      <w:proofErr w:type="spellStart"/>
      <w:r w:rsidRPr="00F22A05">
        <w:t>WH</w:t>
      </w:r>
      <w:r w:rsidRPr="00F22A05">
        <w:rPr>
          <w:vertAlign w:val="subscript"/>
        </w:rPr>
        <w:t>in</w:t>
      </w:r>
      <w:r w:rsidRPr="00F22A05">
        <w:t>T</w:t>
      </w:r>
      <w:proofErr w:type="spellEnd"/>
      <w:r w:rsidR="00DF63F1" w:rsidRPr="00F22A05">
        <w:tab/>
      </w:r>
      <w:r w:rsidRPr="00F22A05">
        <w:t>= water heater inlet temperature</w:t>
      </w:r>
      <w:r w:rsidR="00FE6F62" w:rsidRPr="00F22A05">
        <w:t>.</w:t>
      </w:r>
    </w:p>
    <w:p w14:paraId="133EF844" w14:textId="5CAAD828" w:rsidR="008F1DC1" w:rsidRPr="00F22A05" w:rsidRDefault="008F1DC1" w:rsidP="0025098F">
      <w:pPr>
        <w:pStyle w:val="where1"/>
        <w:ind w:left="3240"/>
      </w:pPr>
      <w:r w:rsidRPr="00F22A05">
        <w:t>where</w:t>
      </w:r>
      <w:r w:rsidR="00FE6F62" w:rsidRPr="00F22A05">
        <w:t>:</w:t>
      </w:r>
    </w:p>
    <w:p w14:paraId="729F6385" w14:textId="070D0B42" w:rsidR="0025098F" w:rsidRPr="00F22A05" w:rsidRDefault="008F1DC1" w:rsidP="0025098F">
      <w:pPr>
        <w:pStyle w:val="equals"/>
        <w:tabs>
          <w:tab w:val="clear" w:pos="3060"/>
          <w:tab w:val="left" w:pos="4500"/>
        </w:tabs>
        <w:ind w:left="4680" w:hanging="1404"/>
      </w:pPr>
      <w:proofErr w:type="spellStart"/>
      <w:r w:rsidRPr="00F22A05">
        <w:t>WH</w:t>
      </w:r>
      <w:r w:rsidRPr="00F22A05">
        <w:rPr>
          <w:vertAlign w:val="subscript"/>
        </w:rPr>
        <w:t>in</w:t>
      </w:r>
      <w:r w:rsidRPr="00F22A05">
        <w:t>T</w:t>
      </w:r>
      <w:proofErr w:type="spellEnd"/>
      <w:r w:rsidR="00753F03" w:rsidRPr="00F22A05">
        <w:tab/>
      </w:r>
      <w:r w:rsidRPr="00F22A05">
        <w:t xml:space="preserve">= </w:t>
      </w:r>
      <w:proofErr w:type="spellStart"/>
      <w:r w:rsidRPr="00F22A05">
        <w:t>T</w:t>
      </w:r>
      <w:r w:rsidRPr="00F22A05">
        <w:rPr>
          <w:vertAlign w:val="subscript"/>
        </w:rPr>
        <w:t>mains</w:t>
      </w:r>
      <w:proofErr w:type="spellEnd"/>
      <w:r w:rsidRPr="00F22A05">
        <w:t xml:space="preserve"> + </w:t>
      </w:r>
      <w:proofErr w:type="spellStart"/>
      <w:r w:rsidRPr="00F22A05">
        <w:t>WH</w:t>
      </w:r>
      <w:r w:rsidRPr="00F22A05">
        <w:rPr>
          <w:vertAlign w:val="subscript"/>
        </w:rPr>
        <w:t>in</w:t>
      </w:r>
      <w:r w:rsidRPr="00F22A05">
        <w:t>T</w:t>
      </w:r>
      <w:r w:rsidRPr="00F22A05">
        <w:rPr>
          <w:vertAlign w:val="subscript"/>
        </w:rPr>
        <w:t>adj</w:t>
      </w:r>
      <w:proofErr w:type="spellEnd"/>
      <w:r w:rsidRPr="00F22A05">
        <w:t xml:space="preserve"> for DWHR systems</w:t>
      </w:r>
      <w:r w:rsidR="005D0178" w:rsidRPr="00F22A05">
        <w:t xml:space="preserve"> </w:t>
      </w:r>
      <w:r w:rsidRPr="00F22A05">
        <w:t>and where</w:t>
      </w:r>
      <w:r w:rsidR="00976BB8" w:rsidRPr="00F22A05">
        <w:t xml:space="preserve"> </w:t>
      </w:r>
      <w:proofErr w:type="spellStart"/>
      <w:r w:rsidRPr="00F22A05">
        <w:t>WH</w:t>
      </w:r>
      <w:r w:rsidRPr="00F22A05">
        <w:rPr>
          <w:vertAlign w:val="subscript"/>
        </w:rPr>
        <w:t>in</w:t>
      </w:r>
      <w:r w:rsidRPr="00F22A05">
        <w:t>T</w:t>
      </w:r>
      <w:r w:rsidRPr="00F22A05">
        <w:rPr>
          <w:vertAlign w:val="subscript"/>
        </w:rPr>
        <w:t>adj</w:t>
      </w:r>
      <w:proofErr w:type="spellEnd"/>
      <w:r w:rsidRPr="00F22A05">
        <w:t xml:space="preserve"> is calculated in accordance with </w:t>
      </w:r>
      <w:r w:rsidR="000B476C" w:rsidRPr="00F22A05">
        <w:t>E</w:t>
      </w:r>
      <w:r w:rsidRPr="00F22A05">
        <w:t xml:space="preserve">quation </w:t>
      </w:r>
      <w:r w:rsidR="009220AD" w:rsidRPr="00F22A05">
        <w:t>4.2-4</w:t>
      </w:r>
      <w:r w:rsidR="007650BA" w:rsidRPr="00F22A05">
        <w:t>2</w:t>
      </w:r>
      <w:r w:rsidR="0072122B" w:rsidRPr="00F22A05">
        <w:t>.</w:t>
      </w:r>
      <w:r w:rsidR="0025098F" w:rsidRPr="00F22A05">
        <w:t xml:space="preserve"> </w:t>
      </w:r>
    </w:p>
    <w:p w14:paraId="14CA1584" w14:textId="77777777" w:rsidR="0025098F" w:rsidRPr="00F22A05" w:rsidRDefault="008F1DC1" w:rsidP="0025098F">
      <w:pPr>
        <w:pStyle w:val="equals"/>
        <w:tabs>
          <w:tab w:val="clear" w:pos="3060"/>
          <w:tab w:val="left" w:pos="4500"/>
        </w:tabs>
        <w:ind w:left="4680" w:hanging="1404"/>
      </w:pPr>
      <w:proofErr w:type="spellStart"/>
      <w:r w:rsidRPr="00F22A05">
        <w:t>WH</w:t>
      </w:r>
      <w:r w:rsidRPr="00F22A05">
        <w:rPr>
          <w:vertAlign w:val="subscript"/>
        </w:rPr>
        <w:t>in</w:t>
      </w:r>
      <w:r w:rsidRPr="00F22A05">
        <w:t>T</w:t>
      </w:r>
      <w:proofErr w:type="spellEnd"/>
      <w:r w:rsidR="00DF63F1" w:rsidRPr="00F22A05">
        <w:tab/>
      </w:r>
      <w:r w:rsidRPr="00F22A05">
        <w:t xml:space="preserve">= </w:t>
      </w:r>
      <w:proofErr w:type="spellStart"/>
      <w:r w:rsidRPr="00F22A05">
        <w:t>T</w:t>
      </w:r>
      <w:r w:rsidRPr="00F22A05">
        <w:rPr>
          <w:vertAlign w:val="subscript"/>
        </w:rPr>
        <w:t>mains</w:t>
      </w:r>
      <w:proofErr w:type="spellEnd"/>
      <w:r w:rsidRPr="00F22A05">
        <w:t xml:space="preserve"> for all other hot water systems</w:t>
      </w:r>
      <w:r w:rsidR="0072122B" w:rsidRPr="00F22A05">
        <w:t>.</w:t>
      </w:r>
    </w:p>
    <w:p w14:paraId="076F80CC" w14:textId="2F7D008F" w:rsidR="008F1DC1" w:rsidRPr="00F22A05" w:rsidRDefault="008F1DC1" w:rsidP="0025098F">
      <w:pPr>
        <w:pStyle w:val="equals"/>
        <w:tabs>
          <w:tab w:val="clear" w:pos="3060"/>
          <w:tab w:val="left" w:pos="4500"/>
        </w:tabs>
        <w:ind w:left="4680" w:hanging="1404"/>
      </w:pPr>
      <w:proofErr w:type="spellStart"/>
      <w:r w:rsidRPr="00F22A05">
        <w:t>T</w:t>
      </w:r>
      <w:r w:rsidRPr="00F22A05">
        <w:rPr>
          <w:vertAlign w:val="subscript"/>
        </w:rPr>
        <w:t>mains</w:t>
      </w:r>
      <w:proofErr w:type="spellEnd"/>
      <w:r w:rsidR="00DF63F1" w:rsidRPr="00F22A05">
        <w:rPr>
          <w:vertAlign w:val="subscript"/>
        </w:rPr>
        <w:tab/>
      </w:r>
      <w:r w:rsidRPr="00F22A05">
        <w:t>= temperature of potable water supply entering the residence</w:t>
      </w:r>
      <w:r w:rsidR="00DF63F1" w:rsidRPr="00F22A05">
        <w:t xml:space="preserve"> </w:t>
      </w:r>
      <w:r w:rsidRPr="00F22A05">
        <w:t xml:space="preserve">calculated in accordance with Section </w:t>
      </w:r>
      <w:r w:rsidR="00A63D0D" w:rsidRPr="00F22A05">
        <w:t>4.2.2.7.1</w:t>
      </w:r>
      <w:r w:rsidR="00F85735" w:rsidRPr="00F22A05">
        <w:t>.4</w:t>
      </w:r>
      <w:r w:rsidR="0072122B" w:rsidRPr="00F22A05">
        <w:t>.</w:t>
      </w:r>
    </w:p>
    <w:p w14:paraId="0F91ECBE" w14:textId="224A4BB3" w:rsidR="008F1DC1" w:rsidRPr="00F22A05" w:rsidRDefault="008F1DC1" w:rsidP="0025098F">
      <w:pPr>
        <w:pStyle w:val="equals"/>
        <w:tabs>
          <w:tab w:val="clear" w:pos="3060"/>
          <w:tab w:val="left" w:pos="4500"/>
        </w:tabs>
        <w:ind w:left="4680" w:hanging="1404"/>
      </w:pPr>
      <w:proofErr w:type="spellStart"/>
      <w:r w:rsidRPr="00F22A05">
        <w:rPr>
          <w:strike/>
        </w:rPr>
        <w:t>refFgpd</w:t>
      </w:r>
      <w:r w:rsidR="0037548B" w:rsidRPr="00F22A05">
        <w:rPr>
          <w:u w:val="single"/>
        </w:rPr>
        <w:t>refFgph</w:t>
      </w:r>
      <w:proofErr w:type="spellEnd"/>
      <w:r w:rsidR="00D76B2F" w:rsidRPr="00F22A05">
        <w:tab/>
      </w:r>
      <w:r w:rsidRPr="00F22A05">
        <w:t xml:space="preserve">= reference climate-normalized </w:t>
      </w:r>
      <w:r w:rsidRPr="00F22A05">
        <w:rPr>
          <w:strike/>
        </w:rPr>
        <w:t xml:space="preserve">daily </w:t>
      </w:r>
      <w:r w:rsidR="0037548B" w:rsidRPr="00F22A05">
        <w:rPr>
          <w:u w:val="single"/>
        </w:rPr>
        <w:t xml:space="preserve">hourly </w:t>
      </w:r>
      <w:r w:rsidRPr="00F22A05">
        <w:t xml:space="preserve">fixture water use calculated in accordance with Section </w:t>
      </w:r>
      <w:r w:rsidR="00F85735" w:rsidRPr="00F22A05">
        <w:t>4.2.2.7.1.4</w:t>
      </w:r>
      <w:r w:rsidR="0072122B" w:rsidRPr="00F22A05">
        <w:t>.</w:t>
      </w:r>
    </w:p>
    <w:p w14:paraId="1D88390A" w14:textId="1B03036A" w:rsidR="00927F10" w:rsidRPr="00F22A05" w:rsidRDefault="00D76B2F" w:rsidP="00927F10">
      <w:pPr>
        <w:tabs>
          <w:tab w:val="left" w:pos="748"/>
          <w:tab w:val="left" w:pos="2700"/>
          <w:tab w:val="left" w:pos="3060"/>
        </w:tabs>
        <w:ind w:left="1530" w:hanging="396"/>
        <w:rPr>
          <w:b/>
        </w:rPr>
      </w:pPr>
      <w:r w:rsidRPr="00F22A05">
        <w:rPr>
          <w:b/>
        </w:rPr>
        <w:tab/>
      </w:r>
    </w:p>
    <w:p w14:paraId="6C33F5C2" w14:textId="012345DE" w:rsidR="008F1DC1" w:rsidRPr="00F22A05" w:rsidRDefault="008F1DC1" w:rsidP="0094335D">
      <w:pPr>
        <w:tabs>
          <w:tab w:val="left" w:pos="7362"/>
          <w:tab w:val="right" w:pos="9360"/>
        </w:tabs>
        <w:ind w:left="1620"/>
        <w:rPr>
          <w:b/>
        </w:rPr>
      </w:pPr>
      <w:proofErr w:type="spellStart"/>
      <w:r w:rsidRPr="00172266">
        <w:rPr>
          <w:bCs/>
          <w:strike/>
        </w:rPr>
        <w:t>oWgpd</w:t>
      </w:r>
      <w:proofErr w:type="spellEnd"/>
      <w:r w:rsidR="00731228" w:rsidRPr="00172266">
        <w:rPr>
          <w:bCs/>
          <w:strike/>
        </w:rPr>
        <w:t xml:space="preserve"> </w:t>
      </w:r>
      <w:proofErr w:type="spellStart"/>
      <w:r w:rsidR="0037548B" w:rsidRPr="00172266">
        <w:rPr>
          <w:bCs/>
          <w:u w:val="single"/>
        </w:rPr>
        <w:t>oWgph</w:t>
      </w:r>
      <w:proofErr w:type="spellEnd"/>
      <w:r w:rsidR="0037548B" w:rsidRPr="00172266">
        <w:rPr>
          <w:bCs/>
          <w:u w:val="single"/>
        </w:rPr>
        <w:t xml:space="preserve"> </w:t>
      </w:r>
      <w:r w:rsidRPr="00172266">
        <w:rPr>
          <w:bCs/>
        </w:rPr>
        <w:t xml:space="preserve">= </w:t>
      </w:r>
      <w:proofErr w:type="spellStart"/>
      <w:r w:rsidRPr="00172266">
        <w:rPr>
          <w:bCs/>
          <w:strike/>
        </w:rPr>
        <w:t>refWgpd</w:t>
      </w:r>
      <w:proofErr w:type="spellEnd"/>
      <w:r w:rsidRPr="00172266">
        <w:rPr>
          <w:bCs/>
          <w:strike/>
        </w:rPr>
        <w:t xml:space="preserve"> </w:t>
      </w:r>
      <w:proofErr w:type="spellStart"/>
      <w:r w:rsidR="0037548B" w:rsidRPr="00172266">
        <w:rPr>
          <w:bCs/>
          <w:u w:val="single"/>
        </w:rPr>
        <w:t>refWgph</w:t>
      </w:r>
      <w:proofErr w:type="spellEnd"/>
      <w:r w:rsidR="0037548B" w:rsidRPr="00172266">
        <w:rPr>
          <w:bCs/>
          <w:u w:val="single"/>
        </w:rPr>
        <w:t xml:space="preserve"> </w:t>
      </w:r>
      <w:r w:rsidRPr="00172266">
        <w:rPr>
          <w:bCs/>
        </w:rPr>
        <w:t xml:space="preserve">* </w:t>
      </w:r>
      <w:proofErr w:type="spellStart"/>
      <w:r w:rsidRPr="00172266">
        <w:rPr>
          <w:bCs/>
        </w:rPr>
        <w:t>oFrac</w:t>
      </w:r>
      <w:proofErr w:type="spellEnd"/>
      <w:r w:rsidRPr="00172266">
        <w:rPr>
          <w:bCs/>
        </w:rPr>
        <w:t xml:space="preserve"> * (1-oCD</w:t>
      </w:r>
      <w:r w:rsidRPr="00172266">
        <w:rPr>
          <w:bCs/>
          <w:vertAlign w:val="subscript"/>
        </w:rPr>
        <w:t>eff</w:t>
      </w:r>
      <w:r w:rsidR="0025098F" w:rsidRPr="00172266">
        <w:rPr>
          <w:bCs/>
        </w:rPr>
        <w:t>)</w:t>
      </w:r>
      <w:r w:rsidR="0025098F" w:rsidRPr="00F22A05">
        <w:rPr>
          <w:b/>
        </w:rPr>
        <w:t xml:space="preserve"> </w:t>
      </w:r>
      <w:r w:rsidR="0094335D">
        <w:rPr>
          <w:b/>
        </w:rPr>
        <w:tab/>
      </w:r>
      <w:r w:rsidRPr="00F22A05">
        <w:rPr>
          <w:b/>
        </w:rPr>
        <w:t>(</w:t>
      </w:r>
      <w:r w:rsidR="00A25E21" w:rsidRPr="00F22A05">
        <w:rPr>
          <w:b/>
        </w:rPr>
        <w:t>Equation</w:t>
      </w:r>
      <w:r w:rsidRPr="00F22A05">
        <w:rPr>
          <w:b/>
        </w:rPr>
        <w:t xml:space="preserve"> 4.2-</w:t>
      </w:r>
      <w:proofErr w:type="gramStart"/>
      <w:r w:rsidR="007650BA" w:rsidRPr="00F22A05">
        <w:rPr>
          <w:b/>
        </w:rPr>
        <w:t>40</w:t>
      </w:r>
      <w:r w:rsidRPr="00F22A05">
        <w:rPr>
          <w:b/>
        </w:rPr>
        <w:t>)</w:t>
      </w:r>
      <w:r w:rsidR="007B3AFD" w:rsidRPr="00DC54A7">
        <w:rPr>
          <w:b/>
          <w:color w:val="0070C0"/>
          <w:vertAlign w:val="superscript"/>
        </w:rPr>
        <w:t>(</w:t>
      </w:r>
      <w:proofErr w:type="gramEnd"/>
      <w:r w:rsidR="007B3AFD" w:rsidRPr="00DC54A7">
        <w:rPr>
          <w:b/>
          <w:color w:val="0070C0"/>
          <w:vertAlign w:val="superscript"/>
        </w:rPr>
        <w:t>1)</w:t>
      </w:r>
    </w:p>
    <w:p w14:paraId="20681149" w14:textId="656E28FB" w:rsidR="008F1DC1" w:rsidRPr="00F22A05" w:rsidRDefault="008F1DC1" w:rsidP="0025098F">
      <w:pPr>
        <w:pStyle w:val="where1"/>
        <w:ind w:left="3240"/>
      </w:pPr>
      <w:r w:rsidRPr="00F22A05">
        <w:t>where</w:t>
      </w:r>
      <w:r w:rsidR="00DF63F1" w:rsidRPr="00F22A05">
        <w:t>:</w:t>
      </w:r>
    </w:p>
    <w:p w14:paraId="388297A1" w14:textId="6F7593A3" w:rsidR="00927F10" w:rsidRPr="00F22A05" w:rsidRDefault="008F1DC1" w:rsidP="0025098F">
      <w:pPr>
        <w:pStyle w:val="equals"/>
        <w:tabs>
          <w:tab w:val="clear" w:pos="3060"/>
          <w:tab w:val="left" w:pos="4500"/>
        </w:tabs>
        <w:ind w:left="4680" w:hanging="1404"/>
      </w:pPr>
      <w:proofErr w:type="spellStart"/>
      <w:r w:rsidRPr="00F22A05">
        <w:rPr>
          <w:strike/>
        </w:rPr>
        <w:t>oWgpd</w:t>
      </w:r>
      <w:r w:rsidR="0037548B" w:rsidRPr="00F22A05">
        <w:rPr>
          <w:u w:val="single"/>
        </w:rPr>
        <w:t>oWgph</w:t>
      </w:r>
      <w:proofErr w:type="spellEnd"/>
      <w:r w:rsidR="00927F10" w:rsidRPr="00F22A05">
        <w:tab/>
      </w:r>
      <w:r w:rsidRPr="00F22A05">
        <w:t xml:space="preserve">= </w:t>
      </w:r>
      <w:r w:rsidRPr="00F22A05">
        <w:rPr>
          <w:strike/>
        </w:rPr>
        <w:t xml:space="preserve">daily </w:t>
      </w:r>
      <w:r w:rsidR="0037548B" w:rsidRPr="00F22A05">
        <w:rPr>
          <w:u w:val="single"/>
        </w:rPr>
        <w:t xml:space="preserve">hourly </w:t>
      </w:r>
      <w:r w:rsidRPr="00F22A05">
        <w:t>standard operating condition waste hot water</w:t>
      </w:r>
      <w:r w:rsidR="0025098F" w:rsidRPr="00F22A05">
        <w:t xml:space="preserve"> </w:t>
      </w:r>
      <w:r w:rsidRPr="00F22A05">
        <w:t>quantity</w:t>
      </w:r>
      <w:r w:rsidR="0072122B" w:rsidRPr="00F22A05">
        <w:t>.</w:t>
      </w:r>
    </w:p>
    <w:p w14:paraId="6A1B19DC" w14:textId="6C242539" w:rsidR="008F1DC1" w:rsidRPr="00F22A05" w:rsidRDefault="008F1DC1" w:rsidP="0025098F">
      <w:pPr>
        <w:pStyle w:val="equals"/>
        <w:tabs>
          <w:tab w:val="clear" w:pos="3060"/>
          <w:tab w:val="left" w:pos="4500"/>
        </w:tabs>
        <w:ind w:left="4680" w:hanging="1404"/>
      </w:pPr>
      <w:proofErr w:type="spellStart"/>
      <w:r w:rsidRPr="00F22A05">
        <w:t>oFrac</w:t>
      </w:r>
      <w:proofErr w:type="spellEnd"/>
      <w:r w:rsidR="00927F10" w:rsidRPr="00F22A05">
        <w:tab/>
      </w:r>
      <w:r w:rsidRPr="00F22A05">
        <w:t xml:space="preserve">= 0.25 </w:t>
      </w:r>
    </w:p>
    <w:p w14:paraId="4128C626" w14:textId="677DB0F1" w:rsidR="008F1DC1" w:rsidRPr="00F22A05" w:rsidRDefault="00927F10" w:rsidP="0025098F">
      <w:pPr>
        <w:pStyle w:val="equals"/>
        <w:tabs>
          <w:tab w:val="clear" w:pos="3060"/>
          <w:tab w:val="left" w:pos="4500"/>
        </w:tabs>
        <w:ind w:left="4680" w:hanging="1404"/>
      </w:pPr>
      <w:r w:rsidRPr="00F22A05">
        <w:tab/>
      </w:r>
      <w:r w:rsidR="008F1DC1" w:rsidRPr="00F22A05">
        <w:t>= fraction of hot water waste from standard operating conditions</w:t>
      </w:r>
      <w:r w:rsidR="0072122B" w:rsidRPr="00F22A05">
        <w:t>.</w:t>
      </w:r>
    </w:p>
    <w:p w14:paraId="2D2E9234" w14:textId="448091CE" w:rsidR="008F1DC1" w:rsidRPr="00F22A05" w:rsidRDefault="008F1DC1" w:rsidP="0025098F">
      <w:pPr>
        <w:pStyle w:val="equals"/>
        <w:tabs>
          <w:tab w:val="clear" w:pos="3060"/>
          <w:tab w:val="left" w:pos="4500"/>
        </w:tabs>
        <w:ind w:left="4680" w:hanging="1404"/>
      </w:pPr>
      <w:proofErr w:type="spellStart"/>
      <w:r w:rsidRPr="00F22A05">
        <w:t>oCDeff</w:t>
      </w:r>
      <w:proofErr w:type="spellEnd"/>
      <w:r w:rsidR="00D76B2F" w:rsidRPr="00F22A05">
        <w:tab/>
      </w:r>
      <w:r w:rsidRPr="00F22A05">
        <w:t>= Approved Hot Water Operati</w:t>
      </w:r>
      <w:r w:rsidR="00000897" w:rsidRPr="00F22A05">
        <w:t>onal</w:t>
      </w:r>
      <w:r w:rsidRPr="00F22A05">
        <w:t xml:space="preserve"> Control Device effectiveness (default = 0.0)</w:t>
      </w:r>
    </w:p>
    <w:p w14:paraId="13665C50" w14:textId="77777777" w:rsidR="0025098F" w:rsidRPr="00F22A05" w:rsidRDefault="0025098F" w:rsidP="0025098F">
      <w:pPr>
        <w:pStyle w:val="equals"/>
        <w:tabs>
          <w:tab w:val="clear" w:pos="3060"/>
          <w:tab w:val="left" w:pos="4500"/>
        </w:tabs>
        <w:ind w:left="4680" w:hanging="1404"/>
      </w:pPr>
    </w:p>
    <w:p w14:paraId="490AE83F" w14:textId="36148F5C" w:rsidR="008F1DC1" w:rsidRPr="00F22A05" w:rsidRDefault="00731228" w:rsidP="0025098F">
      <w:pPr>
        <w:tabs>
          <w:tab w:val="right" w:pos="9360"/>
        </w:tabs>
        <w:ind w:left="2610"/>
        <w:rPr>
          <w:b/>
        </w:rPr>
      </w:pPr>
      <w:proofErr w:type="spellStart"/>
      <w:r w:rsidRPr="00172266">
        <w:rPr>
          <w:bCs/>
          <w:strike/>
        </w:rPr>
        <w:t>sWgpd</w:t>
      </w:r>
      <w:proofErr w:type="spellEnd"/>
      <w:r w:rsidRPr="00172266">
        <w:rPr>
          <w:bCs/>
          <w:strike/>
        </w:rPr>
        <w:t xml:space="preserve"> </w:t>
      </w:r>
      <w:proofErr w:type="spellStart"/>
      <w:r w:rsidR="0037548B" w:rsidRPr="00172266">
        <w:rPr>
          <w:bCs/>
          <w:u w:val="single"/>
        </w:rPr>
        <w:t>sWgph</w:t>
      </w:r>
      <w:proofErr w:type="spellEnd"/>
      <w:r w:rsidR="0037548B" w:rsidRPr="00172266">
        <w:rPr>
          <w:bCs/>
          <w:u w:val="single"/>
        </w:rPr>
        <w:t xml:space="preserve"> </w:t>
      </w:r>
      <w:r w:rsidR="008F1DC1" w:rsidRPr="00172266">
        <w:rPr>
          <w:bCs/>
        </w:rPr>
        <w:t>= (</w:t>
      </w:r>
      <w:proofErr w:type="spellStart"/>
      <w:r w:rsidR="008F1DC1" w:rsidRPr="00172266">
        <w:rPr>
          <w:bCs/>
          <w:strike/>
        </w:rPr>
        <w:t>refWg</w:t>
      </w:r>
      <w:r w:rsidR="00C267AF" w:rsidRPr="00172266">
        <w:rPr>
          <w:bCs/>
          <w:strike/>
        </w:rPr>
        <w:t>pd</w:t>
      </w:r>
      <w:proofErr w:type="spellEnd"/>
      <w:r w:rsidR="00C267AF" w:rsidRPr="00172266">
        <w:rPr>
          <w:bCs/>
          <w:strike/>
        </w:rPr>
        <w:t xml:space="preserve"> </w:t>
      </w:r>
      <w:proofErr w:type="spellStart"/>
      <w:r w:rsidR="0037548B" w:rsidRPr="00172266">
        <w:rPr>
          <w:bCs/>
          <w:u w:val="single"/>
        </w:rPr>
        <w:t>refWgph</w:t>
      </w:r>
      <w:proofErr w:type="spellEnd"/>
      <w:r w:rsidR="0037548B" w:rsidRPr="00172266">
        <w:rPr>
          <w:bCs/>
          <w:u w:val="single"/>
        </w:rPr>
        <w:t xml:space="preserve"> </w:t>
      </w:r>
      <w:r w:rsidR="00C267AF" w:rsidRPr="00172266">
        <w:rPr>
          <w:bCs/>
        </w:rPr>
        <w:t xml:space="preserve">– </w:t>
      </w:r>
      <w:proofErr w:type="spellStart"/>
      <w:r w:rsidR="00C267AF" w:rsidRPr="00172266">
        <w:rPr>
          <w:bCs/>
          <w:strike/>
        </w:rPr>
        <w:t>refWgpd</w:t>
      </w:r>
      <w:proofErr w:type="spellEnd"/>
      <w:r w:rsidR="00C267AF" w:rsidRPr="00172266">
        <w:rPr>
          <w:bCs/>
          <w:strike/>
        </w:rPr>
        <w:t xml:space="preserve"> </w:t>
      </w:r>
      <w:proofErr w:type="spellStart"/>
      <w:r w:rsidR="0037548B" w:rsidRPr="00172266">
        <w:rPr>
          <w:bCs/>
          <w:u w:val="single"/>
        </w:rPr>
        <w:t>refWgph</w:t>
      </w:r>
      <w:proofErr w:type="spellEnd"/>
      <w:r w:rsidR="0037548B" w:rsidRPr="00172266">
        <w:rPr>
          <w:bCs/>
          <w:u w:val="single"/>
        </w:rPr>
        <w:t xml:space="preserve"> </w:t>
      </w:r>
      <w:r w:rsidR="00C267AF" w:rsidRPr="00172266">
        <w:rPr>
          <w:bCs/>
        </w:rPr>
        <w:t xml:space="preserve">* </w:t>
      </w:r>
      <w:proofErr w:type="spellStart"/>
      <w:r w:rsidR="00C267AF" w:rsidRPr="00172266">
        <w:rPr>
          <w:bCs/>
        </w:rPr>
        <w:t>oFrac</w:t>
      </w:r>
      <w:proofErr w:type="spellEnd"/>
      <w:r w:rsidR="00C267AF" w:rsidRPr="00172266">
        <w:rPr>
          <w:bCs/>
        </w:rPr>
        <w:t xml:space="preserve">) * </w:t>
      </w:r>
      <w:proofErr w:type="spellStart"/>
      <w:r w:rsidR="00C267AF" w:rsidRPr="00172266">
        <w:rPr>
          <w:bCs/>
        </w:rPr>
        <w:t>pRatio</w:t>
      </w:r>
      <w:proofErr w:type="spellEnd"/>
      <w:r w:rsidR="00C267AF" w:rsidRPr="00172266">
        <w:rPr>
          <w:bCs/>
        </w:rPr>
        <w:t xml:space="preserve"> </w:t>
      </w:r>
      <w:r w:rsidR="008F1DC1" w:rsidRPr="00172266">
        <w:rPr>
          <w:bCs/>
        </w:rPr>
        <w:t xml:space="preserve">* </w:t>
      </w:r>
      <w:proofErr w:type="spellStart"/>
      <w:r w:rsidR="008F1DC1" w:rsidRPr="00172266">
        <w:rPr>
          <w:bCs/>
        </w:rPr>
        <w:t>sysFactor</w:t>
      </w:r>
      <w:proofErr w:type="spellEnd"/>
      <w:r w:rsidR="0025098F" w:rsidRPr="00F22A05">
        <w:rPr>
          <w:b/>
        </w:rPr>
        <w:t xml:space="preserve"> </w:t>
      </w:r>
      <w:r w:rsidRPr="00F22A05">
        <w:rPr>
          <w:b/>
        </w:rPr>
        <w:tab/>
      </w:r>
      <w:r w:rsidR="008F1DC1" w:rsidRPr="00F22A05">
        <w:rPr>
          <w:b/>
        </w:rPr>
        <w:t>(</w:t>
      </w:r>
      <w:r w:rsidR="00A25E21" w:rsidRPr="00F22A05">
        <w:rPr>
          <w:b/>
        </w:rPr>
        <w:t>Equation</w:t>
      </w:r>
      <w:r w:rsidR="008F1DC1" w:rsidRPr="00F22A05">
        <w:rPr>
          <w:b/>
        </w:rPr>
        <w:t xml:space="preserve"> 4.2-</w:t>
      </w:r>
      <w:r w:rsidR="00E71E24" w:rsidRPr="00F22A05">
        <w:rPr>
          <w:b/>
        </w:rPr>
        <w:t>4</w:t>
      </w:r>
      <w:r w:rsidR="007650BA" w:rsidRPr="00F22A05">
        <w:rPr>
          <w:b/>
        </w:rPr>
        <w:t>1</w:t>
      </w:r>
      <w:r w:rsidR="008F1DC1" w:rsidRPr="00F22A05">
        <w:rPr>
          <w:b/>
        </w:rPr>
        <w:t>)</w:t>
      </w:r>
      <w:r w:rsidR="00A12F37" w:rsidRPr="00F22A05">
        <w:rPr>
          <w:b/>
          <w:vertAlign w:val="superscript"/>
        </w:rPr>
        <w:t xml:space="preserve"> </w:t>
      </w:r>
      <w:r w:rsidR="007B3AFD" w:rsidRPr="00DC54A7">
        <w:rPr>
          <w:b/>
          <w:color w:val="0070C0"/>
          <w:vertAlign w:val="superscript"/>
        </w:rPr>
        <w:t>(1)</w:t>
      </w:r>
    </w:p>
    <w:p w14:paraId="427C9739" w14:textId="1053DA68" w:rsidR="008F1DC1" w:rsidRPr="00F22A05" w:rsidRDefault="008F1DC1" w:rsidP="0025098F">
      <w:pPr>
        <w:pStyle w:val="where1"/>
        <w:ind w:left="3240"/>
      </w:pPr>
      <w:r w:rsidRPr="00F22A05">
        <w:t>where</w:t>
      </w:r>
      <w:r w:rsidR="0072122B" w:rsidRPr="00F22A05">
        <w:t>:</w:t>
      </w:r>
    </w:p>
    <w:p w14:paraId="40C2337C" w14:textId="752D08D4" w:rsidR="008F1DC1" w:rsidRPr="00F22A05" w:rsidRDefault="008F1DC1" w:rsidP="0025098F">
      <w:pPr>
        <w:pStyle w:val="equals"/>
        <w:tabs>
          <w:tab w:val="clear" w:pos="3060"/>
          <w:tab w:val="left" w:pos="4500"/>
        </w:tabs>
        <w:ind w:left="4680" w:hanging="1404"/>
      </w:pPr>
      <w:proofErr w:type="spellStart"/>
      <w:r w:rsidRPr="00F22A05">
        <w:rPr>
          <w:strike/>
        </w:rPr>
        <w:t>sWgpd</w:t>
      </w:r>
      <w:r w:rsidR="0037548B" w:rsidRPr="00F22A05">
        <w:rPr>
          <w:u w:val="single"/>
        </w:rPr>
        <w:t>sWgph</w:t>
      </w:r>
      <w:proofErr w:type="spellEnd"/>
      <w:r w:rsidR="00AB7536" w:rsidRPr="00F22A05">
        <w:tab/>
      </w:r>
      <w:r w:rsidRPr="00F22A05">
        <w:t xml:space="preserve">= </w:t>
      </w:r>
      <w:r w:rsidRPr="00F22A05">
        <w:rPr>
          <w:strike/>
        </w:rPr>
        <w:t xml:space="preserve">daily </w:t>
      </w:r>
      <w:r w:rsidR="004215FE" w:rsidRPr="00F22A05">
        <w:rPr>
          <w:u w:val="single"/>
        </w:rPr>
        <w:t xml:space="preserve">hourly </w:t>
      </w:r>
      <w:r w:rsidRPr="00F22A05">
        <w:t>structural waste hot water quantity</w:t>
      </w:r>
      <w:r w:rsidR="0072122B" w:rsidRPr="00F22A05">
        <w:t>.</w:t>
      </w:r>
    </w:p>
    <w:p w14:paraId="626E3566" w14:textId="09A9BAD9" w:rsidR="008F1DC1" w:rsidRPr="00F22A05" w:rsidRDefault="00402A7A" w:rsidP="0025098F">
      <w:pPr>
        <w:pStyle w:val="equals"/>
        <w:tabs>
          <w:tab w:val="clear" w:pos="3060"/>
          <w:tab w:val="left" w:pos="4500"/>
        </w:tabs>
        <w:ind w:left="4680" w:hanging="1404"/>
      </w:pPr>
      <w:proofErr w:type="spellStart"/>
      <w:r w:rsidRPr="00F22A05">
        <w:rPr>
          <w:strike/>
        </w:rPr>
        <w:t>refWgpd</w:t>
      </w:r>
      <w:r w:rsidR="0037548B" w:rsidRPr="00F22A05">
        <w:rPr>
          <w:u w:val="single"/>
        </w:rPr>
        <w:t>refWgph</w:t>
      </w:r>
      <w:proofErr w:type="spellEnd"/>
      <w:r w:rsidRPr="00F22A05">
        <w:tab/>
      </w:r>
      <w:r w:rsidR="008F1DC1" w:rsidRPr="00F22A05">
        <w:t>= reference climate-normal</w:t>
      </w:r>
      <w:r w:rsidRPr="00F22A05">
        <w:t xml:space="preserve">ized distribution system </w:t>
      </w:r>
      <w:proofErr w:type="gramStart"/>
      <w:r w:rsidRPr="00F22A05">
        <w:t xml:space="preserve">waste </w:t>
      </w:r>
      <w:r w:rsidR="00927F10" w:rsidRPr="00F22A05">
        <w:t>water</w:t>
      </w:r>
      <w:proofErr w:type="gramEnd"/>
      <w:r w:rsidR="00927F10" w:rsidRPr="00F22A05">
        <w:t xml:space="preserve"> </w:t>
      </w:r>
      <w:r w:rsidR="008F1DC1" w:rsidRPr="00F22A05">
        <w:t xml:space="preserve">use calculated in accordance with Section </w:t>
      </w:r>
      <w:r w:rsidR="00F85735" w:rsidRPr="00F22A05">
        <w:t>4.2.2.7.1.4</w:t>
      </w:r>
      <w:r w:rsidR="0072122B" w:rsidRPr="00F22A05">
        <w:t>.</w:t>
      </w:r>
    </w:p>
    <w:p w14:paraId="390368B1" w14:textId="1E083FD1" w:rsidR="008F1DC1" w:rsidRPr="00F22A05" w:rsidRDefault="008F1DC1" w:rsidP="0025098F">
      <w:pPr>
        <w:pStyle w:val="equals"/>
        <w:tabs>
          <w:tab w:val="clear" w:pos="3060"/>
          <w:tab w:val="left" w:pos="4500"/>
        </w:tabs>
        <w:ind w:left="4680" w:hanging="1404"/>
      </w:pPr>
      <w:proofErr w:type="spellStart"/>
      <w:r w:rsidRPr="00F22A05">
        <w:lastRenderedPageBreak/>
        <w:t>oFrac</w:t>
      </w:r>
      <w:proofErr w:type="spellEnd"/>
      <w:r w:rsidR="00AB7536" w:rsidRPr="00F22A05">
        <w:tab/>
      </w:r>
      <w:r w:rsidRPr="00F22A05">
        <w:t xml:space="preserve">= 0.25 </w:t>
      </w:r>
    </w:p>
    <w:p w14:paraId="52D41196" w14:textId="09910589" w:rsidR="008F1DC1" w:rsidRPr="00F22A05" w:rsidRDefault="008F1DC1" w:rsidP="0025098F">
      <w:pPr>
        <w:pStyle w:val="equals"/>
        <w:tabs>
          <w:tab w:val="clear" w:pos="3060"/>
          <w:tab w:val="left" w:pos="4500"/>
        </w:tabs>
        <w:ind w:left="4680" w:hanging="1404"/>
      </w:pPr>
      <w:r w:rsidRPr="00F22A05">
        <w:tab/>
        <w:t>= fraction of hot water waste from standard operating</w:t>
      </w:r>
      <w:r w:rsidR="00927F10" w:rsidRPr="00F22A05">
        <w:t xml:space="preserve"> </w:t>
      </w:r>
      <w:r w:rsidRPr="00F22A05">
        <w:t>conditions</w:t>
      </w:r>
      <w:r w:rsidR="0072122B" w:rsidRPr="00F22A05">
        <w:t>.</w:t>
      </w:r>
    </w:p>
    <w:p w14:paraId="2CB385AE" w14:textId="0BA7DB7F" w:rsidR="008F1DC1" w:rsidRPr="00F22A05" w:rsidRDefault="008F1DC1" w:rsidP="0025098F">
      <w:pPr>
        <w:pStyle w:val="equals"/>
        <w:tabs>
          <w:tab w:val="clear" w:pos="3060"/>
          <w:tab w:val="left" w:pos="4500"/>
        </w:tabs>
        <w:ind w:left="4680" w:hanging="1404"/>
      </w:pPr>
      <w:proofErr w:type="spellStart"/>
      <w:r w:rsidRPr="00F22A05">
        <w:t>pRatio</w:t>
      </w:r>
      <w:proofErr w:type="spellEnd"/>
      <w:r w:rsidR="00AB7536" w:rsidRPr="00F22A05">
        <w:tab/>
      </w:r>
      <w:r w:rsidRPr="00F22A05">
        <w:t>= hot water piping ratio</w:t>
      </w:r>
      <w:r w:rsidR="0072122B" w:rsidRPr="00F22A05">
        <w:t>.</w:t>
      </w:r>
    </w:p>
    <w:p w14:paraId="7E1C240C" w14:textId="7A1F8BBD" w:rsidR="008F1DC1" w:rsidRPr="00F22A05" w:rsidRDefault="008F1DC1" w:rsidP="0025098F">
      <w:pPr>
        <w:pStyle w:val="where1"/>
        <w:ind w:left="3240"/>
      </w:pPr>
      <w:r w:rsidRPr="00F22A05">
        <w:t>where</w:t>
      </w:r>
      <w:r w:rsidR="0072122B" w:rsidRPr="00F22A05">
        <w:t>:</w:t>
      </w:r>
    </w:p>
    <w:p w14:paraId="189FD746" w14:textId="1F4A9E92" w:rsidR="008F1DC1" w:rsidRPr="00F22A05" w:rsidRDefault="008F1DC1" w:rsidP="0025098F">
      <w:pPr>
        <w:pStyle w:val="where1"/>
        <w:ind w:left="3240"/>
      </w:pPr>
      <w:r w:rsidRPr="00F22A05">
        <w:t xml:space="preserve">for </w:t>
      </w:r>
      <w:r w:rsidR="00B77922" w:rsidRPr="00F22A05">
        <w:t>s</w:t>
      </w:r>
      <w:r w:rsidRPr="00F22A05">
        <w:t>tandard systems:</w:t>
      </w:r>
    </w:p>
    <w:p w14:paraId="47125618" w14:textId="1B114C36" w:rsidR="008F1DC1" w:rsidRPr="00F22A05" w:rsidRDefault="00402A7A" w:rsidP="0025098F">
      <w:pPr>
        <w:pStyle w:val="equals"/>
        <w:tabs>
          <w:tab w:val="clear" w:pos="3060"/>
          <w:tab w:val="left" w:pos="4500"/>
        </w:tabs>
        <w:ind w:left="4680" w:hanging="1404"/>
      </w:pPr>
      <w:proofErr w:type="spellStart"/>
      <w:r w:rsidRPr="00F22A05">
        <w:t>pRatio</w:t>
      </w:r>
      <w:proofErr w:type="spellEnd"/>
      <w:r w:rsidRPr="00F22A05">
        <w:tab/>
      </w:r>
      <w:r w:rsidR="008F1DC1" w:rsidRPr="00F22A05">
        <w:t xml:space="preserve">= </w:t>
      </w:r>
      <w:proofErr w:type="spellStart"/>
      <w:r w:rsidR="008F1DC1" w:rsidRPr="00F22A05">
        <w:t>PipeL</w:t>
      </w:r>
      <w:proofErr w:type="spellEnd"/>
      <w:r w:rsidR="008F1DC1" w:rsidRPr="00F22A05">
        <w:t xml:space="preserve"> / </w:t>
      </w:r>
      <w:proofErr w:type="spellStart"/>
      <w:r w:rsidR="008F1DC1" w:rsidRPr="00F22A05">
        <w:t>refPipeL</w:t>
      </w:r>
      <w:proofErr w:type="spellEnd"/>
    </w:p>
    <w:p w14:paraId="0312765E" w14:textId="77777777" w:rsidR="00402A7A" w:rsidRPr="00F22A05" w:rsidRDefault="008F1DC1" w:rsidP="0025098F">
      <w:pPr>
        <w:pStyle w:val="where1"/>
        <w:ind w:left="3240"/>
      </w:pPr>
      <w:r w:rsidRPr="00F22A05">
        <w:t>where</w:t>
      </w:r>
      <w:r w:rsidR="0072122B" w:rsidRPr="00F22A05">
        <w:t>:</w:t>
      </w:r>
    </w:p>
    <w:p w14:paraId="64BCAF29" w14:textId="0B190F1B" w:rsidR="008F1DC1" w:rsidRPr="00F22A05" w:rsidRDefault="008F1DC1" w:rsidP="0025098F">
      <w:pPr>
        <w:pStyle w:val="equals"/>
        <w:tabs>
          <w:tab w:val="clear" w:pos="3060"/>
          <w:tab w:val="left" w:pos="4500"/>
        </w:tabs>
        <w:ind w:left="4680" w:hanging="1404"/>
      </w:pPr>
      <w:proofErr w:type="spellStart"/>
      <w:r w:rsidRPr="00F22A05">
        <w:t>PipeL</w:t>
      </w:r>
      <w:proofErr w:type="spellEnd"/>
      <w:r w:rsidR="00402A7A" w:rsidRPr="00F22A05">
        <w:tab/>
      </w:r>
      <w:r w:rsidRPr="00F22A05">
        <w:t>= measured length of hot water piping from the hot water heater</w:t>
      </w:r>
      <w:r w:rsidR="00402A7A" w:rsidRPr="00F22A05">
        <w:t xml:space="preserve"> </w:t>
      </w:r>
      <w:r w:rsidR="005E78CE" w:rsidRPr="00F22A05">
        <w:t>(or from a shared recirculation loop serving multiple</w:t>
      </w:r>
      <w:r w:rsidR="005E78CE" w:rsidRPr="00F22A05">
        <w:rPr>
          <w:rStyle w:val="FootnoteReference"/>
        </w:rPr>
        <w:footnoteReference w:id="18"/>
      </w:r>
      <w:r w:rsidR="005E78CE" w:rsidRPr="00F22A05">
        <w:t xml:space="preserve"> </w:t>
      </w:r>
      <w:r w:rsidR="00021E06" w:rsidRPr="00F22A05">
        <w:t>D</w:t>
      </w:r>
      <w:r w:rsidR="005E78CE" w:rsidRPr="00F22A05">
        <w:t xml:space="preserve">welling </w:t>
      </w:r>
      <w:r w:rsidR="00021E06" w:rsidRPr="00F22A05">
        <w:t>U</w:t>
      </w:r>
      <w:r w:rsidR="005E78CE" w:rsidRPr="00F22A05">
        <w:t>nits)</w:t>
      </w:r>
      <w:r w:rsidRPr="00F22A05">
        <w:t xml:space="preserve"> to the farthest hot water fixture, </w:t>
      </w:r>
      <w:r w:rsidR="00B16DA2" w:rsidRPr="00F22A05">
        <w:t>measured longitudinally</w:t>
      </w:r>
      <w:r w:rsidRPr="00F22A05">
        <w:t xml:space="preserve"> from plans, assuming the hot water</w:t>
      </w:r>
      <w:r w:rsidR="00021E06" w:rsidRPr="00F22A05">
        <w:t xml:space="preserve"> </w:t>
      </w:r>
      <w:r w:rsidRPr="00F22A05">
        <w:t>piping</w:t>
      </w:r>
      <w:r w:rsidR="00976BB8" w:rsidRPr="00F22A05">
        <w:t xml:space="preserve"> </w:t>
      </w:r>
      <w:r w:rsidRPr="00F22A05">
        <w:t>does not run diagonally, plus 10 feet of piping for each</w:t>
      </w:r>
      <w:r w:rsidR="00A44625" w:rsidRPr="00F22A05">
        <w:t xml:space="preserve"> </w:t>
      </w:r>
      <w:r w:rsidR="00D23B32" w:rsidRPr="00F22A05">
        <w:rPr>
          <w:u w:val="single"/>
        </w:rPr>
        <w:t xml:space="preserve">conditioned </w:t>
      </w:r>
      <w:r w:rsidRPr="00F22A05">
        <w:t>floor level</w:t>
      </w:r>
      <w:r w:rsidR="00C818B5" w:rsidRPr="00F22A05">
        <w:rPr>
          <w:rStyle w:val="FootnoteReference"/>
          <w:u w:val="single"/>
        </w:rPr>
        <w:footnoteReference w:id="19"/>
      </w:r>
      <w:r w:rsidR="00D23B32" w:rsidRPr="00F22A05">
        <w:t xml:space="preserve"> </w:t>
      </w:r>
      <w:r w:rsidR="00D23B32" w:rsidRPr="00F22A05">
        <w:rPr>
          <w:u w:val="single"/>
        </w:rPr>
        <w:t>including conditioned basements (if any)</w:t>
      </w:r>
      <w:r w:rsidRPr="00F22A05">
        <w:t>, plus 5 feet of piping for unconditioned</w:t>
      </w:r>
      <w:r w:rsidR="00A44625" w:rsidRPr="00F22A05">
        <w:t xml:space="preserve"> </w:t>
      </w:r>
      <w:r w:rsidRPr="00F22A05">
        <w:t>basements (if any)</w:t>
      </w:r>
      <w:r w:rsidR="0072122B" w:rsidRPr="00F22A05">
        <w:t>.</w:t>
      </w:r>
      <w:r w:rsidR="00C818B5" w:rsidRPr="00F22A05">
        <w:rPr>
          <w:rStyle w:val="FootnoteReference"/>
          <w:u w:val="single"/>
        </w:rPr>
        <w:footnoteReference w:id="20"/>
      </w:r>
    </w:p>
    <w:p w14:paraId="1CB4F26A" w14:textId="2866CED2" w:rsidR="00927F10" w:rsidRPr="00F22A05" w:rsidRDefault="00927F10" w:rsidP="0025098F">
      <w:pPr>
        <w:pStyle w:val="equals"/>
        <w:tabs>
          <w:tab w:val="clear" w:pos="3060"/>
          <w:tab w:val="left" w:pos="4500"/>
        </w:tabs>
        <w:ind w:left="4680" w:hanging="1404"/>
      </w:pPr>
      <w:proofErr w:type="spellStart"/>
      <w:r w:rsidRPr="00F22A05">
        <w:t>refPipeL</w:t>
      </w:r>
      <w:proofErr w:type="spellEnd"/>
      <w:r w:rsidRPr="00F22A05">
        <w:tab/>
      </w:r>
      <w:r w:rsidR="008F1DC1" w:rsidRPr="00F22A05">
        <w:t>= 2*(CFA/</w:t>
      </w:r>
      <w:proofErr w:type="spellStart"/>
      <w:r w:rsidR="008F1DC1" w:rsidRPr="00F22A05">
        <w:t>Nfl</w:t>
      </w:r>
      <w:proofErr w:type="spellEnd"/>
      <w:r w:rsidR="008F1DC1" w:rsidRPr="00F22A05">
        <w:t>)</w:t>
      </w:r>
      <w:r w:rsidR="008F1DC1" w:rsidRPr="00F22A05">
        <w:rPr>
          <w:vertAlign w:val="superscript"/>
        </w:rPr>
        <w:t>0.5</w:t>
      </w:r>
      <w:r w:rsidR="008F1DC1" w:rsidRPr="00F22A05">
        <w:t xml:space="preserve"> + 10*</w:t>
      </w:r>
      <w:proofErr w:type="spellStart"/>
      <w:r w:rsidR="008F1DC1" w:rsidRPr="00F22A05">
        <w:t>Nfl</w:t>
      </w:r>
      <w:proofErr w:type="spellEnd"/>
      <w:r w:rsidR="008F1DC1" w:rsidRPr="00F22A05">
        <w:t xml:space="preserve"> + 5*</w:t>
      </w:r>
      <w:proofErr w:type="spellStart"/>
      <w:r w:rsidR="008F1DC1" w:rsidRPr="00F22A05">
        <w:t>Bsmt</w:t>
      </w:r>
      <w:proofErr w:type="spellEnd"/>
      <w:r w:rsidR="008F1DC1" w:rsidRPr="00F22A05">
        <w:rPr>
          <w:u w:val="single"/>
        </w:rPr>
        <w:t xml:space="preserve"> </w:t>
      </w:r>
    </w:p>
    <w:p w14:paraId="3941094A" w14:textId="4F560928" w:rsidR="008F1DC1" w:rsidRPr="00F22A05" w:rsidRDefault="00927F10" w:rsidP="0025098F">
      <w:pPr>
        <w:pStyle w:val="equals"/>
        <w:tabs>
          <w:tab w:val="clear" w:pos="3060"/>
          <w:tab w:val="left" w:pos="4500"/>
        </w:tabs>
        <w:ind w:left="4680" w:hanging="1404"/>
      </w:pPr>
      <w:r w:rsidRPr="00F22A05">
        <w:tab/>
      </w:r>
      <w:r w:rsidR="008F1DC1" w:rsidRPr="00F22A05">
        <w:t>= hot water piping length for Reference Home</w:t>
      </w:r>
      <w:r w:rsidR="0072122B" w:rsidRPr="00F22A05">
        <w:t>.</w:t>
      </w:r>
    </w:p>
    <w:p w14:paraId="0F0E2611" w14:textId="3BEDFAC6" w:rsidR="008F1DC1" w:rsidRPr="00F22A05" w:rsidRDefault="008F1DC1" w:rsidP="0025098F">
      <w:pPr>
        <w:pStyle w:val="where1"/>
        <w:ind w:left="3240"/>
      </w:pPr>
      <w:r w:rsidRPr="00F22A05">
        <w:t>where</w:t>
      </w:r>
      <w:r w:rsidR="0072122B" w:rsidRPr="00F22A05">
        <w:t>:</w:t>
      </w:r>
    </w:p>
    <w:p w14:paraId="500E8F2E" w14:textId="77777777" w:rsidR="00402A7A" w:rsidRPr="00F22A05" w:rsidRDefault="008F1DC1" w:rsidP="0025098F">
      <w:pPr>
        <w:pStyle w:val="equals"/>
        <w:tabs>
          <w:tab w:val="clear" w:pos="3060"/>
          <w:tab w:val="left" w:pos="4500"/>
        </w:tabs>
        <w:ind w:left="4680" w:hanging="1404"/>
      </w:pPr>
      <w:r w:rsidRPr="00F22A05">
        <w:t>CFA</w:t>
      </w:r>
      <w:r w:rsidR="00AB7536" w:rsidRPr="00F22A05">
        <w:tab/>
      </w:r>
      <w:r w:rsidRPr="00F22A05">
        <w:t xml:space="preserve">= </w:t>
      </w:r>
      <w:r w:rsidR="00021E06" w:rsidRPr="00F22A05">
        <w:t>C</w:t>
      </w:r>
      <w:r w:rsidRPr="00F22A05">
        <w:t xml:space="preserve">onditioned </w:t>
      </w:r>
      <w:r w:rsidR="00021E06" w:rsidRPr="00F22A05">
        <w:t>F</w:t>
      </w:r>
      <w:r w:rsidRPr="00F22A05">
        <w:t xml:space="preserve">loor </w:t>
      </w:r>
      <w:r w:rsidR="00021E06" w:rsidRPr="00F22A05">
        <w:t>A</w:t>
      </w:r>
      <w:r w:rsidRPr="00F22A05">
        <w:t>rea</w:t>
      </w:r>
      <w:r w:rsidR="0072122B" w:rsidRPr="00F22A05">
        <w:t>.</w:t>
      </w:r>
    </w:p>
    <w:p w14:paraId="6C32B281" w14:textId="4C2EE570" w:rsidR="00402A7A" w:rsidRPr="00F22A05" w:rsidRDefault="008F1DC1" w:rsidP="0025098F">
      <w:pPr>
        <w:pStyle w:val="equals"/>
        <w:tabs>
          <w:tab w:val="clear" w:pos="3060"/>
          <w:tab w:val="left" w:pos="4500"/>
        </w:tabs>
        <w:ind w:left="4680" w:hanging="1404"/>
      </w:pPr>
      <w:proofErr w:type="spellStart"/>
      <w:r w:rsidRPr="00F22A05">
        <w:t>Nfl</w:t>
      </w:r>
      <w:proofErr w:type="spellEnd"/>
      <w:r w:rsidR="00AB7536" w:rsidRPr="00F22A05">
        <w:tab/>
      </w:r>
      <w:r w:rsidRPr="00F22A05">
        <w:t xml:space="preserve">= number of conditioned floor levels in the </w:t>
      </w:r>
      <w:r w:rsidR="00021E06" w:rsidRPr="00F22A05">
        <w:t>D</w:t>
      </w:r>
      <w:r w:rsidR="00A44625" w:rsidRPr="00F22A05">
        <w:t xml:space="preserve">welling </w:t>
      </w:r>
      <w:r w:rsidR="00021E06" w:rsidRPr="00F22A05">
        <w:t>U</w:t>
      </w:r>
      <w:r w:rsidR="00A44625" w:rsidRPr="00F22A05">
        <w:t>nit</w:t>
      </w:r>
      <w:r w:rsidRPr="00F22A05">
        <w:t xml:space="preserve">, </w:t>
      </w:r>
      <w:r w:rsidR="008C689B" w:rsidRPr="00F22A05">
        <w:t xml:space="preserve">including </w:t>
      </w:r>
      <w:r w:rsidRPr="00F22A05">
        <w:t>conditioned basements</w:t>
      </w:r>
      <w:r w:rsidR="0033678A" w:rsidRPr="00F22A05">
        <w:t>.</w:t>
      </w:r>
    </w:p>
    <w:p w14:paraId="400CFD70" w14:textId="77777777" w:rsidR="00402A7A" w:rsidRPr="00F22A05" w:rsidRDefault="008F1DC1" w:rsidP="0025098F">
      <w:pPr>
        <w:pStyle w:val="equals"/>
        <w:tabs>
          <w:tab w:val="clear" w:pos="3060"/>
          <w:tab w:val="left" w:pos="4500"/>
        </w:tabs>
        <w:ind w:left="4680" w:hanging="1404"/>
      </w:pPr>
      <w:proofErr w:type="spellStart"/>
      <w:r w:rsidRPr="00F22A05">
        <w:t>Bsmt</w:t>
      </w:r>
      <w:proofErr w:type="spellEnd"/>
      <w:r w:rsidR="00AB7536" w:rsidRPr="00F22A05">
        <w:tab/>
      </w:r>
      <w:r w:rsidRPr="00F22A05">
        <w:t>= presence = 1.0 or</w:t>
      </w:r>
      <w:r w:rsidR="00402A7A" w:rsidRPr="00F22A05">
        <w:t xml:space="preserve"> </w:t>
      </w:r>
    </w:p>
    <w:p w14:paraId="24DBC59D" w14:textId="6C3009C8" w:rsidR="00615B93" w:rsidRPr="00F22A05" w:rsidRDefault="00402A7A" w:rsidP="0025098F">
      <w:pPr>
        <w:pStyle w:val="equals"/>
        <w:tabs>
          <w:tab w:val="clear" w:pos="3060"/>
          <w:tab w:val="left" w:pos="4500"/>
        </w:tabs>
        <w:ind w:left="4680" w:hanging="1404"/>
      </w:pPr>
      <w:r w:rsidRPr="00F22A05">
        <w:tab/>
      </w:r>
      <w:r w:rsidR="008F1DC1" w:rsidRPr="00F22A05">
        <w:t xml:space="preserve">= </w:t>
      </w:r>
      <w:proofErr w:type="gramStart"/>
      <w:r w:rsidR="008F1DC1" w:rsidRPr="00F22A05">
        <w:t>absence  =</w:t>
      </w:r>
      <w:proofErr w:type="gramEnd"/>
      <w:r w:rsidR="008F1DC1" w:rsidRPr="00F22A05">
        <w:t xml:space="preserve"> 0.0 of an unconditioned basement in the</w:t>
      </w:r>
      <w:r w:rsidR="006658DA" w:rsidRPr="00F22A05">
        <w:t xml:space="preserve"> </w:t>
      </w:r>
      <w:r w:rsidR="00021E06" w:rsidRPr="00F22A05">
        <w:t>D</w:t>
      </w:r>
      <w:r w:rsidR="00A44625" w:rsidRPr="00F22A05">
        <w:t xml:space="preserve">welling </w:t>
      </w:r>
      <w:r w:rsidR="00021E06" w:rsidRPr="00F22A05">
        <w:t>U</w:t>
      </w:r>
      <w:r w:rsidR="00A44625" w:rsidRPr="00F22A05">
        <w:t>nit</w:t>
      </w:r>
      <w:r w:rsidR="0033678A" w:rsidRPr="00F22A05">
        <w:t>.</w:t>
      </w:r>
    </w:p>
    <w:p w14:paraId="1E38EDFB" w14:textId="01D5D783" w:rsidR="008F1DC1" w:rsidRPr="00F22A05" w:rsidRDefault="008F1DC1" w:rsidP="0025098F">
      <w:pPr>
        <w:pStyle w:val="where1"/>
        <w:ind w:left="3240"/>
      </w:pPr>
      <w:r w:rsidRPr="00F22A05">
        <w:t xml:space="preserve">for </w:t>
      </w:r>
      <w:r w:rsidR="00EA30E9" w:rsidRPr="00F22A05">
        <w:t>r</w:t>
      </w:r>
      <w:r w:rsidRPr="00F22A05">
        <w:t>ecirculation systems</w:t>
      </w:r>
      <w:r w:rsidR="00EA30E9" w:rsidRPr="00F22A05">
        <w:t xml:space="preserve"> (entirely within the Rated Home):</w:t>
      </w:r>
      <w:r w:rsidR="00EB4ED1" w:rsidRPr="00F22A05">
        <w:rPr>
          <w:rStyle w:val="FootnoteReference"/>
        </w:rPr>
        <w:footnoteReference w:id="21"/>
      </w:r>
    </w:p>
    <w:p w14:paraId="090E76C7" w14:textId="11A474DA" w:rsidR="008F1DC1" w:rsidRPr="00F22A05" w:rsidRDefault="00402A7A" w:rsidP="0025098F">
      <w:pPr>
        <w:pStyle w:val="equals"/>
        <w:tabs>
          <w:tab w:val="clear" w:pos="3060"/>
          <w:tab w:val="left" w:pos="4500"/>
        </w:tabs>
        <w:ind w:left="4680" w:hanging="1404"/>
      </w:pPr>
      <w:proofErr w:type="spellStart"/>
      <w:r w:rsidRPr="00F22A05">
        <w:t>pRatio</w:t>
      </w:r>
      <w:proofErr w:type="spellEnd"/>
      <w:r w:rsidRPr="00F22A05">
        <w:tab/>
      </w:r>
      <w:r w:rsidR="008F1DC1" w:rsidRPr="00F22A05">
        <w:t xml:space="preserve">= </w:t>
      </w:r>
      <w:proofErr w:type="spellStart"/>
      <w:r w:rsidR="008F1DC1" w:rsidRPr="00F22A05">
        <w:t>BranchL</w:t>
      </w:r>
      <w:proofErr w:type="spellEnd"/>
      <w:r w:rsidR="008F1DC1" w:rsidRPr="00F22A05">
        <w:t xml:space="preserve"> /10</w:t>
      </w:r>
    </w:p>
    <w:p w14:paraId="0AEF5370" w14:textId="16D899ED" w:rsidR="008F1DC1" w:rsidRPr="00F22A05" w:rsidRDefault="008F1DC1" w:rsidP="0025098F">
      <w:pPr>
        <w:pStyle w:val="where1"/>
        <w:ind w:left="3240"/>
      </w:pPr>
      <w:r w:rsidRPr="00F22A05">
        <w:t>where</w:t>
      </w:r>
      <w:r w:rsidR="00162C68" w:rsidRPr="00F22A05">
        <w:t>:</w:t>
      </w:r>
    </w:p>
    <w:p w14:paraId="2C0A51D6" w14:textId="77777777" w:rsidR="00402A7A" w:rsidRPr="00F22A05" w:rsidRDefault="008F1DC1" w:rsidP="0025098F">
      <w:pPr>
        <w:pStyle w:val="equals"/>
        <w:tabs>
          <w:tab w:val="clear" w:pos="3060"/>
          <w:tab w:val="left" w:pos="4500"/>
        </w:tabs>
        <w:ind w:left="4680" w:hanging="1404"/>
      </w:pPr>
      <w:proofErr w:type="spellStart"/>
      <w:r w:rsidRPr="00F22A05">
        <w:t>BranchL</w:t>
      </w:r>
      <w:proofErr w:type="spellEnd"/>
      <w:r w:rsidR="00402A7A" w:rsidRPr="00F22A05">
        <w:tab/>
      </w:r>
      <w:r w:rsidRPr="00F22A05">
        <w:t>= measured length of the branch hot water piping</w:t>
      </w:r>
      <w:r w:rsidR="00B16DA2" w:rsidRPr="00F22A05">
        <w:t xml:space="preserve"> </w:t>
      </w:r>
      <w:r w:rsidRPr="00F22A05">
        <w:t>from the recirculation loop to the farthest hot water</w:t>
      </w:r>
      <w:r w:rsidR="00B16DA2" w:rsidRPr="00F22A05">
        <w:t xml:space="preserve"> </w:t>
      </w:r>
      <w:r w:rsidRPr="00F22A05">
        <w:t>fixture from the recirculation loop, measured longitudinally from plans, assuming the branch hot water piping does not run diagonally</w:t>
      </w:r>
      <w:r w:rsidR="00162C68" w:rsidRPr="00F22A05">
        <w:t>.</w:t>
      </w:r>
    </w:p>
    <w:p w14:paraId="28CF2C90" w14:textId="6ED3273E" w:rsidR="00402A7A" w:rsidRPr="00F22A05" w:rsidRDefault="00927F10" w:rsidP="0025098F">
      <w:pPr>
        <w:pStyle w:val="equals"/>
        <w:tabs>
          <w:tab w:val="clear" w:pos="3060"/>
          <w:tab w:val="left" w:pos="4500"/>
        </w:tabs>
        <w:ind w:left="4680" w:hanging="1404"/>
      </w:pPr>
      <w:proofErr w:type="spellStart"/>
      <w:r w:rsidRPr="00F22A05">
        <w:t>sysFactor</w:t>
      </w:r>
      <w:proofErr w:type="spellEnd"/>
      <w:r w:rsidRPr="00F22A05">
        <w:tab/>
      </w:r>
      <w:r w:rsidR="008F1DC1" w:rsidRPr="00F22A05">
        <w:t>= hot water distribution system factor from Table 4.2.2.5.2.11(2)</w:t>
      </w:r>
      <w:r w:rsidR="00162C68" w:rsidRPr="00F22A05">
        <w:t>.</w:t>
      </w:r>
    </w:p>
    <w:p w14:paraId="35957820" w14:textId="77777777" w:rsidR="00927F10" w:rsidRDefault="00927F10" w:rsidP="00927F10">
      <w:pPr>
        <w:pStyle w:val="equals"/>
      </w:pPr>
    </w:p>
    <w:p w14:paraId="0BAEB765" w14:textId="77777777" w:rsidR="00BC35C6" w:rsidRDefault="00BC35C6" w:rsidP="00927F10">
      <w:pPr>
        <w:pStyle w:val="equals"/>
      </w:pPr>
    </w:p>
    <w:p w14:paraId="483130CF" w14:textId="77777777" w:rsidR="00BC35C6" w:rsidRPr="00F22A05" w:rsidRDefault="00BC35C6" w:rsidP="00927F10">
      <w:pPr>
        <w:pStyle w:val="equals"/>
      </w:pPr>
    </w:p>
    <w:p w14:paraId="0D119F18" w14:textId="40452762" w:rsidR="008F1DC1" w:rsidRPr="00F22A05" w:rsidRDefault="00AE7185" w:rsidP="00AE7185">
      <w:pPr>
        <w:keepNext/>
        <w:tabs>
          <w:tab w:val="left" w:pos="748"/>
        </w:tabs>
        <w:ind w:left="1530"/>
        <w:rPr>
          <w:b/>
        </w:rPr>
      </w:pPr>
      <w:bookmarkStart w:id="78" w:name="_Hlk141018196"/>
      <w:r w:rsidRPr="00F22A05">
        <w:rPr>
          <w:b/>
        </w:rPr>
        <w:t xml:space="preserve"> </w:t>
      </w:r>
      <w:r w:rsidR="008F1DC1" w:rsidRPr="00F22A05">
        <w:rPr>
          <w:b/>
        </w:rPr>
        <w:t>Table 4.2.2.5.2.11(2) Hot Water Distribution System Insulation Factors</w:t>
      </w:r>
    </w:p>
    <w:tbl>
      <w:tblPr>
        <w:tblStyle w:val="TableGrid"/>
        <w:tblW w:w="0" w:type="auto"/>
        <w:tblInd w:w="1728" w:type="dxa"/>
        <w:tblLook w:val="04A0" w:firstRow="1" w:lastRow="0" w:firstColumn="1" w:lastColumn="0" w:noHBand="0" w:noVBand="1"/>
      </w:tblPr>
      <w:tblGrid>
        <w:gridCol w:w="3510"/>
        <w:gridCol w:w="1710"/>
        <w:gridCol w:w="1800"/>
      </w:tblGrid>
      <w:tr w:rsidR="00F22A05" w:rsidRPr="00F22A05" w14:paraId="2383E668" w14:textId="77777777" w:rsidTr="00F22703">
        <w:trPr>
          <w:cantSplit/>
        </w:trPr>
        <w:tc>
          <w:tcPr>
            <w:tcW w:w="3510" w:type="dxa"/>
            <w:vMerge w:val="restart"/>
            <w:vAlign w:val="center"/>
          </w:tcPr>
          <w:p w14:paraId="781104C7" w14:textId="77777777" w:rsidR="008F1DC1" w:rsidRPr="00F22A05" w:rsidRDefault="008F1DC1" w:rsidP="00F22703">
            <w:pPr>
              <w:tabs>
                <w:tab w:val="left" w:pos="748"/>
              </w:tabs>
            </w:pPr>
            <w:r w:rsidRPr="00F22A05">
              <w:t>Distribution System Description</w:t>
            </w:r>
          </w:p>
        </w:tc>
        <w:tc>
          <w:tcPr>
            <w:tcW w:w="3510" w:type="dxa"/>
            <w:gridSpan w:val="2"/>
            <w:vAlign w:val="center"/>
          </w:tcPr>
          <w:p w14:paraId="3FF134D0" w14:textId="77777777" w:rsidR="008F1DC1" w:rsidRPr="00F22A05" w:rsidRDefault="008F1DC1" w:rsidP="00F22703">
            <w:pPr>
              <w:tabs>
                <w:tab w:val="left" w:pos="748"/>
              </w:tabs>
              <w:jc w:val="center"/>
            </w:pPr>
            <w:proofErr w:type="spellStart"/>
            <w:r w:rsidRPr="00F22A05">
              <w:t>sysFactor</w:t>
            </w:r>
            <w:proofErr w:type="spellEnd"/>
          </w:p>
        </w:tc>
      </w:tr>
      <w:tr w:rsidR="00F22A05" w:rsidRPr="00F22A05" w14:paraId="312CA607" w14:textId="77777777" w:rsidTr="00F22703">
        <w:trPr>
          <w:cantSplit/>
        </w:trPr>
        <w:tc>
          <w:tcPr>
            <w:tcW w:w="3510" w:type="dxa"/>
            <w:vMerge/>
          </w:tcPr>
          <w:p w14:paraId="162AEB44" w14:textId="77777777" w:rsidR="008F1DC1" w:rsidRPr="00F22A05" w:rsidRDefault="008F1DC1" w:rsidP="00F22703">
            <w:pPr>
              <w:tabs>
                <w:tab w:val="left" w:pos="748"/>
              </w:tabs>
            </w:pPr>
          </w:p>
        </w:tc>
        <w:tc>
          <w:tcPr>
            <w:tcW w:w="1710" w:type="dxa"/>
            <w:vAlign w:val="center"/>
          </w:tcPr>
          <w:p w14:paraId="07904E1F" w14:textId="77777777" w:rsidR="008F1DC1" w:rsidRPr="00F22A05" w:rsidRDefault="008F1DC1" w:rsidP="00F22703">
            <w:pPr>
              <w:tabs>
                <w:tab w:val="left" w:pos="748"/>
              </w:tabs>
              <w:jc w:val="center"/>
            </w:pPr>
            <w:r w:rsidRPr="00F22A05">
              <w:rPr>
                <w:sz w:val="22"/>
              </w:rPr>
              <w:t>No pipe insulation</w:t>
            </w:r>
          </w:p>
        </w:tc>
        <w:tc>
          <w:tcPr>
            <w:tcW w:w="1800" w:type="dxa"/>
            <w:vAlign w:val="center"/>
          </w:tcPr>
          <w:p w14:paraId="4611BA80" w14:textId="29A8E625" w:rsidR="008F1DC1" w:rsidRPr="00F22A05" w:rsidRDefault="008F1DC1" w:rsidP="00F22703">
            <w:pPr>
              <w:tabs>
                <w:tab w:val="left" w:pos="748"/>
              </w:tabs>
              <w:jc w:val="center"/>
            </w:pPr>
            <w:r w:rsidRPr="00F22A05">
              <w:rPr>
                <w:sz w:val="22"/>
              </w:rPr>
              <w:t>≥R-3 pipe insulation</w:t>
            </w:r>
            <w:r w:rsidR="00CA61A9" w:rsidRPr="00F22A05">
              <w:rPr>
                <w:rStyle w:val="FootnoteReference"/>
                <w:sz w:val="22"/>
                <w:u w:val="single"/>
              </w:rPr>
              <w:footnoteReference w:id="22"/>
            </w:r>
          </w:p>
        </w:tc>
      </w:tr>
      <w:tr w:rsidR="00F22A05" w:rsidRPr="00F22A05" w14:paraId="603A8E49" w14:textId="77777777" w:rsidTr="00F22703">
        <w:trPr>
          <w:cantSplit/>
        </w:trPr>
        <w:tc>
          <w:tcPr>
            <w:tcW w:w="3510" w:type="dxa"/>
          </w:tcPr>
          <w:p w14:paraId="18EA391B" w14:textId="77777777" w:rsidR="008F1DC1" w:rsidRPr="00F22A05" w:rsidRDefault="008F1DC1" w:rsidP="00F22703">
            <w:pPr>
              <w:tabs>
                <w:tab w:val="left" w:pos="748"/>
              </w:tabs>
            </w:pPr>
            <w:r w:rsidRPr="00F22A05">
              <w:rPr>
                <w:sz w:val="22"/>
              </w:rPr>
              <w:t>Standard systems</w:t>
            </w:r>
            <w:r w:rsidRPr="00F22A05">
              <w:rPr>
                <w:sz w:val="22"/>
                <w:szCs w:val="22"/>
              </w:rPr>
              <w:t xml:space="preserve"> </w:t>
            </w:r>
          </w:p>
        </w:tc>
        <w:tc>
          <w:tcPr>
            <w:tcW w:w="1710" w:type="dxa"/>
          </w:tcPr>
          <w:p w14:paraId="6C9D7D20" w14:textId="77777777" w:rsidR="008F1DC1" w:rsidRPr="00F22A05" w:rsidRDefault="008F1DC1" w:rsidP="00F22703">
            <w:pPr>
              <w:tabs>
                <w:tab w:val="left" w:pos="748"/>
              </w:tabs>
              <w:jc w:val="center"/>
            </w:pPr>
            <w:r w:rsidRPr="00F22A05">
              <w:rPr>
                <w:sz w:val="22"/>
              </w:rPr>
              <w:t>1.00</w:t>
            </w:r>
            <w:r w:rsidRPr="00F22A05">
              <w:rPr>
                <w:sz w:val="22"/>
                <w:szCs w:val="22"/>
              </w:rPr>
              <w:t xml:space="preserve"> </w:t>
            </w:r>
          </w:p>
        </w:tc>
        <w:tc>
          <w:tcPr>
            <w:tcW w:w="1800" w:type="dxa"/>
          </w:tcPr>
          <w:p w14:paraId="70D616EE" w14:textId="77777777" w:rsidR="008F1DC1" w:rsidRPr="00F22A05" w:rsidRDefault="008F1DC1" w:rsidP="00F22703">
            <w:pPr>
              <w:tabs>
                <w:tab w:val="left" w:pos="748"/>
              </w:tabs>
              <w:jc w:val="center"/>
            </w:pPr>
            <w:r w:rsidRPr="00F22A05">
              <w:rPr>
                <w:sz w:val="22"/>
              </w:rPr>
              <w:t>0.90</w:t>
            </w:r>
            <w:r w:rsidRPr="00F22A05">
              <w:rPr>
                <w:sz w:val="22"/>
                <w:szCs w:val="22"/>
              </w:rPr>
              <w:t xml:space="preserve"> </w:t>
            </w:r>
          </w:p>
        </w:tc>
      </w:tr>
      <w:tr w:rsidR="008F1DC1" w:rsidRPr="00F22A05" w14:paraId="0A7895CF" w14:textId="77777777" w:rsidTr="00F22703">
        <w:trPr>
          <w:cantSplit/>
        </w:trPr>
        <w:tc>
          <w:tcPr>
            <w:tcW w:w="3510" w:type="dxa"/>
          </w:tcPr>
          <w:p w14:paraId="41718107" w14:textId="77777777" w:rsidR="008F1DC1" w:rsidRPr="00F22A05" w:rsidRDefault="008F1DC1" w:rsidP="00F22703">
            <w:pPr>
              <w:tabs>
                <w:tab w:val="left" w:pos="748"/>
              </w:tabs>
            </w:pPr>
            <w:r w:rsidRPr="00F22A05">
              <w:rPr>
                <w:sz w:val="22"/>
              </w:rPr>
              <w:t>Recirculation systems</w:t>
            </w:r>
            <w:r w:rsidRPr="00F22A05">
              <w:rPr>
                <w:sz w:val="22"/>
                <w:szCs w:val="22"/>
              </w:rPr>
              <w:t xml:space="preserve"> </w:t>
            </w:r>
          </w:p>
        </w:tc>
        <w:tc>
          <w:tcPr>
            <w:tcW w:w="1710" w:type="dxa"/>
          </w:tcPr>
          <w:p w14:paraId="3A6FC2B5" w14:textId="77777777" w:rsidR="008F1DC1" w:rsidRPr="00F22A05" w:rsidRDefault="008F1DC1" w:rsidP="00F22703">
            <w:pPr>
              <w:tabs>
                <w:tab w:val="left" w:pos="748"/>
              </w:tabs>
              <w:jc w:val="center"/>
            </w:pPr>
            <w:r w:rsidRPr="00F22A05">
              <w:rPr>
                <w:sz w:val="22"/>
              </w:rPr>
              <w:t>1.11</w:t>
            </w:r>
            <w:r w:rsidRPr="00F22A05">
              <w:rPr>
                <w:sz w:val="22"/>
                <w:szCs w:val="22"/>
              </w:rPr>
              <w:t xml:space="preserve"> </w:t>
            </w:r>
          </w:p>
        </w:tc>
        <w:tc>
          <w:tcPr>
            <w:tcW w:w="1800" w:type="dxa"/>
          </w:tcPr>
          <w:p w14:paraId="6C8D796F" w14:textId="77777777" w:rsidR="008F1DC1" w:rsidRPr="00F22A05" w:rsidRDefault="008F1DC1" w:rsidP="00F22703">
            <w:pPr>
              <w:tabs>
                <w:tab w:val="left" w:pos="748"/>
              </w:tabs>
              <w:jc w:val="center"/>
            </w:pPr>
            <w:r w:rsidRPr="00F22A05">
              <w:rPr>
                <w:sz w:val="22"/>
              </w:rPr>
              <w:t>1.00</w:t>
            </w:r>
            <w:r w:rsidRPr="00F22A05">
              <w:rPr>
                <w:sz w:val="22"/>
                <w:szCs w:val="22"/>
              </w:rPr>
              <w:t xml:space="preserve"> </w:t>
            </w:r>
          </w:p>
        </w:tc>
      </w:tr>
      <w:bookmarkEnd w:id="78"/>
    </w:tbl>
    <w:p w14:paraId="4F17CAB0" w14:textId="77777777" w:rsidR="008F1DC1" w:rsidRPr="00F22A05" w:rsidRDefault="008F1DC1" w:rsidP="008F1DC1">
      <w:pPr>
        <w:tabs>
          <w:tab w:val="left" w:pos="748"/>
        </w:tabs>
        <w:ind w:left="1728"/>
        <w:rPr>
          <w:sz w:val="22"/>
          <w:szCs w:val="22"/>
        </w:rPr>
      </w:pPr>
    </w:p>
    <w:p w14:paraId="2D537493" w14:textId="101A9DC3" w:rsidR="008F1DC1" w:rsidRPr="00F22A05" w:rsidRDefault="008F1DC1" w:rsidP="0025098F">
      <w:pPr>
        <w:pStyle w:val="equals"/>
        <w:tabs>
          <w:tab w:val="clear" w:pos="3060"/>
          <w:tab w:val="left" w:pos="4500"/>
        </w:tabs>
        <w:ind w:left="4680" w:hanging="1404"/>
      </w:pPr>
      <w:proofErr w:type="spellStart"/>
      <w:r w:rsidRPr="00F22A05">
        <w:t>WD</w:t>
      </w:r>
      <w:r w:rsidRPr="00F22A05">
        <w:rPr>
          <w:vertAlign w:val="subscript"/>
        </w:rPr>
        <w:t>eff</w:t>
      </w:r>
      <w:proofErr w:type="spellEnd"/>
      <w:r w:rsidR="00402A7A" w:rsidRPr="00F22A05">
        <w:tab/>
      </w:r>
      <w:r w:rsidRPr="00F22A05">
        <w:t>= distribution system water use effectiveness from Table 4.2.2.5.2.11(3)</w:t>
      </w:r>
      <w:r w:rsidR="00E21D0E" w:rsidRPr="00F22A05">
        <w:rPr>
          <w:vertAlign w:val="superscript"/>
        </w:rPr>
        <w:t>4</w:t>
      </w:r>
      <w:r w:rsidR="00E20E0B" w:rsidRPr="00F22A05">
        <w:rPr>
          <w:vertAlign w:val="superscript"/>
        </w:rPr>
        <w:t>3</w:t>
      </w:r>
    </w:p>
    <w:p w14:paraId="75ABFB6C" w14:textId="77777777" w:rsidR="008F1DC1" w:rsidRPr="00F22A05" w:rsidRDefault="008F1DC1" w:rsidP="00F22703">
      <w:pPr>
        <w:tabs>
          <w:tab w:val="left" w:pos="748"/>
        </w:tabs>
        <w:ind w:left="1728"/>
        <w:rPr>
          <w:b/>
        </w:rPr>
      </w:pPr>
    </w:p>
    <w:p w14:paraId="61D95E23" w14:textId="20615701" w:rsidR="008F1DC1" w:rsidRPr="00F22A05" w:rsidRDefault="00AE7185" w:rsidP="00AE7185">
      <w:pPr>
        <w:tabs>
          <w:tab w:val="left" w:pos="748"/>
        </w:tabs>
        <w:ind w:left="1800"/>
        <w:rPr>
          <w:b/>
        </w:rPr>
      </w:pPr>
      <w:r w:rsidRPr="00F22A05">
        <w:rPr>
          <w:b/>
        </w:rPr>
        <w:t xml:space="preserve">   </w:t>
      </w:r>
      <w:r w:rsidR="008F1DC1" w:rsidRPr="00F22A05">
        <w:rPr>
          <w:b/>
        </w:rPr>
        <w:t>Table 4.2.2.5.2.11(3) Distribution system water use effectiveness</w:t>
      </w:r>
      <w:r w:rsidRPr="00F22A05">
        <w:rPr>
          <w:b/>
        </w:rPr>
        <w:t xml:space="preserve"> </w:t>
      </w:r>
    </w:p>
    <w:tbl>
      <w:tblPr>
        <w:tblStyle w:val="TableGrid"/>
        <w:tblW w:w="0" w:type="auto"/>
        <w:tblInd w:w="1728" w:type="dxa"/>
        <w:tblLook w:val="04A0" w:firstRow="1" w:lastRow="0" w:firstColumn="1" w:lastColumn="0" w:noHBand="0" w:noVBand="1"/>
      </w:tblPr>
      <w:tblGrid>
        <w:gridCol w:w="4050"/>
        <w:gridCol w:w="2970"/>
      </w:tblGrid>
      <w:tr w:rsidR="00F22A05" w:rsidRPr="00F22A05" w14:paraId="0898BD05" w14:textId="77777777" w:rsidTr="00F22703">
        <w:trPr>
          <w:trHeight w:val="288"/>
        </w:trPr>
        <w:tc>
          <w:tcPr>
            <w:tcW w:w="4050" w:type="dxa"/>
            <w:vAlign w:val="center"/>
          </w:tcPr>
          <w:p w14:paraId="6AFD40F3" w14:textId="77777777" w:rsidR="008F1DC1" w:rsidRPr="00F22A05" w:rsidRDefault="008F1DC1" w:rsidP="00F22703">
            <w:pPr>
              <w:tabs>
                <w:tab w:val="left" w:pos="748"/>
              </w:tabs>
              <w:rPr>
                <w:b/>
              </w:rPr>
            </w:pPr>
            <w:r w:rsidRPr="00F22A05">
              <w:rPr>
                <w:b/>
              </w:rPr>
              <w:t>Distribution System Description</w:t>
            </w:r>
          </w:p>
        </w:tc>
        <w:tc>
          <w:tcPr>
            <w:tcW w:w="2970" w:type="dxa"/>
            <w:vAlign w:val="center"/>
          </w:tcPr>
          <w:p w14:paraId="10B19B1F" w14:textId="77777777" w:rsidR="008F1DC1" w:rsidRPr="00F22A05" w:rsidRDefault="008F1DC1" w:rsidP="00F22703">
            <w:pPr>
              <w:tabs>
                <w:tab w:val="left" w:pos="748"/>
              </w:tabs>
              <w:jc w:val="center"/>
              <w:rPr>
                <w:b/>
              </w:rPr>
            </w:pPr>
            <w:proofErr w:type="spellStart"/>
            <w:r w:rsidRPr="00F22A05">
              <w:rPr>
                <w:b/>
              </w:rPr>
              <w:t>WD</w:t>
            </w:r>
            <w:r w:rsidRPr="00F22A05">
              <w:rPr>
                <w:b/>
                <w:vertAlign w:val="subscript"/>
              </w:rPr>
              <w:t>eff</w:t>
            </w:r>
            <w:proofErr w:type="spellEnd"/>
          </w:p>
        </w:tc>
      </w:tr>
      <w:tr w:rsidR="00F22A05" w:rsidRPr="00F22A05" w14:paraId="09A423E1" w14:textId="77777777" w:rsidTr="00F22703">
        <w:tc>
          <w:tcPr>
            <w:tcW w:w="4050" w:type="dxa"/>
          </w:tcPr>
          <w:p w14:paraId="66982A9A" w14:textId="77777777" w:rsidR="008F1DC1" w:rsidRPr="00F22A05" w:rsidRDefault="008F1DC1" w:rsidP="00F22703">
            <w:pPr>
              <w:tabs>
                <w:tab w:val="left" w:pos="748"/>
              </w:tabs>
            </w:pPr>
            <w:r w:rsidRPr="00F22A05">
              <w:rPr>
                <w:sz w:val="22"/>
              </w:rPr>
              <w:t>Standard systems</w:t>
            </w:r>
            <w:r w:rsidRPr="00F22A05">
              <w:rPr>
                <w:sz w:val="22"/>
                <w:szCs w:val="22"/>
              </w:rPr>
              <w:t xml:space="preserve"> </w:t>
            </w:r>
          </w:p>
        </w:tc>
        <w:tc>
          <w:tcPr>
            <w:tcW w:w="2970" w:type="dxa"/>
          </w:tcPr>
          <w:p w14:paraId="76A74237" w14:textId="77777777" w:rsidR="008F1DC1" w:rsidRPr="00F22A05" w:rsidRDefault="008F1DC1" w:rsidP="00F22703">
            <w:pPr>
              <w:tabs>
                <w:tab w:val="left" w:pos="748"/>
              </w:tabs>
              <w:jc w:val="center"/>
            </w:pPr>
            <w:r w:rsidRPr="00F22A05">
              <w:rPr>
                <w:sz w:val="22"/>
              </w:rPr>
              <w:t>1.00</w:t>
            </w:r>
            <w:r w:rsidRPr="00F22A05">
              <w:rPr>
                <w:sz w:val="22"/>
                <w:szCs w:val="22"/>
              </w:rPr>
              <w:t xml:space="preserve"> </w:t>
            </w:r>
          </w:p>
        </w:tc>
      </w:tr>
      <w:tr w:rsidR="008F1DC1" w:rsidRPr="00F22A05" w14:paraId="573B25B8" w14:textId="77777777" w:rsidTr="00F22703">
        <w:tc>
          <w:tcPr>
            <w:tcW w:w="4050" w:type="dxa"/>
          </w:tcPr>
          <w:p w14:paraId="790137CA" w14:textId="77777777" w:rsidR="008F1DC1" w:rsidRPr="00F22A05" w:rsidRDefault="008F1DC1" w:rsidP="00F22703">
            <w:pPr>
              <w:tabs>
                <w:tab w:val="left" w:pos="748"/>
              </w:tabs>
            </w:pPr>
            <w:r w:rsidRPr="00F22A05">
              <w:rPr>
                <w:sz w:val="22"/>
              </w:rPr>
              <w:t>Recirculation systems</w:t>
            </w:r>
            <w:r w:rsidRPr="00F22A05">
              <w:rPr>
                <w:sz w:val="22"/>
                <w:szCs w:val="22"/>
              </w:rPr>
              <w:t xml:space="preserve"> </w:t>
            </w:r>
          </w:p>
        </w:tc>
        <w:tc>
          <w:tcPr>
            <w:tcW w:w="2970" w:type="dxa"/>
          </w:tcPr>
          <w:p w14:paraId="3EC64468" w14:textId="77777777" w:rsidR="008F1DC1" w:rsidRPr="00F22A05" w:rsidRDefault="008F1DC1" w:rsidP="00F22703">
            <w:pPr>
              <w:tabs>
                <w:tab w:val="left" w:pos="748"/>
              </w:tabs>
              <w:jc w:val="center"/>
            </w:pPr>
            <w:r w:rsidRPr="00F22A05">
              <w:rPr>
                <w:sz w:val="22"/>
              </w:rPr>
              <w:t>0.10</w:t>
            </w:r>
            <w:r w:rsidRPr="00F22A05">
              <w:rPr>
                <w:sz w:val="22"/>
                <w:szCs w:val="22"/>
              </w:rPr>
              <w:t xml:space="preserve"> </w:t>
            </w:r>
          </w:p>
        </w:tc>
      </w:tr>
    </w:tbl>
    <w:p w14:paraId="3AE47CA7" w14:textId="77777777" w:rsidR="00615B93" w:rsidRPr="00F22A05" w:rsidRDefault="00615B93" w:rsidP="00693861">
      <w:pPr>
        <w:tabs>
          <w:tab w:val="left" w:pos="748"/>
        </w:tabs>
      </w:pPr>
    </w:p>
    <w:p w14:paraId="6A8EEB61" w14:textId="7405BF10" w:rsidR="008F1DC1" w:rsidRPr="00F22A05" w:rsidRDefault="00445DDD" w:rsidP="00B46795">
      <w:pPr>
        <w:pStyle w:val="seven"/>
        <w:numPr>
          <w:ilvl w:val="0"/>
          <w:numId w:val="0"/>
        </w:numPr>
        <w:ind w:left="1440"/>
        <w:rPr>
          <w:b/>
          <w:bCs/>
        </w:rPr>
      </w:pPr>
      <w:bookmarkStart w:id="80" w:name="_Ref495404718"/>
      <w:r w:rsidRPr="00F22A05">
        <w:rPr>
          <w:b/>
          <w:bCs/>
        </w:rPr>
        <w:t>4.2.2.7.2.11.1</w:t>
      </w:r>
      <w:r w:rsidR="00A87B5A" w:rsidRPr="00F22A05">
        <w:rPr>
          <w:b/>
          <w:bCs/>
        </w:rPr>
        <w:t>.</w:t>
      </w:r>
      <w:r w:rsidRPr="00F22A05">
        <w:rPr>
          <w:b/>
          <w:bCs/>
        </w:rPr>
        <w:t xml:space="preserve">  </w:t>
      </w:r>
      <w:r w:rsidR="008F1DC1" w:rsidRPr="00F22A05">
        <w:rPr>
          <w:b/>
          <w:bCs/>
        </w:rPr>
        <w:t>Drain Water Heat Recovery (DWHR) Units</w:t>
      </w:r>
      <w:bookmarkEnd w:id="80"/>
    </w:p>
    <w:p w14:paraId="47FC8723" w14:textId="77777777" w:rsidR="00C449CF" w:rsidRPr="00F22A05" w:rsidRDefault="00C449CF" w:rsidP="00717B8B">
      <w:pPr>
        <w:pStyle w:val="sixaa"/>
      </w:pPr>
    </w:p>
    <w:p w14:paraId="2EC2E78C" w14:textId="77777777" w:rsidR="007F3A44" w:rsidRPr="00F22A05" w:rsidRDefault="007F3A44" w:rsidP="00BF035F">
      <w:pPr>
        <w:tabs>
          <w:tab w:val="left" w:pos="748"/>
        </w:tabs>
        <w:ind w:left="2304"/>
      </w:pPr>
    </w:p>
    <w:p w14:paraId="0639B0F1" w14:textId="46C02058" w:rsidR="007F3A44" w:rsidRPr="00F22A05" w:rsidRDefault="00445DDD" w:rsidP="00B46795">
      <w:pPr>
        <w:pStyle w:val="seven"/>
        <w:numPr>
          <w:ilvl w:val="0"/>
          <w:numId w:val="0"/>
        </w:numPr>
        <w:ind w:left="1440"/>
        <w:rPr>
          <w:b/>
        </w:rPr>
      </w:pPr>
      <w:bookmarkStart w:id="81" w:name="_Hlk36193643"/>
      <w:r w:rsidRPr="00F22A05">
        <w:rPr>
          <w:b/>
        </w:rPr>
        <w:t>4.2.2.7.2.11.2</w:t>
      </w:r>
      <w:r w:rsidR="00A87B5A" w:rsidRPr="00F22A05">
        <w:rPr>
          <w:b/>
        </w:rPr>
        <w:t>.</w:t>
      </w:r>
      <w:r w:rsidRPr="00F22A05">
        <w:rPr>
          <w:b/>
        </w:rPr>
        <w:t xml:space="preserve">  </w:t>
      </w:r>
      <w:r w:rsidR="008F1DC1" w:rsidRPr="00F22A05">
        <w:rPr>
          <w:b/>
        </w:rPr>
        <w:t>Hot Water System Annual Energy Consumption</w:t>
      </w:r>
      <w:bookmarkEnd w:id="81"/>
    </w:p>
    <w:p w14:paraId="6E45C12D" w14:textId="520E4DBF" w:rsidR="008F1DC1" w:rsidRPr="00F22A05" w:rsidRDefault="008F1DC1" w:rsidP="005A2ADF">
      <w:pPr>
        <w:pStyle w:val="seven"/>
        <w:numPr>
          <w:ilvl w:val="0"/>
          <w:numId w:val="0"/>
        </w:numPr>
        <w:ind w:left="3600"/>
      </w:pPr>
      <w:r w:rsidRPr="00F22A05">
        <w:t>Service hot water energy consumption shall be calculated using Approved Software Tools</w:t>
      </w:r>
      <w:r w:rsidR="006E2F22" w:rsidRPr="00F22A05">
        <w:t>. T</w:t>
      </w:r>
      <w:r w:rsidRPr="00F22A05">
        <w:t xml:space="preserve">he provisions of Section </w:t>
      </w:r>
      <w:r w:rsidR="00B722B3" w:rsidRPr="00F22A05">
        <w:t>4.2.2.7.1.4</w:t>
      </w:r>
      <w:r w:rsidRPr="00F22A05">
        <w:t xml:space="preserve">, Section </w:t>
      </w:r>
      <w:r w:rsidR="00B722B3" w:rsidRPr="00F22A05">
        <w:t>4.2.2.7.2.11</w:t>
      </w:r>
      <w:r w:rsidR="00066EC5" w:rsidRPr="00F22A05">
        <w:t xml:space="preserve"> </w:t>
      </w:r>
      <w:r w:rsidRPr="00F22A05">
        <w:t xml:space="preserve">and Section </w:t>
      </w:r>
      <w:r w:rsidR="006A63CA" w:rsidRPr="00F22A05">
        <w:t>4.2.2.7.2.11</w:t>
      </w:r>
      <w:r w:rsidR="00066EC5" w:rsidRPr="00F22A05">
        <w:t xml:space="preserve"> </w:t>
      </w:r>
      <w:r w:rsidRPr="00F22A05">
        <w:t>shall be followed to determine appropriate inputs to the calculations.</w:t>
      </w:r>
    </w:p>
    <w:p w14:paraId="0510BAF6" w14:textId="08A3F2D4" w:rsidR="008F1DC1" w:rsidRPr="00F22A05" w:rsidRDefault="008F1DC1" w:rsidP="005A2ADF">
      <w:pPr>
        <w:pStyle w:val="seven"/>
        <w:numPr>
          <w:ilvl w:val="0"/>
          <w:numId w:val="0"/>
        </w:numPr>
        <w:ind w:left="3600"/>
      </w:pPr>
      <w:r w:rsidRPr="00F22A05">
        <w:t>If the Rated Home includes a hot water recirculation system</w:t>
      </w:r>
      <w:r w:rsidR="009E4BC6" w:rsidRPr="00F22A05">
        <w:t xml:space="preserve"> either within the </w:t>
      </w:r>
      <w:r w:rsidR="002E7CB5" w:rsidRPr="00F22A05">
        <w:t>D</w:t>
      </w:r>
      <w:r w:rsidR="009E4BC6" w:rsidRPr="00F22A05">
        <w:t xml:space="preserve">welling </w:t>
      </w:r>
      <w:r w:rsidR="002E7CB5" w:rsidRPr="00F22A05">
        <w:t>U</w:t>
      </w:r>
      <w:r w:rsidR="009E4BC6" w:rsidRPr="00F22A05">
        <w:t xml:space="preserve">nit or in the form of a </w:t>
      </w:r>
      <w:r w:rsidR="002A1870" w:rsidRPr="00F22A05">
        <w:t>shared</w:t>
      </w:r>
      <w:r w:rsidR="009E4BC6" w:rsidRPr="00F22A05">
        <w:t xml:space="preserve"> recirculation system serving multiple </w:t>
      </w:r>
      <w:r w:rsidR="002E7CB5" w:rsidRPr="00F22A05">
        <w:t>D</w:t>
      </w:r>
      <w:r w:rsidR="009E4BC6" w:rsidRPr="00F22A05">
        <w:t xml:space="preserve">welling </w:t>
      </w:r>
      <w:r w:rsidR="002E7CB5" w:rsidRPr="00F22A05">
        <w:t>U</w:t>
      </w:r>
      <w:r w:rsidR="009E4BC6" w:rsidRPr="00F22A05">
        <w:t>nits</w:t>
      </w:r>
      <w:r w:rsidRPr="00F22A05">
        <w:t xml:space="preserve">, </w:t>
      </w:r>
      <w:r w:rsidR="009E4BC6" w:rsidRPr="00F22A05">
        <w:t xml:space="preserve">then </w:t>
      </w:r>
      <w:r w:rsidRPr="00F22A05">
        <w:t xml:space="preserve">the annual electric consumption of the recirculation pump shall be added to the total hot water energy consumption. The </w:t>
      </w:r>
      <w:r w:rsidR="00166D3B" w:rsidRPr="00F22A05">
        <w:rPr>
          <w:u w:val="single"/>
        </w:rPr>
        <w:t xml:space="preserve">hourly </w:t>
      </w:r>
      <w:r w:rsidRPr="00F22A05">
        <w:t xml:space="preserve">recirculation pump </w:t>
      </w:r>
      <w:r w:rsidRPr="00F22A05">
        <w:rPr>
          <w:strike/>
        </w:rPr>
        <w:t>kWh/</w:t>
      </w:r>
      <w:proofErr w:type="spellStart"/>
      <w:r w:rsidRPr="00F22A05">
        <w:rPr>
          <w:strike/>
        </w:rPr>
        <w:t>y</w:t>
      </w:r>
      <w:r w:rsidR="00166D3B" w:rsidRPr="00F22A05">
        <w:rPr>
          <w:u w:val="single"/>
        </w:rPr>
        <w:t>energy</w:t>
      </w:r>
      <w:proofErr w:type="spellEnd"/>
      <w:r w:rsidRPr="00F22A05">
        <w:t xml:space="preserve"> shall be calculated using Equation </w:t>
      </w:r>
      <w:r w:rsidR="007B150B" w:rsidRPr="00F22A05">
        <w:t>4.2-4</w:t>
      </w:r>
      <w:r w:rsidR="007650BA" w:rsidRPr="00F22A05">
        <w:t>3</w:t>
      </w:r>
      <w:r w:rsidR="007B150B" w:rsidRPr="00F22A05">
        <w:t>a</w:t>
      </w:r>
      <w:r w:rsidR="00811C8B" w:rsidRPr="00F22A05">
        <w:t xml:space="preserve"> </w:t>
      </w:r>
      <w:r w:rsidR="009E4BC6" w:rsidRPr="00F22A05">
        <w:t xml:space="preserve">for recirculation systems located completely within the </w:t>
      </w:r>
      <w:r w:rsidR="002E7CB5" w:rsidRPr="00F22A05">
        <w:t>D</w:t>
      </w:r>
      <w:r w:rsidR="009E4BC6" w:rsidRPr="00F22A05">
        <w:t xml:space="preserve">welling </w:t>
      </w:r>
      <w:r w:rsidR="002E7CB5" w:rsidRPr="00F22A05">
        <w:t>U</w:t>
      </w:r>
      <w:r w:rsidR="009E4BC6" w:rsidRPr="00F22A05">
        <w:t xml:space="preserve">nit.  The </w:t>
      </w:r>
      <w:r w:rsidR="002A1870" w:rsidRPr="00F22A05">
        <w:t>shared</w:t>
      </w:r>
      <w:r w:rsidR="009E4BC6" w:rsidRPr="00F22A05">
        <w:t xml:space="preserve"> recirculation pump </w:t>
      </w:r>
      <w:r w:rsidR="009E4BC6" w:rsidRPr="00F22A05">
        <w:rPr>
          <w:strike/>
        </w:rPr>
        <w:t>kWh/</w:t>
      </w:r>
      <w:proofErr w:type="spellStart"/>
      <w:r w:rsidR="009E4BC6" w:rsidRPr="00F22A05">
        <w:rPr>
          <w:strike/>
        </w:rPr>
        <w:t>y</w:t>
      </w:r>
      <w:r w:rsidR="00337299" w:rsidRPr="00F22A05">
        <w:rPr>
          <w:u w:val="single"/>
        </w:rPr>
        <w:t>energy</w:t>
      </w:r>
      <w:proofErr w:type="spellEnd"/>
      <w:r w:rsidR="009E4BC6" w:rsidRPr="00F22A05">
        <w:t xml:space="preserve"> shall be calculated using Equation </w:t>
      </w:r>
      <w:r w:rsidR="007B150B" w:rsidRPr="00F22A05">
        <w:t>4.2-4</w:t>
      </w:r>
      <w:r w:rsidR="007650BA" w:rsidRPr="00F22A05">
        <w:t>3</w:t>
      </w:r>
      <w:r w:rsidR="007B150B" w:rsidRPr="00F22A05">
        <w:t>b</w:t>
      </w:r>
      <w:r w:rsidR="00811C8B" w:rsidRPr="00F22A05">
        <w:t xml:space="preserve"> </w:t>
      </w:r>
      <w:r w:rsidR="009E4BC6" w:rsidRPr="00F22A05">
        <w:t xml:space="preserve">for </w:t>
      </w:r>
      <w:r w:rsidR="002A1870" w:rsidRPr="00F22A05">
        <w:t xml:space="preserve">shared </w:t>
      </w:r>
      <w:r w:rsidR="009E4BC6" w:rsidRPr="00F22A05">
        <w:t xml:space="preserve">recirculation systems serving multiple </w:t>
      </w:r>
      <w:r w:rsidR="002E7CB5" w:rsidRPr="00F22A05">
        <w:t>D</w:t>
      </w:r>
      <w:r w:rsidR="009E4BC6" w:rsidRPr="00F22A05">
        <w:t xml:space="preserve">welling </w:t>
      </w:r>
      <w:r w:rsidR="002E7CB5" w:rsidRPr="00F22A05">
        <w:t>U</w:t>
      </w:r>
      <w:r w:rsidR="009E4BC6" w:rsidRPr="00F22A05">
        <w:t>nits.</w:t>
      </w:r>
      <w:r w:rsidR="002560AB" w:rsidRPr="00F22A05">
        <w:t xml:space="preserve"> The recirculation pump </w:t>
      </w:r>
      <w:r w:rsidR="002560AB" w:rsidRPr="00F22A05">
        <w:rPr>
          <w:strike/>
        </w:rPr>
        <w:t>kWh/</w:t>
      </w:r>
      <w:proofErr w:type="spellStart"/>
      <w:r w:rsidR="002560AB" w:rsidRPr="00F22A05">
        <w:rPr>
          <w:strike/>
        </w:rPr>
        <w:t>y</w:t>
      </w:r>
      <w:r w:rsidR="00645B02" w:rsidRPr="00F22A05">
        <w:rPr>
          <w:u w:val="single"/>
        </w:rPr>
        <w:t>energy</w:t>
      </w:r>
      <w:proofErr w:type="spellEnd"/>
      <w:r w:rsidR="002560AB" w:rsidRPr="00F22A05">
        <w:t xml:space="preserve"> shall be pro-rated to a Dwelling Unit based on its number</w:t>
      </w:r>
      <w:r w:rsidR="002560AB" w:rsidRPr="00F22A05">
        <w:rPr>
          <w:u w:val="single"/>
        </w:rPr>
        <w:t xml:space="preserve"> </w:t>
      </w:r>
      <w:r w:rsidR="002560AB" w:rsidRPr="00F22A05">
        <w:t>of Bedrooms relative to the total number of Bedrooms of all Dwelling Units served by the hot water recirculation system.</w:t>
      </w:r>
      <w:r w:rsidR="00A12F37" w:rsidRPr="00F22A05">
        <w:rPr>
          <w:b/>
          <w:vertAlign w:val="superscript"/>
        </w:rPr>
        <w:t xml:space="preserve"> </w:t>
      </w:r>
      <w:r w:rsidR="007B3AFD" w:rsidRPr="00DC54A7">
        <w:rPr>
          <w:b/>
          <w:color w:val="0070C0"/>
          <w:vertAlign w:val="superscript"/>
        </w:rPr>
        <w:t>(1)</w:t>
      </w:r>
    </w:p>
    <w:p w14:paraId="74C6645B" w14:textId="77777777" w:rsidR="001A2206" w:rsidRDefault="001A2206" w:rsidP="005A2ADF">
      <w:pPr>
        <w:pStyle w:val="seven"/>
        <w:numPr>
          <w:ilvl w:val="0"/>
          <w:numId w:val="0"/>
        </w:numPr>
        <w:ind w:left="3600"/>
      </w:pPr>
    </w:p>
    <w:p w14:paraId="7929AF8B" w14:textId="77777777" w:rsidR="00BC35C6" w:rsidRDefault="00BC35C6" w:rsidP="005A2ADF">
      <w:pPr>
        <w:pStyle w:val="seven"/>
        <w:numPr>
          <w:ilvl w:val="0"/>
          <w:numId w:val="0"/>
        </w:numPr>
        <w:ind w:left="3600"/>
      </w:pPr>
    </w:p>
    <w:p w14:paraId="31EAD7A1" w14:textId="77777777" w:rsidR="00BC35C6" w:rsidRPr="00F22A05" w:rsidRDefault="00BC35C6" w:rsidP="005A2ADF">
      <w:pPr>
        <w:pStyle w:val="seven"/>
        <w:numPr>
          <w:ilvl w:val="0"/>
          <w:numId w:val="0"/>
        </w:numPr>
        <w:ind w:left="3600"/>
      </w:pPr>
    </w:p>
    <w:p w14:paraId="6DE11A26" w14:textId="6B418C5B" w:rsidR="008F1DC1" w:rsidRPr="00F22A05" w:rsidRDefault="008F1DC1" w:rsidP="0025098F">
      <w:pPr>
        <w:tabs>
          <w:tab w:val="right" w:pos="9360"/>
        </w:tabs>
        <w:ind w:left="2610"/>
        <w:rPr>
          <w:b/>
        </w:rPr>
      </w:pPr>
      <w:proofErr w:type="spellStart"/>
      <w:r w:rsidRPr="007D478A">
        <w:rPr>
          <w:bCs/>
        </w:rPr>
        <w:t>pumpkWh</w:t>
      </w:r>
      <w:proofErr w:type="spellEnd"/>
      <w:r w:rsidRPr="007D478A">
        <w:rPr>
          <w:bCs/>
          <w:strike/>
        </w:rPr>
        <w:t>/y</w:t>
      </w:r>
      <w:r w:rsidRPr="007D478A">
        <w:rPr>
          <w:bCs/>
        </w:rPr>
        <w:t xml:space="preserve"> = </w:t>
      </w:r>
      <w:r w:rsidR="00790320" w:rsidRPr="007D478A">
        <w:rPr>
          <w:bCs/>
          <w:u w:val="single"/>
        </w:rPr>
        <w:t>(</w:t>
      </w:r>
      <w:r w:rsidR="002B7160" w:rsidRPr="007D478A">
        <w:rPr>
          <w:bCs/>
          <w:u w:val="single"/>
        </w:rPr>
        <w:t>(</w:t>
      </w:r>
      <w:proofErr w:type="spellStart"/>
      <w:r w:rsidRPr="007D478A">
        <w:rPr>
          <w:bCs/>
        </w:rPr>
        <w:t>pumpW</w:t>
      </w:r>
      <w:proofErr w:type="spellEnd"/>
      <w:r w:rsidRPr="007D478A">
        <w:rPr>
          <w:bCs/>
        </w:rPr>
        <w:t xml:space="preserve"> * </w:t>
      </w:r>
      <w:proofErr w:type="spellStart"/>
      <w:r w:rsidRPr="007D478A">
        <w:rPr>
          <w:bCs/>
        </w:rPr>
        <w:t>Efact</w:t>
      </w:r>
      <w:proofErr w:type="spellEnd"/>
      <w:r w:rsidR="00790320" w:rsidRPr="007D478A">
        <w:rPr>
          <w:bCs/>
          <w:u w:val="single"/>
        </w:rPr>
        <w:t>)/</w:t>
      </w:r>
      <w:proofErr w:type="gramStart"/>
      <w:r w:rsidR="00790320" w:rsidRPr="007D478A">
        <w:rPr>
          <w:bCs/>
          <w:u w:val="single"/>
        </w:rPr>
        <w:t>365)*</w:t>
      </w:r>
      <w:proofErr w:type="spellStart"/>
      <w:proofErr w:type="gramEnd"/>
      <w:r w:rsidR="00790320" w:rsidRPr="007D478A">
        <w:rPr>
          <w:bCs/>
          <w:u w:val="single"/>
        </w:rPr>
        <w:t>h</w:t>
      </w:r>
      <w:r w:rsidR="00790320" w:rsidRPr="007D478A">
        <w:rPr>
          <w:bCs/>
          <w:u w:val="single"/>
          <w:vertAlign w:val="subscript"/>
        </w:rPr>
        <w:t>RP</w:t>
      </w:r>
      <w:proofErr w:type="spellEnd"/>
      <w:r w:rsidR="0025098F" w:rsidRPr="007D478A">
        <w:rPr>
          <w:bCs/>
        </w:rPr>
        <w:t xml:space="preserve"> </w:t>
      </w:r>
      <w:r w:rsidRPr="007D478A">
        <w:rPr>
          <w:bCs/>
        </w:rPr>
        <w:tab/>
      </w:r>
      <w:r w:rsidRPr="00F22A05">
        <w:rPr>
          <w:b/>
        </w:rPr>
        <w:t>(</w:t>
      </w:r>
      <w:r w:rsidR="00A25E21" w:rsidRPr="00F22A05">
        <w:rPr>
          <w:b/>
        </w:rPr>
        <w:t>Equation</w:t>
      </w:r>
      <w:r w:rsidRPr="00F22A05">
        <w:rPr>
          <w:b/>
        </w:rPr>
        <w:t xml:space="preserve"> 4.2-</w:t>
      </w:r>
      <w:r w:rsidR="00E71E24" w:rsidRPr="00F22A05">
        <w:rPr>
          <w:b/>
        </w:rPr>
        <w:t>4</w:t>
      </w:r>
      <w:r w:rsidR="007650BA" w:rsidRPr="00F22A05">
        <w:rPr>
          <w:b/>
        </w:rPr>
        <w:t>3</w:t>
      </w:r>
      <w:r w:rsidR="00E71E24" w:rsidRPr="00F22A05">
        <w:rPr>
          <w:b/>
        </w:rPr>
        <w:t>a</w:t>
      </w:r>
      <w:r w:rsidRPr="00F22A05">
        <w:rPr>
          <w:b/>
        </w:rPr>
        <w:t>)</w:t>
      </w:r>
      <w:r w:rsidR="00A12F37" w:rsidRPr="00F22A05">
        <w:rPr>
          <w:b/>
          <w:vertAlign w:val="superscript"/>
        </w:rPr>
        <w:t xml:space="preserve"> </w:t>
      </w:r>
    </w:p>
    <w:p w14:paraId="6FB51924" w14:textId="77777777" w:rsidR="008F1DC1" w:rsidRPr="00F22A05" w:rsidRDefault="008F1DC1" w:rsidP="0025098F">
      <w:pPr>
        <w:pStyle w:val="where1"/>
        <w:ind w:left="3240"/>
      </w:pPr>
      <w:r w:rsidRPr="00F22A05">
        <w:t>where:</w:t>
      </w:r>
    </w:p>
    <w:p w14:paraId="28C30711" w14:textId="77777777" w:rsidR="0025098F" w:rsidRPr="00F22A05" w:rsidRDefault="00D11A1A" w:rsidP="0025098F">
      <w:pPr>
        <w:pStyle w:val="equals"/>
        <w:tabs>
          <w:tab w:val="clear" w:pos="3060"/>
          <w:tab w:val="left" w:pos="4500"/>
        </w:tabs>
        <w:ind w:left="4680" w:hanging="1404"/>
      </w:pPr>
      <w:proofErr w:type="spellStart"/>
      <w:r w:rsidRPr="00F22A05">
        <w:t>pumpW</w:t>
      </w:r>
      <w:proofErr w:type="spellEnd"/>
      <w:r w:rsidRPr="00F22A05">
        <w:tab/>
      </w:r>
      <w:r w:rsidR="008F1DC1" w:rsidRPr="00F22A05">
        <w:t xml:space="preserve">= pump power in </w:t>
      </w:r>
      <w:r w:rsidR="008018C3" w:rsidRPr="00F22A05">
        <w:t>W</w:t>
      </w:r>
      <w:r w:rsidR="008F1DC1" w:rsidRPr="00F22A05">
        <w:t xml:space="preserve">atts (default </w:t>
      </w:r>
      <w:proofErr w:type="spellStart"/>
      <w:r w:rsidR="008F1DC1" w:rsidRPr="00F22A05">
        <w:t>pumpW</w:t>
      </w:r>
      <w:proofErr w:type="spellEnd"/>
      <w:r w:rsidR="008F1DC1" w:rsidRPr="00F22A05">
        <w:t xml:space="preserve"> = 50 </w:t>
      </w:r>
      <w:r w:rsidR="008018C3" w:rsidRPr="00F22A05">
        <w:t>W</w:t>
      </w:r>
      <w:r w:rsidR="008F1DC1" w:rsidRPr="00F22A05">
        <w:t>atts)</w:t>
      </w:r>
      <w:r w:rsidR="001B1D7C" w:rsidRPr="00F22A05">
        <w:t>.</w:t>
      </w:r>
    </w:p>
    <w:p w14:paraId="3845121D" w14:textId="76AAD439" w:rsidR="008F1DC1" w:rsidRPr="00F22A05" w:rsidRDefault="008F1DC1" w:rsidP="0025098F">
      <w:pPr>
        <w:pStyle w:val="equals"/>
        <w:tabs>
          <w:tab w:val="clear" w:pos="3060"/>
          <w:tab w:val="left" w:pos="4500"/>
        </w:tabs>
        <w:ind w:left="4680" w:hanging="1404"/>
        <w:rPr>
          <w:u w:val="single"/>
        </w:rPr>
      </w:pPr>
      <w:proofErr w:type="spellStart"/>
      <w:r w:rsidRPr="00F22A05">
        <w:t>Efact</w:t>
      </w:r>
      <w:proofErr w:type="spellEnd"/>
      <w:r w:rsidR="00D11A1A" w:rsidRPr="00F22A05">
        <w:tab/>
      </w:r>
      <w:r w:rsidRPr="00F22A05">
        <w:t>= factor selected from Table 4.2.2.5.2.11(5)</w:t>
      </w:r>
      <w:r w:rsidR="001B1D7C" w:rsidRPr="00F22A05">
        <w:t>.</w:t>
      </w:r>
      <w:r w:rsidR="00A12F37" w:rsidRPr="00F22A05">
        <w:rPr>
          <w:b/>
          <w:vertAlign w:val="superscript"/>
        </w:rPr>
        <w:t xml:space="preserve"> </w:t>
      </w:r>
      <w:r w:rsidR="007B3AFD" w:rsidRPr="00DC54A7">
        <w:rPr>
          <w:b/>
          <w:color w:val="0070C0"/>
          <w:vertAlign w:val="superscript"/>
        </w:rPr>
        <w:t>(1)</w:t>
      </w:r>
    </w:p>
    <w:p w14:paraId="67C731C7" w14:textId="1539A109" w:rsidR="00E97637" w:rsidRDefault="00E97637" w:rsidP="0025098F">
      <w:pPr>
        <w:pStyle w:val="equals"/>
        <w:tabs>
          <w:tab w:val="clear" w:pos="3060"/>
          <w:tab w:val="left" w:pos="4500"/>
        </w:tabs>
        <w:ind w:left="4680" w:hanging="1404"/>
        <w:rPr>
          <w:u w:val="single"/>
        </w:rPr>
      </w:pPr>
      <w:proofErr w:type="spellStart"/>
      <w:r w:rsidRPr="00F22A05">
        <w:rPr>
          <w:u w:val="single"/>
        </w:rPr>
        <w:t>h</w:t>
      </w:r>
      <w:r w:rsidRPr="00F22A05">
        <w:rPr>
          <w:u w:val="single"/>
          <w:vertAlign w:val="subscript"/>
        </w:rPr>
        <w:t>RP</w:t>
      </w:r>
      <w:proofErr w:type="spellEnd"/>
      <w:r w:rsidRPr="00F22A05">
        <w:rPr>
          <w:u w:val="single"/>
        </w:rPr>
        <w:tab/>
        <w:t xml:space="preserve">= </w:t>
      </w:r>
      <w:r w:rsidR="00FE4D0F" w:rsidRPr="00F22A05">
        <w:rPr>
          <w:u w:val="single"/>
        </w:rPr>
        <w:t xml:space="preserve">0.042 for recirculation without </w:t>
      </w:r>
      <w:r w:rsidR="009F6016" w:rsidRPr="00F22A05">
        <w:rPr>
          <w:u w:val="single"/>
        </w:rPr>
        <w:t xml:space="preserve">control, or the corresponding </w:t>
      </w:r>
      <w:r w:rsidR="000666A8" w:rsidRPr="00F22A05">
        <w:rPr>
          <w:u w:val="single"/>
        </w:rPr>
        <w:t xml:space="preserve">hourly profile schedule value for recirculation pumps in Normative Appendix </w:t>
      </w:r>
      <w:r w:rsidR="00B91AC8">
        <w:rPr>
          <w:strike/>
          <w:color w:val="FF0000"/>
          <w:u w:val="single"/>
        </w:rPr>
        <w:t>C.4</w:t>
      </w:r>
      <w:r w:rsidR="00E05DAC" w:rsidRPr="004508CC">
        <w:rPr>
          <w:color w:val="FF0000"/>
          <w:u w:val="single"/>
        </w:rPr>
        <w:t>C3</w:t>
      </w:r>
      <w:r w:rsidR="00E05DAC">
        <w:rPr>
          <w:bCs/>
          <w:u w:val="single"/>
        </w:rPr>
        <w:t xml:space="preserve">. </w:t>
      </w:r>
      <w:r w:rsidR="000666A8" w:rsidRPr="00F22A05">
        <w:rPr>
          <w:u w:val="single"/>
        </w:rPr>
        <w:t xml:space="preserve">Table </w:t>
      </w:r>
      <w:r w:rsidR="00B91AC8">
        <w:rPr>
          <w:strike/>
          <w:color w:val="FF0000"/>
          <w:u w:val="single"/>
        </w:rPr>
        <w:t>C.4</w:t>
      </w:r>
      <w:r w:rsidR="00540190" w:rsidRPr="004508CC">
        <w:rPr>
          <w:color w:val="FF0000"/>
          <w:u w:val="single"/>
        </w:rPr>
        <w:t>C</w:t>
      </w:r>
      <w:r w:rsidR="00A83513" w:rsidRPr="004508CC">
        <w:rPr>
          <w:color w:val="FF0000"/>
          <w:u w:val="single"/>
        </w:rPr>
        <w:t>.</w:t>
      </w:r>
      <w:r w:rsidR="005F01EE" w:rsidRPr="004508CC">
        <w:rPr>
          <w:color w:val="FF0000"/>
          <w:u w:val="single"/>
        </w:rPr>
        <w:t>3</w:t>
      </w:r>
      <w:r w:rsidR="00A83513" w:rsidRPr="00F22A05">
        <w:rPr>
          <w:u w:val="single"/>
        </w:rPr>
        <w:t>(</w:t>
      </w:r>
      <w:r w:rsidR="002D092D" w:rsidRPr="00F22A05">
        <w:rPr>
          <w:u w:val="single"/>
        </w:rPr>
        <w:t>5</w:t>
      </w:r>
      <w:r w:rsidR="00A83513" w:rsidRPr="00F22A05">
        <w:rPr>
          <w:u w:val="single"/>
        </w:rPr>
        <w:t xml:space="preserve">) </w:t>
      </w:r>
    </w:p>
    <w:p w14:paraId="047664AC" w14:textId="77777777" w:rsidR="007B3AFD" w:rsidRDefault="007B3AFD" w:rsidP="0025098F">
      <w:pPr>
        <w:pStyle w:val="equals"/>
        <w:tabs>
          <w:tab w:val="clear" w:pos="3060"/>
          <w:tab w:val="left" w:pos="4500"/>
        </w:tabs>
        <w:ind w:left="4680" w:hanging="1404"/>
        <w:rPr>
          <w:u w:val="single"/>
        </w:rPr>
      </w:pPr>
    </w:p>
    <w:p w14:paraId="34FB103E" w14:textId="77777777" w:rsidR="007B3AFD" w:rsidRPr="00F22A05" w:rsidRDefault="007B3AFD" w:rsidP="0025098F">
      <w:pPr>
        <w:pStyle w:val="equals"/>
        <w:tabs>
          <w:tab w:val="clear" w:pos="3060"/>
          <w:tab w:val="left" w:pos="4500"/>
        </w:tabs>
        <w:ind w:left="4680" w:hanging="1404"/>
      </w:pPr>
    </w:p>
    <w:p w14:paraId="4CD4C5E4" w14:textId="40E07685" w:rsidR="008F1DC1" w:rsidRPr="00F22A05" w:rsidRDefault="008F1DC1" w:rsidP="00F22703">
      <w:pPr>
        <w:tabs>
          <w:tab w:val="left" w:pos="748"/>
        </w:tabs>
        <w:spacing w:before="120"/>
        <w:ind w:left="1627" w:right="1166"/>
        <w:jc w:val="center"/>
        <w:rPr>
          <w:b/>
        </w:rPr>
      </w:pPr>
      <w:r w:rsidRPr="00F22A05">
        <w:rPr>
          <w:b/>
        </w:rPr>
        <w:t>Table 4.2.2.5.2.11(5) Annual electricity consumption factor for hot water recirculation system pumps</w:t>
      </w:r>
      <w:r w:rsidR="007B3AFD">
        <w:rPr>
          <w:b/>
        </w:rPr>
        <w:t xml:space="preserve"> </w:t>
      </w:r>
      <w:r w:rsidR="007B3AFD" w:rsidRPr="00DC54A7">
        <w:rPr>
          <w:b/>
          <w:color w:val="0070C0"/>
          <w:vertAlign w:val="superscript"/>
        </w:rPr>
        <w:t>(1)</w:t>
      </w:r>
    </w:p>
    <w:tbl>
      <w:tblPr>
        <w:tblStyle w:val="TableGrid"/>
        <w:tblW w:w="0" w:type="auto"/>
        <w:tblInd w:w="1728" w:type="dxa"/>
        <w:tblLook w:val="0000" w:firstRow="0" w:lastRow="0" w:firstColumn="0" w:lastColumn="0" w:noHBand="0" w:noVBand="0"/>
      </w:tblPr>
      <w:tblGrid>
        <w:gridCol w:w="5778"/>
        <w:gridCol w:w="900"/>
      </w:tblGrid>
      <w:tr w:rsidR="00F22A05" w:rsidRPr="00F22A05" w14:paraId="6F7BB339" w14:textId="77777777" w:rsidTr="00F22703">
        <w:trPr>
          <w:trHeight w:val="147"/>
        </w:trPr>
        <w:tc>
          <w:tcPr>
            <w:tcW w:w="5778" w:type="dxa"/>
            <w:vAlign w:val="center"/>
          </w:tcPr>
          <w:p w14:paraId="19B89020" w14:textId="77777777" w:rsidR="008F1DC1" w:rsidRPr="00F22A05" w:rsidRDefault="008F1DC1" w:rsidP="00F22703">
            <w:pPr>
              <w:tabs>
                <w:tab w:val="left" w:pos="748"/>
              </w:tabs>
              <w:rPr>
                <w:b/>
              </w:rPr>
            </w:pPr>
            <w:r w:rsidRPr="00F22A05">
              <w:rPr>
                <w:b/>
              </w:rPr>
              <w:t>Recirculation System Description</w:t>
            </w:r>
            <w:r w:rsidRPr="00F22A05">
              <w:rPr>
                <w:b/>
                <w:bCs/>
              </w:rPr>
              <w:t xml:space="preserve"> </w:t>
            </w:r>
          </w:p>
        </w:tc>
        <w:tc>
          <w:tcPr>
            <w:tcW w:w="900" w:type="dxa"/>
            <w:vAlign w:val="center"/>
          </w:tcPr>
          <w:p w14:paraId="587DDC5D" w14:textId="77777777" w:rsidR="008F1DC1" w:rsidRPr="00F22A05" w:rsidRDefault="008F1DC1" w:rsidP="00F22703">
            <w:pPr>
              <w:tabs>
                <w:tab w:val="left" w:pos="748"/>
              </w:tabs>
              <w:jc w:val="center"/>
              <w:rPr>
                <w:b/>
              </w:rPr>
            </w:pPr>
            <w:proofErr w:type="spellStart"/>
            <w:r w:rsidRPr="00F22A05">
              <w:rPr>
                <w:b/>
              </w:rPr>
              <w:t>Efact</w:t>
            </w:r>
            <w:proofErr w:type="spellEnd"/>
          </w:p>
        </w:tc>
      </w:tr>
      <w:tr w:rsidR="00F22A05" w:rsidRPr="00F22A05" w14:paraId="72D8810D" w14:textId="77777777" w:rsidTr="00F22703">
        <w:trPr>
          <w:trHeight w:val="145"/>
        </w:trPr>
        <w:tc>
          <w:tcPr>
            <w:tcW w:w="5778" w:type="dxa"/>
            <w:vAlign w:val="center"/>
          </w:tcPr>
          <w:p w14:paraId="779790EF" w14:textId="77777777" w:rsidR="008F1DC1" w:rsidRPr="00F22A05" w:rsidRDefault="008F1DC1" w:rsidP="00F22703">
            <w:pPr>
              <w:tabs>
                <w:tab w:val="left" w:pos="748"/>
              </w:tabs>
            </w:pPr>
            <w:r w:rsidRPr="00F22A05">
              <w:t>Recirculation without control or with timer control</w:t>
            </w:r>
            <w:r w:rsidRPr="00F22A05">
              <w:rPr>
                <w:bCs/>
              </w:rPr>
              <w:t xml:space="preserve"> </w:t>
            </w:r>
          </w:p>
        </w:tc>
        <w:tc>
          <w:tcPr>
            <w:tcW w:w="900" w:type="dxa"/>
            <w:vAlign w:val="center"/>
          </w:tcPr>
          <w:p w14:paraId="0CA00B27" w14:textId="77777777" w:rsidR="008F1DC1" w:rsidRPr="00F22A05" w:rsidRDefault="008F1DC1" w:rsidP="00F22703">
            <w:pPr>
              <w:tabs>
                <w:tab w:val="left" w:pos="748"/>
              </w:tabs>
              <w:jc w:val="center"/>
            </w:pPr>
            <w:r w:rsidRPr="00F22A05">
              <w:t>8.76</w:t>
            </w:r>
          </w:p>
        </w:tc>
      </w:tr>
      <w:tr w:rsidR="00F22A05" w:rsidRPr="00F22A05" w14:paraId="1C957EB0" w14:textId="77777777" w:rsidTr="00F22703">
        <w:trPr>
          <w:trHeight w:val="145"/>
        </w:trPr>
        <w:tc>
          <w:tcPr>
            <w:tcW w:w="5778" w:type="dxa"/>
            <w:vAlign w:val="center"/>
          </w:tcPr>
          <w:p w14:paraId="76DBBE2A" w14:textId="77777777" w:rsidR="008F1DC1" w:rsidRPr="00F22A05" w:rsidRDefault="008F1DC1" w:rsidP="00F22703">
            <w:pPr>
              <w:tabs>
                <w:tab w:val="left" w:pos="748"/>
              </w:tabs>
            </w:pPr>
            <w:r w:rsidRPr="00F22A05">
              <w:t>Recirculation with temperature control</w:t>
            </w:r>
            <w:r w:rsidRPr="00F22A05">
              <w:rPr>
                <w:bCs/>
              </w:rPr>
              <w:t xml:space="preserve"> </w:t>
            </w:r>
          </w:p>
        </w:tc>
        <w:tc>
          <w:tcPr>
            <w:tcW w:w="900" w:type="dxa"/>
            <w:vAlign w:val="center"/>
          </w:tcPr>
          <w:p w14:paraId="671B4791" w14:textId="77777777" w:rsidR="008F1DC1" w:rsidRPr="00F22A05" w:rsidRDefault="008F1DC1" w:rsidP="00F22703">
            <w:pPr>
              <w:tabs>
                <w:tab w:val="left" w:pos="748"/>
              </w:tabs>
              <w:jc w:val="center"/>
            </w:pPr>
            <w:r w:rsidRPr="00F22A05">
              <w:t>1.46</w:t>
            </w:r>
          </w:p>
        </w:tc>
      </w:tr>
      <w:tr w:rsidR="00F22A05" w:rsidRPr="00F22A05" w14:paraId="5D858D87" w14:textId="77777777" w:rsidTr="00F22703">
        <w:trPr>
          <w:trHeight w:val="145"/>
        </w:trPr>
        <w:tc>
          <w:tcPr>
            <w:tcW w:w="5778" w:type="dxa"/>
            <w:vAlign w:val="center"/>
          </w:tcPr>
          <w:p w14:paraId="2E29E6D4" w14:textId="77777777" w:rsidR="008F1DC1" w:rsidRPr="00F22A05" w:rsidRDefault="008F1DC1" w:rsidP="00F22703">
            <w:pPr>
              <w:tabs>
                <w:tab w:val="left" w:pos="748"/>
              </w:tabs>
            </w:pPr>
            <w:r w:rsidRPr="00F22A05">
              <w:t>Recirculation with demand control (presence sensor)</w:t>
            </w:r>
            <w:r w:rsidRPr="00F22A05">
              <w:rPr>
                <w:bCs/>
              </w:rPr>
              <w:t xml:space="preserve"> </w:t>
            </w:r>
          </w:p>
        </w:tc>
        <w:tc>
          <w:tcPr>
            <w:tcW w:w="900" w:type="dxa"/>
            <w:vAlign w:val="center"/>
          </w:tcPr>
          <w:p w14:paraId="18891208" w14:textId="77777777" w:rsidR="008F1DC1" w:rsidRPr="00F22A05" w:rsidRDefault="008F1DC1" w:rsidP="00F22703">
            <w:pPr>
              <w:tabs>
                <w:tab w:val="left" w:pos="748"/>
              </w:tabs>
              <w:jc w:val="center"/>
            </w:pPr>
            <w:r w:rsidRPr="00F22A05">
              <w:t>0.15</w:t>
            </w:r>
          </w:p>
        </w:tc>
      </w:tr>
      <w:tr w:rsidR="008F1DC1" w:rsidRPr="00F22A05" w14:paraId="2550DC64" w14:textId="77777777" w:rsidTr="00F22703">
        <w:trPr>
          <w:trHeight w:val="145"/>
        </w:trPr>
        <w:tc>
          <w:tcPr>
            <w:tcW w:w="5778" w:type="dxa"/>
            <w:vAlign w:val="center"/>
          </w:tcPr>
          <w:p w14:paraId="67935EF7" w14:textId="77777777" w:rsidR="008F1DC1" w:rsidRPr="00F22A05" w:rsidRDefault="008F1DC1" w:rsidP="00F22703">
            <w:pPr>
              <w:tabs>
                <w:tab w:val="left" w:pos="748"/>
              </w:tabs>
            </w:pPr>
            <w:r w:rsidRPr="00F22A05">
              <w:t>Recirculation with demand control (manual)</w:t>
            </w:r>
            <w:r w:rsidRPr="00F22A05">
              <w:rPr>
                <w:bCs/>
              </w:rPr>
              <w:t xml:space="preserve"> </w:t>
            </w:r>
          </w:p>
        </w:tc>
        <w:tc>
          <w:tcPr>
            <w:tcW w:w="900" w:type="dxa"/>
            <w:vAlign w:val="center"/>
          </w:tcPr>
          <w:p w14:paraId="1BAF0B4A" w14:textId="77777777" w:rsidR="008F1DC1" w:rsidRPr="00F22A05" w:rsidRDefault="008F1DC1" w:rsidP="00F22703">
            <w:pPr>
              <w:tabs>
                <w:tab w:val="left" w:pos="748"/>
              </w:tabs>
              <w:jc w:val="center"/>
            </w:pPr>
            <w:r w:rsidRPr="00F22A05">
              <w:t>0.10</w:t>
            </w:r>
          </w:p>
        </w:tc>
      </w:tr>
    </w:tbl>
    <w:p w14:paraId="2A23BF3F" w14:textId="77777777" w:rsidR="009E4BC6" w:rsidRPr="00F22A05" w:rsidRDefault="009E4BC6" w:rsidP="00F22703">
      <w:pPr>
        <w:tabs>
          <w:tab w:val="left" w:pos="749"/>
        </w:tabs>
        <w:spacing w:before="120"/>
        <w:ind w:left="1440"/>
      </w:pPr>
    </w:p>
    <w:p w14:paraId="5A07E5A5" w14:textId="73C52C8B" w:rsidR="0025098F" w:rsidRPr="007D478A" w:rsidRDefault="00BE0B5F" w:rsidP="0025098F">
      <w:pPr>
        <w:tabs>
          <w:tab w:val="right" w:pos="9360"/>
        </w:tabs>
        <w:ind w:left="2610"/>
        <w:rPr>
          <w:bCs/>
        </w:rPr>
      </w:pPr>
      <w:proofErr w:type="spellStart"/>
      <w:r w:rsidRPr="007D478A">
        <w:rPr>
          <w:bCs/>
        </w:rPr>
        <w:t>Shared</w:t>
      </w:r>
      <w:r w:rsidR="00433596" w:rsidRPr="007D478A">
        <w:rPr>
          <w:bCs/>
        </w:rPr>
        <w:t>HW</w:t>
      </w:r>
      <w:r w:rsidR="009E4BC6" w:rsidRPr="007D478A">
        <w:rPr>
          <w:bCs/>
        </w:rPr>
        <w:t>pumpkWh</w:t>
      </w:r>
      <w:proofErr w:type="spellEnd"/>
      <w:r w:rsidR="009E4BC6" w:rsidRPr="007D478A">
        <w:rPr>
          <w:bCs/>
          <w:strike/>
        </w:rPr>
        <w:t>/y</w:t>
      </w:r>
      <w:r w:rsidR="009E4BC6" w:rsidRPr="007D478A">
        <w:rPr>
          <w:bCs/>
        </w:rPr>
        <w:t xml:space="preserve"> = </w:t>
      </w:r>
      <w:r w:rsidR="00F04535" w:rsidRPr="007D478A">
        <w:rPr>
          <w:bCs/>
          <w:u w:val="single"/>
        </w:rPr>
        <w:t>((</w:t>
      </w:r>
      <w:proofErr w:type="spellStart"/>
      <w:r w:rsidRPr="007D478A">
        <w:rPr>
          <w:bCs/>
        </w:rPr>
        <w:t>S</w:t>
      </w:r>
      <w:r w:rsidR="00341C02" w:rsidRPr="007D478A">
        <w:rPr>
          <w:bCs/>
        </w:rPr>
        <w:t>HWP</w:t>
      </w:r>
      <w:r w:rsidR="00341C02" w:rsidRPr="007D478A">
        <w:rPr>
          <w:bCs/>
          <w:vertAlign w:val="subscript"/>
        </w:rPr>
        <w:t>kW</w:t>
      </w:r>
      <w:proofErr w:type="spellEnd"/>
      <w:r w:rsidR="00253019" w:rsidRPr="007D478A">
        <w:rPr>
          <w:bCs/>
        </w:rPr>
        <w:t>*</w:t>
      </w:r>
      <w:proofErr w:type="spellStart"/>
      <w:r w:rsidR="00341C02" w:rsidRPr="007D478A">
        <w:rPr>
          <w:bCs/>
        </w:rPr>
        <w:t>OpHrs</w:t>
      </w:r>
      <w:proofErr w:type="spellEnd"/>
      <w:r w:rsidR="003817C5" w:rsidRPr="007D478A">
        <w:rPr>
          <w:bCs/>
        </w:rPr>
        <w:t>*(</w:t>
      </w:r>
      <w:proofErr w:type="spellStart"/>
      <w:r w:rsidR="003817C5" w:rsidRPr="007D478A">
        <w:rPr>
          <w:bCs/>
        </w:rPr>
        <w:t>N</w:t>
      </w:r>
      <w:r w:rsidR="003817C5" w:rsidRPr="007D478A">
        <w:rPr>
          <w:bCs/>
          <w:vertAlign w:val="subscript"/>
        </w:rPr>
        <w:t>br</w:t>
      </w:r>
      <w:proofErr w:type="spellEnd"/>
      <w:r w:rsidR="003817C5" w:rsidRPr="007D478A">
        <w:rPr>
          <w:bCs/>
        </w:rPr>
        <w:t>/</w:t>
      </w:r>
      <w:proofErr w:type="spellStart"/>
      <w:r w:rsidR="003817C5" w:rsidRPr="007D478A">
        <w:rPr>
          <w:bCs/>
        </w:rPr>
        <w:t>N</w:t>
      </w:r>
      <w:r w:rsidR="003817C5" w:rsidRPr="007D478A">
        <w:rPr>
          <w:bCs/>
          <w:vertAlign w:val="subscript"/>
        </w:rPr>
        <w:t>brtotdwu</w:t>
      </w:r>
      <w:proofErr w:type="spellEnd"/>
      <w:r w:rsidR="003817C5" w:rsidRPr="007D478A">
        <w:rPr>
          <w:bCs/>
        </w:rPr>
        <w:t>)</w:t>
      </w:r>
      <w:r w:rsidR="00F04535" w:rsidRPr="007D478A">
        <w:rPr>
          <w:bCs/>
          <w:u w:val="single"/>
        </w:rPr>
        <w:t>/</w:t>
      </w:r>
      <w:proofErr w:type="gramStart"/>
      <w:r w:rsidR="00F04535" w:rsidRPr="007D478A">
        <w:rPr>
          <w:bCs/>
          <w:u w:val="single"/>
        </w:rPr>
        <w:t>365)*</w:t>
      </w:r>
      <w:proofErr w:type="gramEnd"/>
      <w:r w:rsidR="00F04535" w:rsidRPr="007D478A">
        <w:rPr>
          <w:bCs/>
          <w:u w:val="single"/>
        </w:rPr>
        <w:t xml:space="preserve"> </w:t>
      </w:r>
      <w:proofErr w:type="spellStart"/>
      <w:r w:rsidR="00F04535" w:rsidRPr="007D478A">
        <w:rPr>
          <w:bCs/>
          <w:u w:val="single"/>
        </w:rPr>
        <w:t>h</w:t>
      </w:r>
      <w:r w:rsidR="00F04535" w:rsidRPr="007D478A">
        <w:rPr>
          <w:bCs/>
          <w:u w:val="single"/>
          <w:vertAlign w:val="subscript"/>
        </w:rPr>
        <w:t>RP</w:t>
      </w:r>
      <w:proofErr w:type="spellEnd"/>
      <w:r w:rsidR="009E4BC6" w:rsidRPr="007D478A">
        <w:rPr>
          <w:bCs/>
        </w:rPr>
        <w:tab/>
      </w:r>
    </w:p>
    <w:p w14:paraId="386CA256" w14:textId="20B516B7" w:rsidR="009E4BC6" w:rsidRPr="00F22A05" w:rsidRDefault="0025098F" w:rsidP="0025098F">
      <w:pPr>
        <w:tabs>
          <w:tab w:val="right" w:pos="9360"/>
        </w:tabs>
        <w:ind w:left="2610"/>
        <w:rPr>
          <w:b/>
        </w:rPr>
      </w:pPr>
      <w:r w:rsidRPr="00F22A05">
        <w:rPr>
          <w:b/>
        </w:rPr>
        <w:tab/>
      </w:r>
      <w:r w:rsidR="009E4BC6" w:rsidRPr="00F22A05">
        <w:rPr>
          <w:b/>
        </w:rPr>
        <w:t>(</w:t>
      </w:r>
      <w:r w:rsidR="00A25E21" w:rsidRPr="00F22A05">
        <w:rPr>
          <w:b/>
        </w:rPr>
        <w:t>Equation</w:t>
      </w:r>
      <w:r w:rsidR="002E7CB5" w:rsidRPr="00F22A05">
        <w:rPr>
          <w:b/>
        </w:rPr>
        <w:t xml:space="preserve"> </w:t>
      </w:r>
      <w:r w:rsidR="009E4BC6" w:rsidRPr="00F22A05">
        <w:rPr>
          <w:b/>
        </w:rPr>
        <w:t>4.2-</w:t>
      </w:r>
      <w:r w:rsidR="00E71E24" w:rsidRPr="00F22A05">
        <w:rPr>
          <w:b/>
        </w:rPr>
        <w:t>4</w:t>
      </w:r>
      <w:r w:rsidR="007650BA" w:rsidRPr="00F22A05">
        <w:rPr>
          <w:b/>
        </w:rPr>
        <w:t>3</w:t>
      </w:r>
      <w:r w:rsidR="00E71E24" w:rsidRPr="00F22A05">
        <w:rPr>
          <w:b/>
        </w:rPr>
        <w:t>b</w:t>
      </w:r>
      <w:r w:rsidR="009E4BC6" w:rsidRPr="00F22A05">
        <w:rPr>
          <w:b/>
        </w:rPr>
        <w:t>)</w:t>
      </w:r>
      <w:r w:rsidR="00A12F37" w:rsidRPr="00F22A05">
        <w:rPr>
          <w:b/>
          <w:vertAlign w:val="superscript"/>
        </w:rPr>
        <w:t xml:space="preserve"> </w:t>
      </w:r>
      <w:r w:rsidR="007B3AFD" w:rsidRPr="00DC54A7">
        <w:rPr>
          <w:b/>
          <w:color w:val="0070C0"/>
          <w:vertAlign w:val="superscript"/>
        </w:rPr>
        <w:t>(1)</w:t>
      </w:r>
    </w:p>
    <w:p w14:paraId="3A9C9DE6" w14:textId="77777777" w:rsidR="00253019" w:rsidRPr="00F22A05" w:rsidRDefault="00253019" w:rsidP="00CF3F89">
      <w:pPr>
        <w:pStyle w:val="where1"/>
        <w:ind w:left="3240"/>
      </w:pPr>
      <w:r w:rsidRPr="00F22A05">
        <w:t>where:</w:t>
      </w:r>
    </w:p>
    <w:p w14:paraId="25626689" w14:textId="074C35FB" w:rsidR="00341C02" w:rsidRPr="00F22A05" w:rsidRDefault="00BE0B5F" w:rsidP="00CF3F89">
      <w:pPr>
        <w:pStyle w:val="equals"/>
        <w:tabs>
          <w:tab w:val="clear" w:pos="3060"/>
          <w:tab w:val="left" w:pos="4500"/>
        </w:tabs>
        <w:ind w:left="4680" w:hanging="1404"/>
      </w:pPr>
      <w:proofErr w:type="spellStart"/>
      <w:r w:rsidRPr="00F22A05">
        <w:t>S</w:t>
      </w:r>
      <w:r w:rsidR="00341C02" w:rsidRPr="00F22A05">
        <w:t>HWP</w:t>
      </w:r>
      <w:r w:rsidR="00341C02" w:rsidRPr="00F22A05">
        <w:rPr>
          <w:vertAlign w:val="subscript"/>
        </w:rPr>
        <w:t>kW</w:t>
      </w:r>
      <w:proofErr w:type="spellEnd"/>
      <w:r w:rsidR="00E66FF7" w:rsidRPr="00F22A05">
        <w:rPr>
          <w:vertAlign w:val="subscript"/>
        </w:rPr>
        <w:tab/>
      </w:r>
      <w:r w:rsidR="00341C02" w:rsidRPr="00F22A05">
        <w:t xml:space="preserve">= </w:t>
      </w:r>
      <w:r w:rsidRPr="00F22A05">
        <w:t>Shared</w:t>
      </w:r>
      <w:r w:rsidR="00341C02" w:rsidRPr="00F22A05">
        <w:t xml:space="preserve"> HW pump power in kW. Convert HP to kW with the formula: </w:t>
      </w:r>
    </w:p>
    <w:p w14:paraId="4B045169" w14:textId="74083E93" w:rsidR="00341C02" w:rsidRPr="00F22A05" w:rsidRDefault="00E66FF7" w:rsidP="00CF3F89">
      <w:pPr>
        <w:pStyle w:val="equals"/>
        <w:tabs>
          <w:tab w:val="clear" w:pos="3060"/>
          <w:tab w:val="left" w:pos="4500"/>
        </w:tabs>
        <w:ind w:left="4680" w:hanging="1404"/>
      </w:pPr>
      <w:r w:rsidRPr="00F22A05">
        <w:t>kW</w:t>
      </w:r>
      <w:r w:rsidRPr="00F22A05">
        <w:tab/>
      </w:r>
      <w:r w:rsidR="00341C02" w:rsidRPr="00F22A05">
        <w:t>= HP x 0.746 / motor efficien</w:t>
      </w:r>
      <w:r w:rsidR="000737C2" w:rsidRPr="00F22A05">
        <w:t xml:space="preserve">cy. If pump motor efficiency is </w:t>
      </w:r>
      <w:r w:rsidR="00341C02" w:rsidRPr="00F22A05">
        <w:t>unknown, use 0.85.</w:t>
      </w:r>
      <w:r w:rsidR="0044136E" w:rsidRPr="00F22A05">
        <w:t xml:space="preserve"> If HP is unknown, use 0.25.</w:t>
      </w:r>
      <w:r w:rsidR="00341C02" w:rsidRPr="00F22A05">
        <w:rPr>
          <w:i/>
        </w:rPr>
        <w:tab/>
      </w:r>
    </w:p>
    <w:p w14:paraId="7FB41975" w14:textId="2053ECDF" w:rsidR="00341C02" w:rsidRPr="00F22A05" w:rsidRDefault="00E66FF7" w:rsidP="00CF3F89">
      <w:pPr>
        <w:pStyle w:val="equals"/>
        <w:tabs>
          <w:tab w:val="clear" w:pos="3060"/>
          <w:tab w:val="left" w:pos="4500"/>
        </w:tabs>
        <w:ind w:left="4680" w:hanging="1404"/>
      </w:pPr>
      <w:proofErr w:type="spellStart"/>
      <w:r w:rsidRPr="00F22A05">
        <w:t>OpHrs</w:t>
      </w:r>
      <w:proofErr w:type="spellEnd"/>
      <w:r w:rsidRPr="00F22A05">
        <w:tab/>
      </w:r>
      <w:r w:rsidR="00341C02" w:rsidRPr="00F22A05">
        <w:t xml:space="preserve">= </w:t>
      </w:r>
      <w:r w:rsidR="00DB470D" w:rsidRPr="00F22A05">
        <w:t xml:space="preserve">annual </w:t>
      </w:r>
      <w:r w:rsidR="00341C02" w:rsidRPr="00F22A05">
        <w:t>pump operating hours</w:t>
      </w:r>
      <w:r w:rsidR="006E2F22" w:rsidRPr="00F22A05">
        <w:t>.</w:t>
      </w:r>
    </w:p>
    <w:p w14:paraId="30C5EA85" w14:textId="7997BD6F" w:rsidR="00341C02" w:rsidRPr="00F22A05" w:rsidRDefault="00341C02" w:rsidP="00CF3F89">
      <w:pPr>
        <w:pStyle w:val="equals"/>
        <w:tabs>
          <w:tab w:val="clear" w:pos="3060"/>
          <w:tab w:val="left" w:pos="4500"/>
        </w:tabs>
        <w:ind w:left="4680" w:hanging="1404"/>
      </w:pPr>
      <w:r w:rsidRPr="00F22A05">
        <w:tab/>
        <w:t xml:space="preserve">= </w:t>
      </w:r>
      <w:r w:rsidR="00DB470D" w:rsidRPr="00F22A05">
        <w:t>730 [</w:t>
      </w:r>
      <w:r w:rsidRPr="00F22A05">
        <w:t xml:space="preserve">for </w:t>
      </w:r>
      <w:r w:rsidR="00DB470D" w:rsidRPr="00F22A05">
        <w:t>d</w:t>
      </w:r>
      <w:r w:rsidRPr="00F22A05">
        <w:t xml:space="preserve">emand </w:t>
      </w:r>
      <w:r w:rsidR="00DB470D" w:rsidRPr="00F22A05">
        <w:t>c</w:t>
      </w:r>
      <w:r w:rsidRPr="00F22A05">
        <w:t>ontrol</w:t>
      </w:r>
      <w:r w:rsidR="00DB470D" w:rsidRPr="00F22A05">
        <w:t>]</w:t>
      </w:r>
      <w:r w:rsidR="006E2F22" w:rsidRPr="00F22A05">
        <w:t>.</w:t>
      </w:r>
    </w:p>
    <w:p w14:paraId="60E70815" w14:textId="211929D9" w:rsidR="00341C02" w:rsidRPr="00F22A05" w:rsidRDefault="00341C02" w:rsidP="00CF3F89">
      <w:pPr>
        <w:pStyle w:val="equals"/>
        <w:tabs>
          <w:tab w:val="clear" w:pos="3060"/>
          <w:tab w:val="left" w:pos="4500"/>
        </w:tabs>
        <w:ind w:left="4680" w:hanging="1404"/>
      </w:pPr>
      <w:r w:rsidRPr="00F22A05">
        <w:tab/>
        <w:t xml:space="preserve">= </w:t>
      </w:r>
      <w:r w:rsidR="00F257AA" w:rsidRPr="00F22A05">
        <w:t>8760 [without control or with timer or temperature control].</w:t>
      </w:r>
    </w:p>
    <w:p w14:paraId="7096FACC" w14:textId="77777777" w:rsidR="00602A30" w:rsidRPr="00F22A05" w:rsidRDefault="00602A30" w:rsidP="00602A30">
      <w:pPr>
        <w:pStyle w:val="equals"/>
        <w:tabs>
          <w:tab w:val="clear" w:pos="3060"/>
          <w:tab w:val="left" w:pos="4500"/>
        </w:tabs>
        <w:ind w:left="4680" w:hanging="1404"/>
      </w:pPr>
      <w:proofErr w:type="spellStart"/>
      <w:r w:rsidRPr="00F22A05">
        <w:t>N</w:t>
      </w:r>
      <w:r w:rsidRPr="00F22A05">
        <w:rPr>
          <w:vertAlign w:val="subscript"/>
        </w:rPr>
        <w:t>br</w:t>
      </w:r>
      <w:proofErr w:type="spellEnd"/>
      <w:r w:rsidRPr="00F22A05">
        <w:tab/>
        <w:t>= number of Bedrooms in the Rated Home (rated Dwelling Unit), not less than 1.</w:t>
      </w:r>
    </w:p>
    <w:p w14:paraId="6B206715" w14:textId="77777777" w:rsidR="00602A30" w:rsidRPr="00F22A05" w:rsidRDefault="00602A30" w:rsidP="00602A30">
      <w:pPr>
        <w:pStyle w:val="equals"/>
        <w:tabs>
          <w:tab w:val="clear" w:pos="3060"/>
          <w:tab w:val="left" w:pos="4500"/>
        </w:tabs>
        <w:ind w:left="4680" w:hanging="1404"/>
      </w:pPr>
      <w:proofErr w:type="spellStart"/>
      <w:r w:rsidRPr="00F22A05">
        <w:t>N</w:t>
      </w:r>
      <w:r w:rsidRPr="00F22A05">
        <w:rPr>
          <w:vertAlign w:val="subscript"/>
        </w:rPr>
        <w:t>brtotdwu</w:t>
      </w:r>
      <w:proofErr w:type="spellEnd"/>
      <w:r w:rsidRPr="00F22A05">
        <w:tab/>
        <w:t>= total number of Bedrooms for all Dwelling Units served by the shared hot water recirculation system, not less than 1 per unit.</w:t>
      </w:r>
    </w:p>
    <w:p w14:paraId="6E0758E9" w14:textId="77777777" w:rsidR="009E4BC6" w:rsidRPr="00F22A05" w:rsidRDefault="009E4BC6" w:rsidP="00E66FF7">
      <w:pPr>
        <w:tabs>
          <w:tab w:val="left" w:pos="749"/>
          <w:tab w:val="left" w:pos="3150"/>
        </w:tabs>
        <w:spacing w:before="120"/>
        <w:ind w:left="1440"/>
      </w:pPr>
    </w:p>
    <w:p w14:paraId="2AEAD0A4" w14:textId="591F657F" w:rsidR="008F1DC1" w:rsidRPr="00F22A05" w:rsidRDefault="008F1DC1" w:rsidP="001A2206">
      <w:pPr>
        <w:pStyle w:val="seventh"/>
        <w:numPr>
          <w:ilvl w:val="0"/>
          <w:numId w:val="0"/>
        </w:numPr>
        <w:ind w:left="3420"/>
      </w:pPr>
      <w:r w:rsidRPr="00F22A05">
        <w:lastRenderedPageBreak/>
        <w:t>Results from standard hot water energy consumption data (</w:t>
      </w:r>
      <w:proofErr w:type="spellStart"/>
      <w:r w:rsidRPr="00F22A05">
        <w:t>stdECHW</w:t>
      </w:r>
      <w:proofErr w:type="spellEnd"/>
      <w:r w:rsidRPr="00F22A05">
        <w:t>)</w:t>
      </w:r>
      <w:r w:rsidR="00601D2A" w:rsidRPr="00F22A05">
        <w:rPr>
          <w:rStyle w:val="FootnoteReference"/>
        </w:rPr>
        <w:footnoteReference w:id="23"/>
      </w:r>
      <w:r w:rsidRPr="00F22A05">
        <w:t xml:space="preserve"> shall be adjusted to account for the energy delivery effectiveness of the hot water distribution system in accordance with </w:t>
      </w:r>
      <w:r w:rsidR="000B476C" w:rsidRPr="00F22A05">
        <w:t>E</w:t>
      </w:r>
      <w:r w:rsidRPr="00F22A05">
        <w:t xml:space="preserve">quation </w:t>
      </w:r>
      <w:r w:rsidR="007B150B" w:rsidRPr="00F22A05">
        <w:t>4.2-4</w:t>
      </w:r>
      <w:r w:rsidR="007650BA" w:rsidRPr="00F22A05">
        <w:t>4</w:t>
      </w:r>
      <w:r w:rsidRPr="00F22A05">
        <w:t>.</w:t>
      </w:r>
    </w:p>
    <w:p w14:paraId="244BB4CA" w14:textId="77777777" w:rsidR="005C2A83" w:rsidRPr="00F22A05" w:rsidRDefault="005C2A83" w:rsidP="001A2206">
      <w:pPr>
        <w:pStyle w:val="seventh"/>
        <w:numPr>
          <w:ilvl w:val="0"/>
          <w:numId w:val="0"/>
        </w:numPr>
        <w:ind w:left="3420"/>
      </w:pPr>
    </w:p>
    <w:p w14:paraId="2C328E1F" w14:textId="77777777" w:rsidR="00DB6D24" w:rsidRPr="00B223DE" w:rsidRDefault="008F1DC1" w:rsidP="00DB6D24">
      <w:pPr>
        <w:tabs>
          <w:tab w:val="right" w:pos="9360"/>
        </w:tabs>
        <w:ind w:left="3420"/>
        <w:rPr>
          <w:bCs/>
        </w:rPr>
      </w:pPr>
      <w:r w:rsidRPr="00B223DE">
        <w:rPr>
          <w:bCs/>
        </w:rPr>
        <w:t>EC</w:t>
      </w:r>
      <w:r w:rsidRPr="00B223DE">
        <w:rPr>
          <w:bCs/>
          <w:vertAlign w:val="subscript"/>
        </w:rPr>
        <w:t>HW</w:t>
      </w:r>
      <w:r w:rsidRPr="00B223DE">
        <w:rPr>
          <w:bCs/>
        </w:rPr>
        <w:t xml:space="preserve"> = </w:t>
      </w:r>
      <w:proofErr w:type="spellStart"/>
      <w:r w:rsidRPr="00B223DE">
        <w:rPr>
          <w:bCs/>
        </w:rPr>
        <w:t>stdEC</w:t>
      </w:r>
      <w:r w:rsidRPr="00B223DE">
        <w:rPr>
          <w:bCs/>
          <w:vertAlign w:val="subscript"/>
        </w:rPr>
        <w:t>HW</w:t>
      </w:r>
      <w:proofErr w:type="spellEnd"/>
      <w:r w:rsidRPr="00B223DE">
        <w:rPr>
          <w:bCs/>
        </w:rPr>
        <w:t xml:space="preserve"> * (</w:t>
      </w:r>
      <w:proofErr w:type="spellStart"/>
      <w:r w:rsidRPr="00B223DE">
        <w:rPr>
          <w:bCs/>
        </w:rPr>
        <w:t>E</w:t>
      </w:r>
      <w:r w:rsidRPr="00B223DE">
        <w:rPr>
          <w:bCs/>
          <w:vertAlign w:val="subscript"/>
        </w:rPr>
        <w:t>waste</w:t>
      </w:r>
      <w:proofErr w:type="spellEnd"/>
      <w:r w:rsidRPr="00B223DE">
        <w:rPr>
          <w:bCs/>
        </w:rPr>
        <w:t xml:space="preserve"> + 128) / 160</w:t>
      </w:r>
      <w:r w:rsidR="00DB6D24" w:rsidRPr="00B223DE">
        <w:rPr>
          <w:bCs/>
        </w:rPr>
        <w:t xml:space="preserve"> </w:t>
      </w:r>
      <w:r w:rsidRPr="00B223DE">
        <w:rPr>
          <w:bCs/>
        </w:rPr>
        <w:tab/>
      </w:r>
    </w:p>
    <w:p w14:paraId="0D52EFEF" w14:textId="3B0F6088" w:rsidR="008F1DC1" w:rsidRPr="00F22A05" w:rsidRDefault="00DB6D24" w:rsidP="00DB6D24">
      <w:pPr>
        <w:tabs>
          <w:tab w:val="right" w:pos="9360"/>
        </w:tabs>
        <w:ind w:left="3420"/>
        <w:rPr>
          <w:b/>
        </w:rPr>
      </w:pPr>
      <w:r w:rsidRPr="00F22A05">
        <w:rPr>
          <w:b/>
        </w:rPr>
        <w:tab/>
      </w:r>
      <w:r w:rsidR="008F1DC1" w:rsidRPr="00F22A05">
        <w:rPr>
          <w:b/>
        </w:rPr>
        <w:t>(</w:t>
      </w:r>
      <w:r w:rsidR="00A25E21" w:rsidRPr="00F22A05">
        <w:rPr>
          <w:b/>
        </w:rPr>
        <w:t>Equation</w:t>
      </w:r>
      <w:r w:rsidR="008F1DC1" w:rsidRPr="00F22A05">
        <w:rPr>
          <w:b/>
        </w:rPr>
        <w:t xml:space="preserve"> 4.2-</w:t>
      </w:r>
      <w:r w:rsidR="00E71E24" w:rsidRPr="00F22A05">
        <w:rPr>
          <w:b/>
        </w:rPr>
        <w:t>4</w:t>
      </w:r>
      <w:r w:rsidR="007650BA" w:rsidRPr="00F22A05">
        <w:rPr>
          <w:b/>
        </w:rPr>
        <w:t>4</w:t>
      </w:r>
      <w:r w:rsidR="008F1DC1" w:rsidRPr="00F22A05">
        <w:rPr>
          <w:b/>
        </w:rPr>
        <w:t>)</w:t>
      </w:r>
      <w:r w:rsidR="00A12F37" w:rsidRPr="00F22A05">
        <w:rPr>
          <w:b/>
          <w:vertAlign w:val="superscript"/>
        </w:rPr>
        <w:t xml:space="preserve"> </w:t>
      </w:r>
      <w:r w:rsidR="007B3AFD" w:rsidRPr="00DC54A7">
        <w:rPr>
          <w:b/>
          <w:color w:val="0070C0"/>
          <w:vertAlign w:val="superscript"/>
        </w:rPr>
        <w:t>(1)</w:t>
      </w:r>
    </w:p>
    <w:p w14:paraId="41CB5AD2" w14:textId="1E935678" w:rsidR="008F1DC1" w:rsidRPr="00F22A05" w:rsidRDefault="008F1DC1" w:rsidP="00DB6D24">
      <w:pPr>
        <w:pStyle w:val="where1"/>
        <w:ind w:left="3780" w:hanging="36"/>
      </w:pPr>
      <w:r w:rsidRPr="00F22A05">
        <w:t xml:space="preserve">where </w:t>
      </w:r>
      <w:proofErr w:type="spellStart"/>
      <w:r w:rsidRPr="00F22A05">
        <w:t>E</w:t>
      </w:r>
      <w:r w:rsidRPr="00F22A05">
        <w:rPr>
          <w:vertAlign w:val="subscript"/>
        </w:rPr>
        <w:t>waste</w:t>
      </w:r>
      <w:proofErr w:type="spellEnd"/>
      <w:r w:rsidRPr="00F22A05">
        <w:t xml:space="preserve"> is calculated in accordance with </w:t>
      </w:r>
      <w:r w:rsidR="00DB6D24" w:rsidRPr="00F22A05">
        <w:br/>
      </w:r>
      <w:r w:rsidR="000B476C" w:rsidRPr="00F22A05">
        <w:t>E</w:t>
      </w:r>
      <w:r w:rsidR="00DB6D24" w:rsidRPr="00F22A05">
        <w:t xml:space="preserve">quation </w:t>
      </w:r>
      <w:r w:rsidR="007B150B" w:rsidRPr="00F22A05">
        <w:t>4.2-4</w:t>
      </w:r>
      <w:r w:rsidR="007650BA" w:rsidRPr="00F22A05">
        <w:t>5</w:t>
      </w:r>
      <w:r w:rsidRPr="00F22A05">
        <w:t>.</w:t>
      </w:r>
    </w:p>
    <w:p w14:paraId="526F1A57" w14:textId="365411AE" w:rsidR="006D2D8F" w:rsidRPr="00F22A05" w:rsidRDefault="006D2D8F">
      <w:pPr>
        <w:spacing w:after="200" w:line="276" w:lineRule="auto"/>
        <w:rPr>
          <w:b/>
        </w:rPr>
      </w:pPr>
    </w:p>
    <w:p w14:paraId="1DF65F7E" w14:textId="77777777" w:rsidR="00A65CC0" w:rsidRDefault="008F1DC1" w:rsidP="00DB6D24">
      <w:pPr>
        <w:tabs>
          <w:tab w:val="right" w:pos="9360"/>
        </w:tabs>
        <w:ind w:left="3420"/>
        <w:rPr>
          <w:b/>
        </w:rPr>
      </w:pPr>
      <w:proofErr w:type="spellStart"/>
      <w:r w:rsidRPr="00B223DE">
        <w:rPr>
          <w:bCs/>
        </w:rPr>
        <w:t>E</w:t>
      </w:r>
      <w:r w:rsidRPr="00B223DE">
        <w:rPr>
          <w:bCs/>
          <w:vertAlign w:val="subscript"/>
        </w:rPr>
        <w:t>waste</w:t>
      </w:r>
      <w:proofErr w:type="spellEnd"/>
      <w:r w:rsidRPr="00B223DE">
        <w:rPr>
          <w:bCs/>
        </w:rPr>
        <w:t xml:space="preserve"> = </w:t>
      </w:r>
      <w:proofErr w:type="spellStart"/>
      <w:r w:rsidRPr="00B223DE">
        <w:rPr>
          <w:bCs/>
        </w:rPr>
        <w:t>oEW</w:t>
      </w:r>
      <w:r w:rsidRPr="00B223DE">
        <w:rPr>
          <w:bCs/>
          <w:vertAlign w:val="subscript"/>
        </w:rPr>
        <w:t>fact</w:t>
      </w:r>
      <w:proofErr w:type="spellEnd"/>
      <w:r w:rsidRPr="00B223DE">
        <w:rPr>
          <w:bCs/>
        </w:rPr>
        <w:t xml:space="preserve"> * (1-oCD</w:t>
      </w:r>
      <w:r w:rsidRPr="00B223DE">
        <w:rPr>
          <w:bCs/>
          <w:vertAlign w:val="subscript"/>
        </w:rPr>
        <w:t>eff</w:t>
      </w:r>
      <w:r w:rsidRPr="00B223DE">
        <w:rPr>
          <w:bCs/>
        </w:rPr>
        <w:t xml:space="preserve">) + </w:t>
      </w:r>
      <w:proofErr w:type="spellStart"/>
      <w:r w:rsidRPr="00B223DE">
        <w:rPr>
          <w:bCs/>
        </w:rPr>
        <w:t>sEW</w:t>
      </w:r>
      <w:r w:rsidRPr="00B223DE">
        <w:rPr>
          <w:bCs/>
          <w:vertAlign w:val="subscript"/>
        </w:rPr>
        <w:t>fact</w:t>
      </w:r>
      <w:proofErr w:type="spellEnd"/>
      <w:r w:rsidRPr="00B223DE">
        <w:rPr>
          <w:bCs/>
        </w:rPr>
        <w:t xml:space="preserve"> * </w:t>
      </w:r>
      <w:proofErr w:type="spellStart"/>
      <w:r w:rsidRPr="00B223DE">
        <w:rPr>
          <w:bCs/>
        </w:rPr>
        <w:t>pEratio</w:t>
      </w:r>
      <w:proofErr w:type="spellEnd"/>
      <w:r w:rsidRPr="00F22A05">
        <w:rPr>
          <w:b/>
        </w:rPr>
        <w:t xml:space="preserve"> </w:t>
      </w:r>
      <w:r w:rsidRPr="00F22A05">
        <w:rPr>
          <w:b/>
        </w:rPr>
        <w:tab/>
      </w:r>
    </w:p>
    <w:p w14:paraId="31681091" w14:textId="3ED44670" w:rsidR="008F1DC1" w:rsidRPr="00F22A05" w:rsidRDefault="00A65CC0" w:rsidP="00DB6D24">
      <w:pPr>
        <w:tabs>
          <w:tab w:val="right" w:pos="9360"/>
        </w:tabs>
        <w:ind w:left="3420"/>
        <w:rPr>
          <w:b/>
        </w:rPr>
      </w:pPr>
      <w:r>
        <w:rPr>
          <w:b/>
        </w:rPr>
        <w:tab/>
      </w:r>
      <w:r w:rsidR="008F1DC1" w:rsidRPr="00F22A05">
        <w:rPr>
          <w:b/>
        </w:rPr>
        <w:t>(</w:t>
      </w:r>
      <w:r w:rsidR="00A25E21" w:rsidRPr="00F22A05">
        <w:rPr>
          <w:b/>
        </w:rPr>
        <w:t>Equation</w:t>
      </w:r>
      <w:r w:rsidR="008F1DC1" w:rsidRPr="00F22A05">
        <w:rPr>
          <w:b/>
        </w:rPr>
        <w:t xml:space="preserve"> 4.2-</w:t>
      </w:r>
      <w:r w:rsidR="00E71E24" w:rsidRPr="00F22A05">
        <w:rPr>
          <w:b/>
        </w:rPr>
        <w:t>4</w:t>
      </w:r>
      <w:r w:rsidR="007650BA" w:rsidRPr="00F22A05">
        <w:rPr>
          <w:b/>
        </w:rPr>
        <w:t>5</w:t>
      </w:r>
      <w:r w:rsidR="008F1DC1" w:rsidRPr="00F22A05">
        <w:rPr>
          <w:b/>
        </w:rPr>
        <w:t>)</w:t>
      </w:r>
      <w:r w:rsidR="00A12F37" w:rsidRPr="00F22A05">
        <w:rPr>
          <w:b/>
          <w:vertAlign w:val="superscript"/>
        </w:rPr>
        <w:t xml:space="preserve"> </w:t>
      </w:r>
      <w:r w:rsidR="007B3AFD" w:rsidRPr="00DC54A7">
        <w:rPr>
          <w:b/>
          <w:color w:val="0070C0"/>
          <w:vertAlign w:val="superscript"/>
        </w:rPr>
        <w:t>(1)</w:t>
      </w:r>
    </w:p>
    <w:p w14:paraId="00506232" w14:textId="77777777" w:rsidR="008F1DC1" w:rsidRPr="00F22A05" w:rsidRDefault="008F1DC1" w:rsidP="00DB6D24">
      <w:pPr>
        <w:pStyle w:val="where1"/>
        <w:ind w:left="3780" w:hanging="36"/>
      </w:pPr>
      <w:r w:rsidRPr="00F22A05">
        <w:t>where:</w:t>
      </w:r>
    </w:p>
    <w:p w14:paraId="6689A68A" w14:textId="244903DB" w:rsidR="005A2ADF" w:rsidRPr="00F22A05" w:rsidRDefault="008F1DC1" w:rsidP="00DB6D24">
      <w:pPr>
        <w:pStyle w:val="equals"/>
        <w:tabs>
          <w:tab w:val="clear" w:pos="3060"/>
          <w:tab w:val="left" w:pos="4500"/>
        </w:tabs>
        <w:ind w:left="5490" w:hanging="1404"/>
      </w:pPr>
      <w:proofErr w:type="spellStart"/>
      <w:r w:rsidRPr="00F22A05">
        <w:t>oEW</w:t>
      </w:r>
      <w:r w:rsidRPr="00F22A05">
        <w:rPr>
          <w:vertAlign w:val="subscript"/>
        </w:rPr>
        <w:t>fact</w:t>
      </w:r>
      <w:proofErr w:type="spellEnd"/>
      <w:r w:rsidR="005A2ADF" w:rsidRPr="00F22A05">
        <w:tab/>
      </w:r>
      <w:r w:rsidRPr="00F22A05">
        <w:t xml:space="preserve">= </w:t>
      </w:r>
      <w:proofErr w:type="spellStart"/>
      <w:r w:rsidRPr="00F22A05">
        <w:t>EW</w:t>
      </w:r>
      <w:r w:rsidRPr="00F22A05">
        <w:rPr>
          <w:vertAlign w:val="subscript"/>
        </w:rPr>
        <w:t>fact</w:t>
      </w:r>
      <w:proofErr w:type="spellEnd"/>
      <w:r w:rsidR="005A2ADF" w:rsidRPr="00F22A05">
        <w:t xml:space="preserve"> * </w:t>
      </w:r>
      <w:proofErr w:type="spellStart"/>
      <w:r w:rsidR="005A2ADF" w:rsidRPr="00F22A05">
        <w:t>oFrac</w:t>
      </w:r>
      <w:proofErr w:type="spellEnd"/>
      <w:r w:rsidR="005A2ADF" w:rsidRPr="00F22A05">
        <w:t xml:space="preserve"> </w:t>
      </w:r>
    </w:p>
    <w:p w14:paraId="271E19E8" w14:textId="09F2D4CB" w:rsidR="008F1DC1" w:rsidRPr="00F22A05" w:rsidRDefault="005A2ADF" w:rsidP="00DB6D24">
      <w:pPr>
        <w:pStyle w:val="equals"/>
        <w:tabs>
          <w:tab w:val="clear" w:pos="3060"/>
          <w:tab w:val="left" w:pos="5490"/>
        </w:tabs>
        <w:ind w:left="5670" w:hanging="1584"/>
      </w:pPr>
      <w:r w:rsidRPr="00F22A05">
        <w:tab/>
      </w:r>
      <w:r w:rsidR="008F1DC1" w:rsidRPr="00F22A05">
        <w:t>= standard operating condition portion of hot water energy waste</w:t>
      </w:r>
      <w:r w:rsidR="001B1D7C" w:rsidRPr="00F22A05">
        <w:t>.</w:t>
      </w:r>
    </w:p>
    <w:p w14:paraId="48D4AA47" w14:textId="40C46E7B" w:rsidR="008F1DC1" w:rsidRPr="00F22A05" w:rsidRDefault="008F1DC1" w:rsidP="00DB6D24">
      <w:pPr>
        <w:pStyle w:val="where1"/>
        <w:ind w:left="3780" w:hanging="36"/>
      </w:pPr>
      <w:r w:rsidRPr="00F22A05">
        <w:t>where</w:t>
      </w:r>
      <w:r w:rsidR="001B1D7C" w:rsidRPr="00F22A05">
        <w:t>:</w:t>
      </w:r>
    </w:p>
    <w:p w14:paraId="2F28D02C" w14:textId="77777777" w:rsidR="00C32639" w:rsidRPr="00F22A05" w:rsidRDefault="008F1DC1" w:rsidP="00DB6D24">
      <w:pPr>
        <w:pStyle w:val="equals"/>
        <w:tabs>
          <w:tab w:val="clear" w:pos="3060"/>
          <w:tab w:val="left" w:pos="5490"/>
        </w:tabs>
        <w:ind w:left="5670" w:hanging="1584"/>
      </w:pPr>
      <w:proofErr w:type="spellStart"/>
      <w:r w:rsidRPr="00F22A05">
        <w:t>EW</w:t>
      </w:r>
      <w:r w:rsidRPr="00F22A05">
        <w:rPr>
          <w:vertAlign w:val="subscript"/>
        </w:rPr>
        <w:t>fact</w:t>
      </w:r>
      <w:proofErr w:type="spellEnd"/>
      <w:r w:rsidRPr="00F22A05">
        <w:t xml:space="preserve"> </w:t>
      </w:r>
      <w:r w:rsidR="005C504A" w:rsidRPr="00F22A05">
        <w:tab/>
      </w:r>
      <w:r w:rsidRPr="00F22A05">
        <w:t>= energy waste factor in accordance with</w:t>
      </w:r>
      <w:r w:rsidR="007F22F4" w:rsidRPr="00F22A05">
        <w:t xml:space="preserve"> </w:t>
      </w:r>
      <w:r w:rsidRPr="00F22A05">
        <w:t>Table 4.2.2.5.2.11(6)</w:t>
      </w:r>
      <w:r w:rsidR="001B1D7C" w:rsidRPr="00F22A05">
        <w:t>.</w:t>
      </w:r>
      <w:r w:rsidR="005A2ADF" w:rsidRPr="00F22A05">
        <w:t xml:space="preserve"> </w:t>
      </w:r>
    </w:p>
    <w:p w14:paraId="011FAE1D" w14:textId="526F9C7F" w:rsidR="00DB6D24" w:rsidRPr="00F22A05" w:rsidRDefault="008F1DC1" w:rsidP="00DB6D24">
      <w:pPr>
        <w:pStyle w:val="equals"/>
        <w:tabs>
          <w:tab w:val="clear" w:pos="3060"/>
          <w:tab w:val="left" w:pos="5490"/>
        </w:tabs>
        <w:ind w:left="5670" w:hanging="1584"/>
      </w:pPr>
      <w:proofErr w:type="spellStart"/>
      <w:r w:rsidRPr="00F22A05">
        <w:t>oCD</w:t>
      </w:r>
      <w:r w:rsidRPr="00F22A05">
        <w:rPr>
          <w:vertAlign w:val="subscript"/>
        </w:rPr>
        <w:t>eff</w:t>
      </w:r>
      <w:proofErr w:type="spellEnd"/>
      <w:r w:rsidRPr="00F22A05">
        <w:t xml:space="preserve"> is in accordance with Section</w:t>
      </w:r>
      <w:r w:rsidR="005157CD" w:rsidRPr="00F22A05">
        <w:t xml:space="preserve"> </w:t>
      </w:r>
      <w:r w:rsidR="0099511C" w:rsidRPr="00F22A05">
        <w:t>4.2.2.</w:t>
      </w:r>
      <w:r w:rsidR="000A5842" w:rsidRPr="00F22A05">
        <w:t>7.2.11</w:t>
      </w:r>
      <w:r w:rsidR="00D80B2F" w:rsidRPr="00F22A05" w:rsidDel="00D80B2F">
        <w:t xml:space="preserve"> </w:t>
      </w:r>
    </w:p>
    <w:p w14:paraId="6FA927A8" w14:textId="77777777" w:rsidR="00DB6D24" w:rsidRPr="00F22A05" w:rsidRDefault="008F1DC1" w:rsidP="00DB6D24">
      <w:pPr>
        <w:pStyle w:val="equals"/>
        <w:tabs>
          <w:tab w:val="clear" w:pos="3060"/>
          <w:tab w:val="left" w:pos="5490"/>
        </w:tabs>
        <w:ind w:left="5670" w:hanging="1584"/>
      </w:pPr>
      <w:proofErr w:type="spellStart"/>
      <w:r w:rsidRPr="00F22A05">
        <w:t>sEW</w:t>
      </w:r>
      <w:r w:rsidRPr="00F22A05">
        <w:rPr>
          <w:vertAlign w:val="subscript"/>
        </w:rPr>
        <w:t>fact</w:t>
      </w:r>
      <w:proofErr w:type="spellEnd"/>
      <w:r w:rsidR="005A2ADF" w:rsidRPr="00F22A05">
        <w:tab/>
      </w:r>
      <w:r w:rsidRPr="00F22A05">
        <w:t xml:space="preserve">= </w:t>
      </w:r>
      <w:proofErr w:type="spellStart"/>
      <w:r w:rsidRPr="00F22A05">
        <w:t>EW</w:t>
      </w:r>
      <w:r w:rsidRPr="00F22A05">
        <w:rPr>
          <w:vertAlign w:val="subscript"/>
        </w:rPr>
        <w:t>fact</w:t>
      </w:r>
      <w:proofErr w:type="spellEnd"/>
      <w:r w:rsidRPr="00F22A05">
        <w:t xml:space="preserve"> – </w:t>
      </w:r>
      <w:proofErr w:type="spellStart"/>
      <w:r w:rsidRPr="00F22A05">
        <w:t>oEW</w:t>
      </w:r>
      <w:r w:rsidRPr="00F22A05">
        <w:rPr>
          <w:vertAlign w:val="subscript"/>
        </w:rPr>
        <w:t>fact</w:t>
      </w:r>
      <w:proofErr w:type="spellEnd"/>
      <w:r w:rsidR="000737C2" w:rsidRPr="00F22A05">
        <w:t xml:space="preserve"> </w:t>
      </w:r>
      <w:r w:rsidRPr="00F22A05">
        <w:t>= structural po</w:t>
      </w:r>
      <w:r w:rsidR="00DB6D24" w:rsidRPr="00F22A05">
        <w:t>rtion of hot water energy waste</w:t>
      </w:r>
    </w:p>
    <w:p w14:paraId="7748BE9D" w14:textId="170D2DF7" w:rsidR="008F1DC1" w:rsidRPr="00F22A05" w:rsidRDefault="005A2ADF" w:rsidP="00DB6D24">
      <w:pPr>
        <w:pStyle w:val="equals"/>
        <w:tabs>
          <w:tab w:val="clear" w:pos="3060"/>
          <w:tab w:val="left" w:pos="5490"/>
        </w:tabs>
        <w:ind w:left="5670" w:hanging="1584"/>
      </w:pPr>
      <w:proofErr w:type="spellStart"/>
      <w:r w:rsidRPr="00F22A05">
        <w:t>pEratio</w:t>
      </w:r>
      <w:proofErr w:type="spellEnd"/>
      <w:r w:rsidRPr="00F22A05">
        <w:tab/>
      </w:r>
      <w:r w:rsidR="008F1DC1" w:rsidRPr="00F22A05">
        <w:t>= piping length energy ratio</w:t>
      </w:r>
    </w:p>
    <w:p w14:paraId="0AA7F1CC" w14:textId="0287997F" w:rsidR="00AE65CA" w:rsidRPr="00F22A05" w:rsidRDefault="00AE65CA" w:rsidP="00DB6D24">
      <w:pPr>
        <w:pStyle w:val="where1"/>
        <w:ind w:left="0" w:firstLine="0"/>
      </w:pPr>
    </w:p>
    <w:p w14:paraId="2DC9AFCB" w14:textId="77777777" w:rsidR="00DB6D24" w:rsidRPr="00F22A05" w:rsidRDefault="008F1DC1" w:rsidP="00DB6D24">
      <w:pPr>
        <w:pStyle w:val="where1"/>
        <w:ind w:left="3780" w:hanging="36"/>
      </w:pPr>
      <w:r w:rsidRPr="00F22A05">
        <w:t>where</w:t>
      </w:r>
      <w:r w:rsidR="006E2F22" w:rsidRPr="00F22A05">
        <w:t>:</w:t>
      </w:r>
    </w:p>
    <w:p w14:paraId="46AB3B0F" w14:textId="79402B4A" w:rsidR="00AE65CA" w:rsidRPr="00F22A05" w:rsidRDefault="008F1DC1" w:rsidP="00DB6D24">
      <w:pPr>
        <w:pStyle w:val="where1"/>
        <w:ind w:left="3780" w:hanging="36"/>
      </w:pPr>
      <w:r w:rsidRPr="00F22A05">
        <w:t xml:space="preserve">for standard system: </w:t>
      </w:r>
      <w:r w:rsidRPr="00F22A05">
        <w:tab/>
      </w:r>
      <w:r w:rsidR="00BD0961" w:rsidRPr="00F22A05">
        <w:tab/>
      </w:r>
    </w:p>
    <w:p w14:paraId="7E3BD7C5" w14:textId="0844C5B0" w:rsidR="008F1DC1" w:rsidRPr="00F22A05" w:rsidRDefault="00AE65CA" w:rsidP="00DB6D24">
      <w:pPr>
        <w:pStyle w:val="equals"/>
        <w:tabs>
          <w:tab w:val="clear" w:pos="3060"/>
          <w:tab w:val="left" w:pos="5490"/>
        </w:tabs>
        <w:ind w:left="5670" w:hanging="1584"/>
      </w:pPr>
      <w:proofErr w:type="spellStart"/>
      <w:r w:rsidRPr="00F22A05">
        <w:t>pEratio</w:t>
      </w:r>
      <w:proofErr w:type="spellEnd"/>
      <w:r w:rsidRPr="00F22A05">
        <w:tab/>
      </w:r>
      <w:r w:rsidR="008F1DC1" w:rsidRPr="00F22A05">
        <w:t xml:space="preserve">= </w:t>
      </w:r>
      <w:proofErr w:type="spellStart"/>
      <w:r w:rsidR="008F1DC1" w:rsidRPr="00F22A05">
        <w:t>PipeL</w:t>
      </w:r>
      <w:proofErr w:type="spellEnd"/>
      <w:r w:rsidR="008F1DC1" w:rsidRPr="00F22A05">
        <w:t xml:space="preserve"> / </w:t>
      </w:r>
      <w:proofErr w:type="spellStart"/>
      <w:r w:rsidR="008F1DC1" w:rsidRPr="00F22A05">
        <w:t>refpipeL</w:t>
      </w:r>
      <w:proofErr w:type="spellEnd"/>
    </w:p>
    <w:p w14:paraId="58D1A530" w14:textId="35C7ECB7" w:rsidR="00D80B2F" w:rsidRPr="00F22A05" w:rsidRDefault="008F1DC1" w:rsidP="00DB6D24">
      <w:pPr>
        <w:pStyle w:val="where1"/>
        <w:ind w:left="3780" w:hanging="36"/>
      </w:pPr>
      <w:r w:rsidRPr="00F22A05">
        <w:t>for recirculation systems</w:t>
      </w:r>
      <w:r w:rsidR="00FC0249" w:rsidRPr="00F22A05">
        <w:t xml:space="preserve"> (</w:t>
      </w:r>
      <w:r w:rsidR="00465278" w:rsidRPr="00F22A05">
        <w:t>entirely within the Rated Home</w:t>
      </w:r>
      <w:r w:rsidR="00FC0249" w:rsidRPr="00F22A05">
        <w:t>)</w:t>
      </w:r>
      <w:r w:rsidRPr="00F22A05">
        <w:t>:</w:t>
      </w:r>
      <w:r w:rsidR="00EA30E9" w:rsidRPr="00F22A05">
        <w:rPr>
          <w:rStyle w:val="FootnoteReference"/>
        </w:rPr>
        <w:footnoteReference w:id="24"/>
      </w:r>
      <w:r w:rsidRPr="00F22A05">
        <w:tab/>
      </w:r>
    </w:p>
    <w:p w14:paraId="7DBB0FC1" w14:textId="1911D169" w:rsidR="008F1DC1" w:rsidRPr="00F22A05" w:rsidRDefault="00AE65CA" w:rsidP="00DB6D24">
      <w:pPr>
        <w:pStyle w:val="equals"/>
        <w:tabs>
          <w:tab w:val="clear" w:pos="3060"/>
          <w:tab w:val="left" w:pos="5490"/>
        </w:tabs>
        <w:ind w:left="5670" w:hanging="1584"/>
      </w:pPr>
      <w:proofErr w:type="spellStart"/>
      <w:r w:rsidRPr="00F22A05">
        <w:t>pEratio</w:t>
      </w:r>
      <w:proofErr w:type="spellEnd"/>
      <w:r w:rsidRPr="00F22A05">
        <w:tab/>
      </w:r>
      <w:r w:rsidR="008F1DC1" w:rsidRPr="00F22A05">
        <w:t xml:space="preserve">= </w:t>
      </w:r>
      <w:proofErr w:type="spellStart"/>
      <w:r w:rsidR="008F1DC1" w:rsidRPr="00F22A05">
        <w:t>LoopL</w:t>
      </w:r>
      <w:proofErr w:type="spellEnd"/>
      <w:r w:rsidR="008F1DC1" w:rsidRPr="00F22A05">
        <w:t xml:space="preserve"> / </w:t>
      </w:r>
      <w:proofErr w:type="spellStart"/>
      <w:r w:rsidR="008F1DC1" w:rsidRPr="00F22A05">
        <w:t>refLoopL</w:t>
      </w:r>
      <w:proofErr w:type="spellEnd"/>
    </w:p>
    <w:p w14:paraId="0C585FD8" w14:textId="38425186" w:rsidR="008F1DC1" w:rsidRPr="00F22A05" w:rsidRDefault="008F1DC1" w:rsidP="00DB6D24">
      <w:pPr>
        <w:pStyle w:val="where1"/>
        <w:ind w:left="3780" w:hanging="36"/>
      </w:pPr>
      <w:r w:rsidRPr="00F22A05">
        <w:t>and where</w:t>
      </w:r>
      <w:r w:rsidR="006E2F22" w:rsidRPr="00F22A05">
        <w:t>:</w:t>
      </w:r>
    </w:p>
    <w:p w14:paraId="3B4DF765" w14:textId="77777777" w:rsidR="00DB6D24" w:rsidRPr="00F22A05" w:rsidRDefault="008F1DC1" w:rsidP="00DB6D24">
      <w:pPr>
        <w:pStyle w:val="equals"/>
        <w:tabs>
          <w:tab w:val="clear" w:pos="3060"/>
          <w:tab w:val="left" w:pos="5490"/>
        </w:tabs>
        <w:ind w:left="5670" w:hanging="1584"/>
      </w:pPr>
      <w:proofErr w:type="spellStart"/>
      <w:r w:rsidRPr="00F22A05">
        <w:t>LoopL</w:t>
      </w:r>
      <w:proofErr w:type="spellEnd"/>
      <w:r w:rsidRPr="00F22A05">
        <w:t xml:space="preserve"> </w:t>
      </w:r>
      <w:r w:rsidR="005C504A" w:rsidRPr="00F22A05">
        <w:tab/>
      </w:r>
      <w:r w:rsidRPr="00F22A05">
        <w:t>= hot water recirculation loop piping length including both supply and return sides of the loop, measured longitudinally from plans, assuming the hot water piping does not run diagonally, plus 20 feet of piping for each floor level greater than one plus 10 feet of pipi</w:t>
      </w:r>
      <w:r w:rsidR="00DB6D24" w:rsidRPr="00F22A05">
        <w:t>ng for unconditioned basements.</w:t>
      </w:r>
    </w:p>
    <w:p w14:paraId="7BF7D572" w14:textId="3340953E" w:rsidR="008F1DC1" w:rsidRDefault="005A2ADF" w:rsidP="00DB6D24">
      <w:pPr>
        <w:pStyle w:val="equals"/>
        <w:tabs>
          <w:tab w:val="clear" w:pos="3060"/>
          <w:tab w:val="left" w:pos="5490"/>
        </w:tabs>
        <w:ind w:left="5670" w:hanging="1584"/>
      </w:pPr>
      <w:proofErr w:type="spellStart"/>
      <w:r w:rsidRPr="00F22A05">
        <w:t>refLoopL</w:t>
      </w:r>
      <w:proofErr w:type="spellEnd"/>
      <w:r w:rsidRPr="00F22A05">
        <w:tab/>
      </w:r>
      <w:r w:rsidR="008F1DC1" w:rsidRPr="00F22A05">
        <w:t>= 2.0*</w:t>
      </w:r>
      <w:proofErr w:type="spellStart"/>
      <w:r w:rsidR="008F1DC1" w:rsidRPr="00F22A05">
        <w:t>refPipeL</w:t>
      </w:r>
      <w:proofErr w:type="spellEnd"/>
      <w:r w:rsidR="008F1DC1" w:rsidRPr="00F22A05">
        <w:t xml:space="preserve"> </w:t>
      </w:r>
      <w:r w:rsidR="0094335D">
        <w:t>–</w:t>
      </w:r>
      <w:r w:rsidR="008F1DC1" w:rsidRPr="00F22A05">
        <w:t xml:space="preserve"> 20</w:t>
      </w:r>
    </w:p>
    <w:p w14:paraId="00CC96A9" w14:textId="77777777" w:rsidR="0094335D" w:rsidRDefault="0094335D" w:rsidP="00DB6D24">
      <w:pPr>
        <w:pStyle w:val="equals"/>
        <w:tabs>
          <w:tab w:val="clear" w:pos="3060"/>
          <w:tab w:val="left" w:pos="5490"/>
        </w:tabs>
        <w:ind w:left="5670" w:hanging="1584"/>
      </w:pPr>
    </w:p>
    <w:p w14:paraId="4E12020C" w14:textId="77777777" w:rsidR="0094335D" w:rsidRDefault="0094335D" w:rsidP="00DB6D24">
      <w:pPr>
        <w:pStyle w:val="equals"/>
        <w:tabs>
          <w:tab w:val="clear" w:pos="3060"/>
          <w:tab w:val="left" w:pos="5490"/>
        </w:tabs>
        <w:ind w:left="5670" w:hanging="1584"/>
      </w:pPr>
    </w:p>
    <w:p w14:paraId="34A4F3CD" w14:textId="77777777" w:rsidR="0094335D" w:rsidRDefault="0094335D" w:rsidP="00DB6D24">
      <w:pPr>
        <w:pStyle w:val="equals"/>
        <w:tabs>
          <w:tab w:val="clear" w:pos="3060"/>
          <w:tab w:val="left" w:pos="5490"/>
        </w:tabs>
        <w:ind w:left="5670" w:hanging="1584"/>
      </w:pPr>
    </w:p>
    <w:p w14:paraId="37B67CE0" w14:textId="77777777" w:rsidR="0094335D" w:rsidRPr="00F22A05" w:rsidRDefault="0094335D" w:rsidP="00DB6D24">
      <w:pPr>
        <w:pStyle w:val="equals"/>
        <w:tabs>
          <w:tab w:val="clear" w:pos="3060"/>
          <w:tab w:val="left" w:pos="5490"/>
        </w:tabs>
        <w:ind w:left="5670" w:hanging="1584"/>
      </w:pPr>
    </w:p>
    <w:p w14:paraId="6DC46561" w14:textId="1FD9ED45" w:rsidR="008F1DC1" w:rsidRPr="00F22A05" w:rsidRDefault="008F1DC1" w:rsidP="00F22703">
      <w:pPr>
        <w:tabs>
          <w:tab w:val="left" w:pos="748"/>
        </w:tabs>
        <w:spacing w:before="120"/>
        <w:ind w:left="1800" w:right="1440"/>
        <w:jc w:val="center"/>
        <w:rPr>
          <w:b/>
        </w:rPr>
      </w:pPr>
      <w:bookmarkStart w:id="82" w:name="_Hlk141018226"/>
      <w:r w:rsidRPr="00F22A05">
        <w:rPr>
          <w:b/>
        </w:rPr>
        <w:t xml:space="preserve">Table 4.2.2.5.2.11(6) Hot water distribution system relative annual energy waste </w:t>
      </w:r>
      <w:proofErr w:type="gramStart"/>
      <w:r w:rsidRPr="00F22A05">
        <w:rPr>
          <w:b/>
        </w:rPr>
        <w:t>factors</w:t>
      </w:r>
      <w:r w:rsidR="007B3AFD" w:rsidRPr="00DC54A7">
        <w:rPr>
          <w:b/>
          <w:color w:val="0070C0"/>
          <w:vertAlign w:val="superscript"/>
        </w:rPr>
        <w:t>(</w:t>
      </w:r>
      <w:proofErr w:type="gramEnd"/>
      <w:r w:rsidR="007B3AFD" w:rsidRPr="00DC54A7">
        <w:rPr>
          <w:b/>
          <w:color w:val="0070C0"/>
          <w:vertAlign w:val="superscript"/>
        </w:rPr>
        <w:t>1)</w:t>
      </w:r>
    </w:p>
    <w:tbl>
      <w:tblPr>
        <w:tblStyle w:val="TableGrid"/>
        <w:tblW w:w="4209" w:type="pct"/>
        <w:tblInd w:w="1008" w:type="dxa"/>
        <w:tblLook w:val="04A0" w:firstRow="1" w:lastRow="0" w:firstColumn="1" w:lastColumn="0" w:noHBand="0" w:noVBand="1"/>
      </w:tblPr>
      <w:tblGrid>
        <w:gridCol w:w="5039"/>
        <w:gridCol w:w="1371"/>
        <w:gridCol w:w="1461"/>
      </w:tblGrid>
      <w:tr w:rsidR="00F22A05" w:rsidRPr="00F22A05" w14:paraId="1BA237D0" w14:textId="77777777" w:rsidTr="00F22703">
        <w:tc>
          <w:tcPr>
            <w:tcW w:w="3201" w:type="pct"/>
            <w:vMerge w:val="restart"/>
            <w:vAlign w:val="center"/>
          </w:tcPr>
          <w:p w14:paraId="22723AE4" w14:textId="77777777" w:rsidR="008F1DC1" w:rsidRPr="00F22A05" w:rsidRDefault="008F1DC1" w:rsidP="00F22703">
            <w:pPr>
              <w:tabs>
                <w:tab w:val="left" w:pos="748"/>
              </w:tabs>
              <w:rPr>
                <w:b/>
              </w:rPr>
            </w:pPr>
            <w:r w:rsidRPr="00F22A05">
              <w:rPr>
                <w:b/>
              </w:rPr>
              <w:t>Distribution System Description</w:t>
            </w:r>
          </w:p>
        </w:tc>
        <w:tc>
          <w:tcPr>
            <w:tcW w:w="1799" w:type="pct"/>
            <w:gridSpan w:val="2"/>
            <w:vAlign w:val="center"/>
          </w:tcPr>
          <w:p w14:paraId="134A1206" w14:textId="77777777" w:rsidR="008F1DC1" w:rsidRPr="00F22A05" w:rsidRDefault="008F1DC1" w:rsidP="00F22703">
            <w:pPr>
              <w:tabs>
                <w:tab w:val="left" w:pos="748"/>
              </w:tabs>
              <w:jc w:val="center"/>
              <w:rPr>
                <w:b/>
              </w:rPr>
            </w:pPr>
            <w:proofErr w:type="spellStart"/>
            <w:r w:rsidRPr="00F22A05">
              <w:rPr>
                <w:b/>
              </w:rPr>
              <w:t>EW</w:t>
            </w:r>
            <w:r w:rsidRPr="00F22A05">
              <w:rPr>
                <w:b/>
                <w:vertAlign w:val="subscript"/>
              </w:rPr>
              <w:t>fact</w:t>
            </w:r>
            <w:proofErr w:type="spellEnd"/>
          </w:p>
        </w:tc>
      </w:tr>
      <w:tr w:rsidR="00F22A05" w:rsidRPr="00F22A05" w14:paraId="6C0E5130" w14:textId="77777777" w:rsidTr="00F22703">
        <w:tc>
          <w:tcPr>
            <w:tcW w:w="3201" w:type="pct"/>
            <w:vMerge/>
          </w:tcPr>
          <w:p w14:paraId="3943F2EA" w14:textId="77777777" w:rsidR="008F1DC1" w:rsidRPr="00F22A05" w:rsidRDefault="008F1DC1" w:rsidP="00F22703">
            <w:pPr>
              <w:tabs>
                <w:tab w:val="left" w:pos="748"/>
              </w:tabs>
            </w:pPr>
          </w:p>
        </w:tc>
        <w:tc>
          <w:tcPr>
            <w:tcW w:w="871" w:type="pct"/>
            <w:vAlign w:val="center"/>
          </w:tcPr>
          <w:p w14:paraId="7ECAD85D" w14:textId="77777777" w:rsidR="008F1DC1" w:rsidRPr="00F22A05" w:rsidRDefault="008F1DC1" w:rsidP="00F22703">
            <w:pPr>
              <w:tabs>
                <w:tab w:val="left" w:pos="748"/>
              </w:tabs>
              <w:jc w:val="center"/>
            </w:pPr>
            <w:r w:rsidRPr="00F22A05">
              <w:rPr>
                <w:sz w:val="22"/>
              </w:rPr>
              <w:t>No pipe insulation</w:t>
            </w:r>
          </w:p>
        </w:tc>
        <w:tc>
          <w:tcPr>
            <w:tcW w:w="928" w:type="pct"/>
            <w:vAlign w:val="center"/>
          </w:tcPr>
          <w:p w14:paraId="46DB746D" w14:textId="0945F94B" w:rsidR="008F1DC1" w:rsidRPr="00F22A05" w:rsidRDefault="008F1DC1" w:rsidP="00F22703">
            <w:pPr>
              <w:tabs>
                <w:tab w:val="left" w:pos="748"/>
              </w:tabs>
              <w:jc w:val="center"/>
            </w:pPr>
            <w:r w:rsidRPr="00F22A05">
              <w:rPr>
                <w:sz w:val="22"/>
              </w:rPr>
              <w:t>≥R-3 pipe insulation</w:t>
            </w:r>
            <w:r w:rsidR="006F3EDF" w:rsidRPr="00F22A05">
              <w:rPr>
                <w:rStyle w:val="FootnoteReference"/>
                <w:sz w:val="22"/>
                <w:u w:val="single"/>
              </w:rPr>
              <w:footnoteReference w:id="25"/>
            </w:r>
          </w:p>
        </w:tc>
      </w:tr>
      <w:tr w:rsidR="00F22A05" w:rsidRPr="00F22A05" w14:paraId="7AC21FEF" w14:textId="77777777" w:rsidTr="00F22703">
        <w:tc>
          <w:tcPr>
            <w:tcW w:w="3201" w:type="pct"/>
          </w:tcPr>
          <w:p w14:paraId="7C4D853C" w14:textId="77777777" w:rsidR="008F1DC1" w:rsidRPr="00F22A05" w:rsidRDefault="008F1DC1" w:rsidP="00F22703">
            <w:pPr>
              <w:tabs>
                <w:tab w:val="left" w:pos="748"/>
              </w:tabs>
            </w:pPr>
            <w:r w:rsidRPr="00F22A05">
              <w:rPr>
                <w:sz w:val="22"/>
              </w:rPr>
              <w:t>Standard systems</w:t>
            </w:r>
            <w:r w:rsidRPr="00F22A05">
              <w:rPr>
                <w:sz w:val="22"/>
                <w:szCs w:val="22"/>
              </w:rPr>
              <w:t xml:space="preserve"> </w:t>
            </w:r>
          </w:p>
        </w:tc>
        <w:tc>
          <w:tcPr>
            <w:tcW w:w="871" w:type="pct"/>
          </w:tcPr>
          <w:p w14:paraId="44FD5717" w14:textId="77777777" w:rsidR="008F1DC1" w:rsidRPr="00F22A05" w:rsidRDefault="008F1DC1" w:rsidP="00F22703">
            <w:pPr>
              <w:tabs>
                <w:tab w:val="left" w:pos="748"/>
              </w:tabs>
              <w:jc w:val="center"/>
            </w:pPr>
            <w:r w:rsidRPr="00F22A05">
              <w:rPr>
                <w:sz w:val="22"/>
              </w:rPr>
              <w:t>32.0</w:t>
            </w:r>
            <w:r w:rsidRPr="00F22A05">
              <w:rPr>
                <w:sz w:val="22"/>
                <w:szCs w:val="22"/>
              </w:rPr>
              <w:t xml:space="preserve"> </w:t>
            </w:r>
          </w:p>
        </w:tc>
        <w:tc>
          <w:tcPr>
            <w:tcW w:w="928" w:type="pct"/>
          </w:tcPr>
          <w:p w14:paraId="4602F6C8" w14:textId="77777777" w:rsidR="008F1DC1" w:rsidRPr="00F22A05" w:rsidRDefault="008F1DC1" w:rsidP="00F22703">
            <w:pPr>
              <w:tabs>
                <w:tab w:val="left" w:pos="748"/>
              </w:tabs>
              <w:jc w:val="center"/>
            </w:pPr>
            <w:r w:rsidRPr="00F22A05">
              <w:rPr>
                <w:sz w:val="22"/>
              </w:rPr>
              <w:t>28.8</w:t>
            </w:r>
            <w:r w:rsidRPr="00F22A05">
              <w:rPr>
                <w:sz w:val="22"/>
                <w:szCs w:val="22"/>
              </w:rPr>
              <w:t xml:space="preserve"> </w:t>
            </w:r>
          </w:p>
        </w:tc>
      </w:tr>
      <w:tr w:rsidR="00F22A05" w:rsidRPr="00F22A05" w14:paraId="672D7CB9" w14:textId="77777777" w:rsidTr="00F22703">
        <w:tc>
          <w:tcPr>
            <w:tcW w:w="3201" w:type="pct"/>
          </w:tcPr>
          <w:p w14:paraId="04500665" w14:textId="77777777" w:rsidR="008F1DC1" w:rsidRPr="00F22A05" w:rsidRDefault="008F1DC1" w:rsidP="00F22703">
            <w:pPr>
              <w:tabs>
                <w:tab w:val="left" w:pos="748"/>
              </w:tabs>
            </w:pPr>
            <w:r w:rsidRPr="00F22A05">
              <w:rPr>
                <w:sz w:val="22"/>
              </w:rPr>
              <w:t>Recirculation without control or with timer control</w:t>
            </w:r>
            <w:r w:rsidRPr="00F22A05">
              <w:rPr>
                <w:sz w:val="22"/>
                <w:szCs w:val="22"/>
              </w:rPr>
              <w:t xml:space="preserve"> </w:t>
            </w:r>
          </w:p>
        </w:tc>
        <w:tc>
          <w:tcPr>
            <w:tcW w:w="871" w:type="pct"/>
          </w:tcPr>
          <w:p w14:paraId="0D11F9D5" w14:textId="77777777" w:rsidR="008F1DC1" w:rsidRPr="00F22A05" w:rsidRDefault="008F1DC1" w:rsidP="00F22703">
            <w:pPr>
              <w:tabs>
                <w:tab w:val="left" w:pos="748"/>
              </w:tabs>
              <w:jc w:val="center"/>
            </w:pPr>
            <w:r w:rsidRPr="00F22A05">
              <w:rPr>
                <w:sz w:val="22"/>
              </w:rPr>
              <w:t>500</w:t>
            </w:r>
            <w:r w:rsidRPr="00F22A05">
              <w:rPr>
                <w:sz w:val="22"/>
                <w:szCs w:val="22"/>
              </w:rPr>
              <w:t xml:space="preserve"> </w:t>
            </w:r>
          </w:p>
        </w:tc>
        <w:tc>
          <w:tcPr>
            <w:tcW w:w="928" w:type="pct"/>
          </w:tcPr>
          <w:p w14:paraId="05AA0925" w14:textId="77777777" w:rsidR="008F1DC1" w:rsidRPr="00F22A05" w:rsidRDefault="008F1DC1" w:rsidP="00F22703">
            <w:pPr>
              <w:tabs>
                <w:tab w:val="left" w:pos="748"/>
              </w:tabs>
              <w:jc w:val="center"/>
            </w:pPr>
            <w:r w:rsidRPr="00F22A05">
              <w:rPr>
                <w:sz w:val="22"/>
              </w:rPr>
              <w:t>250</w:t>
            </w:r>
            <w:r w:rsidRPr="00F22A05">
              <w:rPr>
                <w:sz w:val="22"/>
                <w:szCs w:val="22"/>
              </w:rPr>
              <w:t xml:space="preserve"> </w:t>
            </w:r>
          </w:p>
        </w:tc>
      </w:tr>
      <w:tr w:rsidR="00F22A05" w:rsidRPr="00F22A05" w14:paraId="2B1FCB22" w14:textId="77777777" w:rsidTr="00F22703">
        <w:tc>
          <w:tcPr>
            <w:tcW w:w="3201" w:type="pct"/>
          </w:tcPr>
          <w:p w14:paraId="5716AC75" w14:textId="77777777" w:rsidR="008F1DC1" w:rsidRPr="00F22A05" w:rsidRDefault="008F1DC1" w:rsidP="00F22703">
            <w:pPr>
              <w:tabs>
                <w:tab w:val="left" w:pos="748"/>
              </w:tabs>
              <w:rPr>
                <w:sz w:val="22"/>
              </w:rPr>
            </w:pPr>
            <w:r w:rsidRPr="00F22A05">
              <w:rPr>
                <w:sz w:val="22"/>
              </w:rPr>
              <w:t>Recirculation with temperature control</w:t>
            </w:r>
            <w:r w:rsidRPr="00F22A05">
              <w:rPr>
                <w:sz w:val="22"/>
                <w:szCs w:val="22"/>
              </w:rPr>
              <w:t xml:space="preserve"> </w:t>
            </w:r>
          </w:p>
        </w:tc>
        <w:tc>
          <w:tcPr>
            <w:tcW w:w="871" w:type="pct"/>
          </w:tcPr>
          <w:p w14:paraId="1BE2E9E2" w14:textId="77777777" w:rsidR="008F1DC1" w:rsidRPr="00F22A05" w:rsidRDefault="008F1DC1" w:rsidP="00F22703">
            <w:pPr>
              <w:tabs>
                <w:tab w:val="left" w:pos="748"/>
              </w:tabs>
              <w:jc w:val="center"/>
              <w:rPr>
                <w:sz w:val="22"/>
              </w:rPr>
            </w:pPr>
            <w:r w:rsidRPr="00F22A05">
              <w:rPr>
                <w:sz w:val="22"/>
              </w:rPr>
              <w:t>375</w:t>
            </w:r>
            <w:r w:rsidRPr="00F22A05">
              <w:rPr>
                <w:sz w:val="22"/>
                <w:szCs w:val="22"/>
              </w:rPr>
              <w:t xml:space="preserve"> </w:t>
            </w:r>
          </w:p>
        </w:tc>
        <w:tc>
          <w:tcPr>
            <w:tcW w:w="928" w:type="pct"/>
          </w:tcPr>
          <w:p w14:paraId="6B3353B9" w14:textId="77777777" w:rsidR="008F1DC1" w:rsidRPr="00F22A05" w:rsidRDefault="008F1DC1" w:rsidP="00F22703">
            <w:pPr>
              <w:tabs>
                <w:tab w:val="left" w:pos="748"/>
              </w:tabs>
              <w:jc w:val="center"/>
              <w:rPr>
                <w:sz w:val="22"/>
              </w:rPr>
            </w:pPr>
            <w:r w:rsidRPr="00F22A05">
              <w:rPr>
                <w:sz w:val="22"/>
              </w:rPr>
              <w:t>187.5</w:t>
            </w:r>
            <w:r w:rsidRPr="00F22A05">
              <w:rPr>
                <w:sz w:val="22"/>
                <w:szCs w:val="22"/>
              </w:rPr>
              <w:t xml:space="preserve"> </w:t>
            </w:r>
          </w:p>
        </w:tc>
      </w:tr>
      <w:tr w:rsidR="00F22A05" w:rsidRPr="00F22A05" w14:paraId="6B27E691" w14:textId="77777777" w:rsidTr="00F22703">
        <w:tc>
          <w:tcPr>
            <w:tcW w:w="3201" w:type="pct"/>
          </w:tcPr>
          <w:p w14:paraId="7DC0929E" w14:textId="77777777" w:rsidR="008F1DC1" w:rsidRPr="00F22A05" w:rsidRDefault="008F1DC1" w:rsidP="00F22703">
            <w:pPr>
              <w:tabs>
                <w:tab w:val="left" w:pos="748"/>
              </w:tabs>
              <w:rPr>
                <w:sz w:val="22"/>
              </w:rPr>
            </w:pPr>
            <w:r w:rsidRPr="00F22A05">
              <w:rPr>
                <w:sz w:val="22"/>
              </w:rPr>
              <w:t>Recirculation with demand control (presence sensor)</w:t>
            </w:r>
            <w:r w:rsidRPr="00F22A05">
              <w:rPr>
                <w:sz w:val="22"/>
                <w:szCs w:val="22"/>
              </w:rPr>
              <w:t xml:space="preserve"> </w:t>
            </w:r>
          </w:p>
        </w:tc>
        <w:tc>
          <w:tcPr>
            <w:tcW w:w="871" w:type="pct"/>
          </w:tcPr>
          <w:p w14:paraId="5FC5AB3C" w14:textId="77777777" w:rsidR="008F1DC1" w:rsidRPr="00F22A05" w:rsidRDefault="008F1DC1" w:rsidP="00F22703">
            <w:pPr>
              <w:tabs>
                <w:tab w:val="left" w:pos="748"/>
              </w:tabs>
              <w:jc w:val="center"/>
              <w:rPr>
                <w:sz w:val="22"/>
              </w:rPr>
            </w:pPr>
            <w:r w:rsidRPr="00F22A05">
              <w:rPr>
                <w:sz w:val="22"/>
              </w:rPr>
              <w:t>64.8</w:t>
            </w:r>
            <w:r w:rsidRPr="00F22A05">
              <w:rPr>
                <w:sz w:val="22"/>
                <w:szCs w:val="22"/>
              </w:rPr>
              <w:t xml:space="preserve"> </w:t>
            </w:r>
          </w:p>
        </w:tc>
        <w:tc>
          <w:tcPr>
            <w:tcW w:w="928" w:type="pct"/>
          </w:tcPr>
          <w:p w14:paraId="3D47161B" w14:textId="77777777" w:rsidR="008F1DC1" w:rsidRPr="00F22A05" w:rsidRDefault="008F1DC1" w:rsidP="00F22703">
            <w:pPr>
              <w:tabs>
                <w:tab w:val="left" w:pos="748"/>
              </w:tabs>
              <w:jc w:val="center"/>
              <w:rPr>
                <w:sz w:val="22"/>
              </w:rPr>
            </w:pPr>
            <w:r w:rsidRPr="00F22A05">
              <w:rPr>
                <w:sz w:val="22"/>
              </w:rPr>
              <w:t>43.2</w:t>
            </w:r>
            <w:r w:rsidRPr="00F22A05">
              <w:rPr>
                <w:sz w:val="22"/>
                <w:szCs w:val="22"/>
              </w:rPr>
              <w:t xml:space="preserve"> </w:t>
            </w:r>
          </w:p>
        </w:tc>
      </w:tr>
      <w:tr w:rsidR="00217BFA" w:rsidRPr="00F22A05" w14:paraId="71070C5F" w14:textId="77777777" w:rsidTr="00F22703">
        <w:tc>
          <w:tcPr>
            <w:tcW w:w="3201" w:type="pct"/>
          </w:tcPr>
          <w:p w14:paraId="74C543EE" w14:textId="77777777" w:rsidR="008F1DC1" w:rsidRPr="00F22A05" w:rsidRDefault="008F1DC1" w:rsidP="00F22703">
            <w:pPr>
              <w:tabs>
                <w:tab w:val="left" w:pos="748"/>
              </w:tabs>
              <w:rPr>
                <w:sz w:val="22"/>
              </w:rPr>
            </w:pPr>
            <w:r w:rsidRPr="00F22A05">
              <w:rPr>
                <w:sz w:val="22"/>
              </w:rPr>
              <w:t>Recirculation with demand control (manual)</w:t>
            </w:r>
            <w:r w:rsidRPr="00F22A05">
              <w:rPr>
                <w:sz w:val="22"/>
                <w:szCs w:val="22"/>
              </w:rPr>
              <w:t xml:space="preserve"> </w:t>
            </w:r>
          </w:p>
        </w:tc>
        <w:tc>
          <w:tcPr>
            <w:tcW w:w="871" w:type="pct"/>
          </w:tcPr>
          <w:p w14:paraId="4ECBFA05" w14:textId="77777777" w:rsidR="008F1DC1" w:rsidRPr="00F22A05" w:rsidRDefault="008F1DC1" w:rsidP="00F22703">
            <w:pPr>
              <w:tabs>
                <w:tab w:val="left" w:pos="748"/>
              </w:tabs>
              <w:jc w:val="center"/>
              <w:rPr>
                <w:sz w:val="22"/>
              </w:rPr>
            </w:pPr>
            <w:r w:rsidRPr="00F22A05">
              <w:rPr>
                <w:sz w:val="22"/>
              </w:rPr>
              <w:t>43.2</w:t>
            </w:r>
            <w:r w:rsidRPr="00F22A05">
              <w:rPr>
                <w:sz w:val="22"/>
                <w:szCs w:val="22"/>
              </w:rPr>
              <w:t xml:space="preserve"> </w:t>
            </w:r>
          </w:p>
        </w:tc>
        <w:tc>
          <w:tcPr>
            <w:tcW w:w="928" w:type="pct"/>
          </w:tcPr>
          <w:p w14:paraId="024375B3" w14:textId="77777777" w:rsidR="008F1DC1" w:rsidRPr="00F22A05" w:rsidRDefault="008F1DC1" w:rsidP="00F22703">
            <w:pPr>
              <w:tabs>
                <w:tab w:val="left" w:pos="748"/>
              </w:tabs>
              <w:jc w:val="center"/>
              <w:rPr>
                <w:sz w:val="22"/>
              </w:rPr>
            </w:pPr>
            <w:r w:rsidRPr="00F22A05">
              <w:rPr>
                <w:sz w:val="22"/>
              </w:rPr>
              <w:t>28.8</w:t>
            </w:r>
          </w:p>
        </w:tc>
      </w:tr>
    </w:tbl>
    <w:p w14:paraId="1E52FE99" w14:textId="33F0F9DC" w:rsidR="00692DAE" w:rsidRPr="00F22A05" w:rsidRDefault="00692DAE" w:rsidP="00DB6D24">
      <w:pPr>
        <w:tabs>
          <w:tab w:val="left" w:pos="748"/>
        </w:tabs>
        <w:rPr>
          <w:b/>
        </w:rPr>
      </w:pPr>
      <w:bookmarkStart w:id="83" w:name="_Ref490491615"/>
      <w:bookmarkStart w:id="84" w:name="_Hlk161055201"/>
      <w:bookmarkEnd w:id="82"/>
    </w:p>
    <w:p w14:paraId="70FE016E" w14:textId="459C91E6" w:rsidR="008F1DC1" w:rsidRPr="00F22A05" w:rsidRDefault="00445DDD" w:rsidP="00B46795">
      <w:pPr>
        <w:pStyle w:val="sixab"/>
        <w:numPr>
          <w:ilvl w:val="0"/>
          <w:numId w:val="0"/>
        </w:numPr>
        <w:ind w:left="2520"/>
      </w:pPr>
      <w:bookmarkStart w:id="85" w:name="_Ref503792638"/>
      <w:r w:rsidRPr="00F22A05">
        <w:rPr>
          <w:b/>
        </w:rPr>
        <w:t>4.2.2.7.2.12</w:t>
      </w:r>
      <w:r w:rsidR="00A87B5A" w:rsidRPr="00F22A05">
        <w:rPr>
          <w:b/>
        </w:rPr>
        <w:t>.</w:t>
      </w:r>
      <w:r w:rsidRPr="00F22A05">
        <w:rPr>
          <w:b/>
        </w:rPr>
        <w:t xml:space="preserve">  </w:t>
      </w:r>
      <w:r w:rsidR="008F1DC1" w:rsidRPr="00F22A05">
        <w:rPr>
          <w:b/>
        </w:rPr>
        <w:t>Ceiling Fans.</w:t>
      </w:r>
      <w:r w:rsidR="008F1DC1" w:rsidRPr="00F22A05">
        <w:t xml:space="preserve">  </w:t>
      </w:r>
      <w:r w:rsidR="00E5035F" w:rsidRPr="00F22A05">
        <w:t>Where</w:t>
      </w:r>
      <w:r w:rsidR="008F1DC1" w:rsidRPr="00F22A05">
        <w:t xml:space="preserve"> </w:t>
      </w:r>
      <w:r w:rsidR="00E5035F" w:rsidRPr="00F22A05">
        <w:t xml:space="preserve">the number of </w:t>
      </w:r>
      <w:r w:rsidR="008F1DC1" w:rsidRPr="00F22A05">
        <w:t>ceiling fans included in the Rated Home</w:t>
      </w:r>
      <w:r w:rsidR="00E5035F" w:rsidRPr="00F22A05">
        <w:t xml:space="preserve"> is</w:t>
      </w:r>
      <w:r w:rsidR="00E70A85" w:rsidRPr="00F22A05">
        <w:t xml:space="preserve"> equal to or greater than the number of Bedrooms plus one</w:t>
      </w:r>
      <w:r w:rsidR="008F1DC1" w:rsidRPr="00F22A05">
        <w:t xml:space="preserve">, they shall also be included in the Reference Home. The number of Bedrooms plus one (Nbr+1) ceiling fans shall be assumed in both the Reference Home and the Rated Home. A daily ceiling fan operating schedule </w:t>
      </w:r>
      <w:r w:rsidR="008F1DC1" w:rsidRPr="00F22A05">
        <w:rPr>
          <w:strike/>
        </w:rPr>
        <w:t xml:space="preserve">equal to 10.5 full-load hours </w:t>
      </w:r>
      <w:r w:rsidR="00B140B8" w:rsidRPr="00F22A05">
        <w:rPr>
          <w:u w:val="single"/>
        </w:rPr>
        <w:t xml:space="preserve">according to Normative Appendix </w:t>
      </w:r>
      <w:r w:rsidR="00B91AC8">
        <w:rPr>
          <w:strike/>
          <w:color w:val="FF0000"/>
          <w:u w:val="single"/>
        </w:rPr>
        <w:t>C.4</w:t>
      </w:r>
      <w:r w:rsidR="0033533C" w:rsidRPr="004508CC">
        <w:rPr>
          <w:bCs w:val="0"/>
          <w:color w:val="FF0000"/>
          <w:u w:val="single"/>
        </w:rPr>
        <w:t>C3</w:t>
      </w:r>
      <w:r w:rsidR="0033533C">
        <w:rPr>
          <w:bCs w:val="0"/>
          <w:u w:val="single"/>
        </w:rPr>
        <w:t xml:space="preserve">. </w:t>
      </w:r>
      <w:r w:rsidR="002D092D" w:rsidRPr="00F22A05">
        <w:rPr>
          <w:u w:val="single"/>
        </w:rPr>
        <w:t xml:space="preserve">Table </w:t>
      </w:r>
      <w:r w:rsidR="00B91AC8">
        <w:rPr>
          <w:strike/>
          <w:color w:val="FF0000"/>
          <w:u w:val="single"/>
        </w:rPr>
        <w:t>C4</w:t>
      </w:r>
      <w:r w:rsidR="002D092D" w:rsidRPr="004508CC">
        <w:rPr>
          <w:color w:val="FF0000"/>
          <w:u w:val="single"/>
        </w:rPr>
        <w:t>C</w:t>
      </w:r>
      <w:r w:rsidR="005F01EE" w:rsidRPr="004508CC">
        <w:rPr>
          <w:color w:val="FF0000"/>
          <w:u w:val="single"/>
        </w:rPr>
        <w:t>.3</w:t>
      </w:r>
      <w:r w:rsidR="002D092D" w:rsidRPr="00F22A05">
        <w:rPr>
          <w:u w:val="single"/>
        </w:rPr>
        <w:t>(5).</w:t>
      </w:r>
      <w:r w:rsidR="00B140B8" w:rsidRPr="00F22A05">
        <w:rPr>
          <w:u w:val="single"/>
        </w:rPr>
        <w:t xml:space="preserve"> </w:t>
      </w:r>
      <w:r w:rsidR="008F1DC1" w:rsidRPr="00F22A05">
        <w:t>shall be assumed in both the Reference Home and the Rated Home during months with an average outdoor temperature greater than 63 ºF.  The cooling thermostat (but not the heating thermostat) shall be set up by 0.5 ºF in both the Reference and Rated Home during these months.</w:t>
      </w:r>
      <w:bookmarkEnd w:id="83"/>
      <w:bookmarkEnd w:id="85"/>
    </w:p>
    <w:p w14:paraId="5B89CE99" w14:textId="77777777" w:rsidR="008F1DC1" w:rsidRPr="00F22A05" w:rsidRDefault="008F1DC1" w:rsidP="008F1DC1">
      <w:pPr>
        <w:ind w:left="288"/>
        <w:rPr>
          <w:b/>
        </w:rPr>
      </w:pPr>
    </w:p>
    <w:p w14:paraId="50C7A450" w14:textId="01D10997" w:rsidR="008F1DC1" w:rsidRPr="00F22A05" w:rsidRDefault="008F1DC1" w:rsidP="00B63EDD">
      <w:pPr>
        <w:pStyle w:val="sixaa"/>
        <w:ind w:left="2520"/>
        <w:rPr>
          <w:strike/>
        </w:rPr>
      </w:pPr>
      <w:r w:rsidRPr="00F22A05">
        <w:t xml:space="preserve">The Reference Home shall use number of Bedrooms plus one (Nbr+1) </w:t>
      </w:r>
      <w:r w:rsidR="00F42BAB" w:rsidRPr="00F22A05">
        <w:t>s</w:t>
      </w:r>
      <w:r w:rsidRPr="00F22A05">
        <w:t xml:space="preserve">tandard </w:t>
      </w:r>
      <w:r w:rsidR="00F42BAB" w:rsidRPr="00F22A05">
        <w:t>c</w:t>
      </w:r>
      <w:r w:rsidRPr="00F22A05">
        <w:t xml:space="preserve">eiling </w:t>
      </w:r>
      <w:r w:rsidR="00F42BAB" w:rsidRPr="00F22A05">
        <w:t>f</w:t>
      </w:r>
      <w:r w:rsidRPr="00F22A05">
        <w:t xml:space="preserve">ans of 42.6 </w:t>
      </w:r>
      <w:r w:rsidR="008018C3" w:rsidRPr="00F22A05">
        <w:t>W</w:t>
      </w:r>
      <w:r w:rsidRPr="00F22A05">
        <w:t xml:space="preserve">atts each.  The Rated Home shall use the </w:t>
      </w:r>
      <w:r w:rsidRPr="00F22A05">
        <w:rPr>
          <w:strike/>
        </w:rPr>
        <w:t>Labeled Ceiling Fan Standardized Watts (LCFSW)</w:t>
      </w:r>
      <w:r w:rsidR="00BB6DEC" w:rsidRPr="00F22A05">
        <w:rPr>
          <w:u w:val="single"/>
        </w:rPr>
        <w:t xml:space="preserve">ceiling fan </w:t>
      </w:r>
      <w:proofErr w:type="spellStart"/>
      <w:r w:rsidR="00BB6DEC" w:rsidRPr="00F22A05">
        <w:rPr>
          <w:u w:val="single"/>
        </w:rPr>
        <w:t>EnergyGuide</w:t>
      </w:r>
      <w:proofErr w:type="spellEnd"/>
      <w:r w:rsidR="00BB6DEC" w:rsidRPr="00F22A05">
        <w:rPr>
          <w:u w:val="single"/>
        </w:rPr>
        <w:t xml:space="preserve"> label to obtain the standardized “Energy Use” Watts</w:t>
      </w:r>
      <w:r w:rsidR="00006DAC" w:rsidRPr="00F22A05">
        <w:t xml:space="preserve"> </w:t>
      </w:r>
      <w:proofErr w:type="gramStart"/>
      <w:r w:rsidR="00006DAC" w:rsidRPr="00767F23">
        <w:rPr>
          <w:strike/>
          <w:color w:val="FF0000"/>
        </w:rPr>
        <w:t>and</w:t>
      </w:r>
      <w:r w:rsidRPr="00767F23">
        <w:rPr>
          <w:strike/>
          <w:color w:val="FF0000"/>
        </w:rPr>
        <w:t xml:space="preserve"> also</w:t>
      </w:r>
      <w:proofErr w:type="gramEnd"/>
      <w:r w:rsidRPr="00767F23">
        <w:rPr>
          <w:strike/>
          <w:color w:val="FF0000"/>
        </w:rPr>
        <w:t xml:space="preserve"> </w:t>
      </w:r>
      <w:r w:rsidRPr="00F22A05">
        <w:t xml:space="preserve">multiplied by number of </w:t>
      </w:r>
      <w:r w:rsidR="0027658C" w:rsidRPr="00F22A05">
        <w:t>B</w:t>
      </w:r>
      <w:r w:rsidRPr="00F22A05">
        <w:t>edrooms plus one (Nbr+1) fans to obtain total ceiling fan wattage for the Rated Home.</w:t>
      </w:r>
      <w:r w:rsidRPr="00F22A05">
        <w:rPr>
          <w:strike/>
        </w:rPr>
        <w:t xml:space="preserve">  The Rated Home LCFSW shall be calculated in accordance with Equation </w:t>
      </w:r>
      <w:r w:rsidR="007B150B" w:rsidRPr="00F22A05">
        <w:rPr>
          <w:strike/>
        </w:rPr>
        <w:t>4.2-4</w:t>
      </w:r>
      <w:r w:rsidR="007650BA" w:rsidRPr="00F22A05">
        <w:rPr>
          <w:strike/>
        </w:rPr>
        <w:t>6</w:t>
      </w:r>
      <w:r w:rsidRPr="00F22A05">
        <w:rPr>
          <w:strike/>
        </w:rPr>
        <w:t>.</w:t>
      </w:r>
    </w:p>
    <w:p w14:paraId="15F77E03" w14:textId="0607D1A7" w:rsidR="008F1DC1" w:rsidRPr="00F22A05" w:rsidRDefault="008F1DC1" w:rsidP="00581A21">
      <w:pPr>
        <w:pStyle w:val="sixaa"/>
        <w:ind w:left="2520"/>
        <w:rPr>
          <w:strike/>
        </w:rPr>
      </w:pPr>
    </w:p>
    <w:p w14:paraId="1B3701F7" w14:textId="1CA97646" w:rsidR="00DB6D24" w:rsidRPr="00F22A05" w:rsidRDefault="008F1DC1" w:rsidP="00581A21">
      <w:pPr>
        <w:pStyle w:val="sixaa"/>
        <w:ind w:left="2520"/>
        <w:rPr>
          <w:strike/>
        </w:rPr>
      </w:pPr>
      <w:r w:rsidRPr="00F22A05">
        <w:rPr>
          <w:strike/>
        </w:rPr>
        <w:t>LCFSW = (3000cfm) / (cfm/</w:t>
      </w:r>
      <w:r w:rsidR="008018C3" w:rsidRPr="00F22A05">
        <w:rPr>
          <w:strike/>
        </w:rPr>
        <w:t>W</w:t>
      </w:r>
      <w:r w:rsidR="00DB6D24" w:rsidRPr="00F22A05">
        <w:rPr>
          <w:strike/>
        </w:rPr>
        <w:t xml:space="preserve">att as labeled at medium </w:t>
      </w:r>
      <w:r w:rsidRPr="00F22A05">
        <w:rPr>
          <w:strike/>
        </w:rPr>
        <w:t>speed)</w:t>
      </w:r>
      <w:r w:rsidRPr="00F22A05">
        <w:rPr>
          <w:strike/>
        </w:rPr>
        <w:tab/>
      </w:r>
    </w:p>
    <w:p w14:paraId="52A9F09C" w14:textId="7F94F5E5" w:rsidR="008F1DC1" w:rsidRPr="00F22A05" w:rsidRDefault="00DB6D24" w:rsidP="00581A21">
      <w:pPr>
        <w:pStyle w:val="sixaa"/>
        <w:ind w:left="2520"/>
      </w:pPr>
      <w:r w:rsidRPr="00F22A05">
        <w:rPr>
          <w:strike/>
        </w:rPr>
        <w:tab/>
      </w:r>
      <w:r w:rsidR="008F1DC1" w:rsidRPr="00F22A05">
        <w:rPr>
          <w:strike/>
        </w:rPr>
        <w:t>(</w:t>
      </w:r>
      <w:r w:rsidR="00A25E21" w:rsidRPr="00F22A05">
        <w:rPr>
          <w:strike/>
        </w:rPr>
        <w:t>Equation</w:t>
      </w:r>
      <w:r w:rsidR="008F1DC1" w:rsidRPr="00F22A05">
        <w:rPr>
          <w:strike/>
        </w:rPr>
        <w:t xml:space="preserve"> 4.2-</w:t>
      </w:r>
      <w:r w:rsidR="00E71E24" w:rsidRPr="00F22A05">
        <w:rPr>
          <w:strike/>
        </w:rPr>
        <w:t>4</w:t>
      </w:r>
      <w:r w:rsidR="007650BA" w:rsidRPr="00F22A05">
        <w:rPr>
          <w:strike/>
        </w:rPr>
        <w:t>6</w:t>
      </w:r>
      <w:r w:rsidR="008F1DC1" w:rsidRPr="00F22A05">
        <w:rPr>
          <w:strike/>
        </w:rPr>
        <w:t>)</w:t>
      </w:r>
    </w:p>
    <w:p w14:paraId="5C80815D" w14:textId="77777777" w:rsidR="008F1DC1" w:rsidRPr="00F22A05" w:rsidRDefault="008F1DC1" w:rsidP="008F1DC1">
      <w:pPr>
        <w:ind w:left="288"/>
      </w:pPr>
    </w:p>
    <w:p w14:paraId="48EFADD1" w14:textId="5F8C5E40" w:rsidR="008F1DC1" w:rsidRPr="00F22A05" w:rsidRDefault="008F1DC1" w:rsidP="00717B8B">
      <w:pPr>
        <w:pStyle w:val="sixaa"/>
        <w:ind w:left="2520"/>
      </w:pPr>
      <w:r w:rsidRPr="00F22A05">
        <w:t xml:space="preserve">Where installed ceiling fans in the Rated Home have different </w:t>
      </w:r>
      <w:proofErr w:type="spellStart"/>
      <w:r w:rsidR="00B40B8F" w:rsidRPr="00F22A05">
        <w:rPr>
          <w:u w:val="single"/>
        </w:rPr>
        <w:t>EnergyGuide</w:t>
      </w:r>
      <w:proofErr w:type="spellEnd"/>
      <w:r w:rsidR="00B40B8F" w:rsidRPr="00F22A05">
        <w:rPr>
          <w:u w:val="single"/>
        </w:rPr>
        <w:t xml:space="preserve"> </w:t>
      </w:r>
      <w:proofErr w:type="spellStart"/>
      <w:r w:rsidR="00B40B8F" w:rsidRPr="00F22A05">
        <w:rPr>
          <w:u w:val="single"/>
        </w:rPr>
        <w:t>label</w:t>
      </w:r>
      <w:r w:rsidR="005E22F5" w:rsidRPr="00F22A05">
        <w:rPr>
          <w:u w:val="single"/>
        </w:rPr>
        <w:t>s</w:t>
      </w:r>
      <w:r w:rsidRPr="000407F1">
        <w:rPr>
          <w:strike/>
          <w:color w:val="FF0000"/>
        </w:rPr>
        <w:t>values</w:t>
      </w:r>
      <w:proofErr w:type="spellEnd"/>
      <w:r w:rsidRPr="000407F1">
        <w:rPr>
          <w:strike/>
          <w:color w:val="FF0000"/>
        </w:rPr>
        <w:t xml:space="preserve"> of LCFSW</w:t>
      </w:r>
      <w:r w:rsidRPr="00F22A05">
        <w:t xml:space="preserve">, the average </w:t>
      </w:r>
      <w:proofErr w:type="spellStart"/>
      <w:proofErr w:type="gramStart"/>
      <w:r w:rsidRPr="00F22A05">
        <w:rPr>
          <w:strike/>
        </w:rPr>
        <w:t>LCFSW</w:t>
      </w:r>
      <w:r w:rsidR="005E22F5" w:rsidRPr="00F22A05">
        <w:rPr>
          <w:u w:val="single"/>
        </w:rPr>
        <w:t>”Energy</w:t>
      </w:r>
      <w:proofErr w:type="spellEnd"/>
      <w:proofErr w:type="gramEnd"/>
      <w:r w:rsidR="005E22F5" w:rsidRPr="00F22A05">
        <w:rPr>
          <w:u w:val="single"/>
        </w:rPr>
        <w:t xml:space="preserve"> Use” Watts</w:t>
      </w:r>
      <w:r w:rsidRPr="00F22A05">
        <w:t xml:space="preserve"> shall be used for calculating ceiling fan energy use in the Rated Home.</w:t>
      </w:r>
    </w:p>
    <w:p w14:paraId="2DEC0D62" w14:textId="77777777" w:rsidR="008F1DC1" w:rsidRPr="00F22A05" w:rsidRDefault="008F1DC1" w:rsidP="00E531B3">
      <w:pPr>
        <w:pStyle w:val="sixth"/>
        <w:numPr>
          <w:ilvl w:val="0"/>
          <w:numId w:val="0"/>
        </w:numPr>
        <w:ind w:left="2610"/>
      </w:pPr>
    </w:p>
    <w:p w14:paraId="53CA3600" w14:textId="5047B984" w:rsidR="008F1DC1" w:rsidRPr="00F22A05" w:rsidRDefault="008F1DC1" w:rsidP="00717B8B">
      <w:pPr>
        <w:pStyle w:val="sixaa"/>
        <w:ind w:left="2520"/>
        <w:rPr>
          <w:u w:val="single"/>
        </w:rPr>
      </w:pPr>
      <w:r w:rsidRPr="00F22A05">
        <w:t xml:space="preserve">During periods of fan operation, the fan wattage at </w:t>
      </w:r>
      <w:r w:rsidR="00C80CD1" w:rsidRPr="00F22A05">
        <w:t>100-percent</w:t>
      </w:r>
      <w:r w:rsidRPr="00F22A05">
        <w:t xml:space="preserve"> </w:t>
      </w:r>
      <w:r w:rsidR="00443EB1" w:rsidRPr="00F22A05">
        <w:t>I</w:t>
      </w:r>
      <w:r w:rsidRPr="00F22A05">
        <w:t xml:space="preserve">nternal </w:t>
      </w:r>
      <w:r w:rsidR="00443EB1" w:rsidRPr="00F22A05">
        <w:t>G</w:t>
      </w:r>
      <w:r w:rsidRPr="00F22A05">
        <w:t xml:space="preserve">ain fraction shall be added to </w:t>
      </w:r>
      <w:r w:rsidR="00443EB1" w:rsidRPr="00F22A05">
        <w:t>I</w:t>
      </w:r>
      <w:r w:rsidRPr="00F22A05">
        <w:t xml:space="preserve">nternal </w:t>
      </w:r>
      <w:r w:rsidR="00443EB1" w:rsidRPr="00F22A05">
        <w:t>G</w:t>
      </w:r>
      <w:r w:rsidRPr="00F22A05">
        <w:t>ains for both the Reference and Rated Homes</w:t>
      </w:r>
      <w:r w:rsidR="005560B0" w:rsidRPr="00F22A05">
        <w:rPr>
          <w:u w:val="single"/>
        </w:rPr>
        <w:t xml:space="preserve"> (</w:t>
      </w:r>
      <w:proofErr w:type="spellStart"/>
      <w:r w:rsidR="005560B0" w:rsidRPr="00F22A05">
        <w:rPr>
          <w:u w:val="single"/>
        </w:rPr>
        <w:t>f</w:t>
      </w:r>
      <w:r w:rsidR="005560B0" w:rsidRPr="00F22A05">
        <w:rPr>
          <w:u w:val="single"/>
          <w:vertAlign w:val="subscript"/>
        </w:rPr>
        <w:t>internal</w:t>
      </w:r>
      <w:proofErr w:type="spellEnd"/>
      <w:r w:rsidR="005560B0" w:rsidRPr="00F22A05">
        <w:rPr>
          <w:u w:val="single"/>
        </w:rPr>
        <w:t xml:space="preserve"> = 1.0 and </w:t>
      </w:r>
      <w:proofErr w:type="spellStart"/>
      <w:r w:rsidR="005560B0" w:rsidRPr="00F22A05">
        <w:rPr>
          <w:u w:val="single"/>
        </w:rPr>
        <w:t>f</w:t>
      </w:r>
      <w:r w:rsidR="005560B0" w:rsidRPr="00F22A05">
        <w:rPr>
          <w:u w:val="single"/>
          <w:vertAlign w:val="subscript"/>
        </w:rPr>
        <w:t>sensible</w:t>
      </w:r>
      <w:proofErr w:type="spellEnd"/>
      <w:r w:rsidR="005560B0" w:rsidRPr="00F22A05">
        <w:rPr>
          <w:u w:val="single"/>
        </w:rPr>
        <w:t xml:space="preserve"> = 1.0)</w:t>
      </w:r>
      <w:r w:rsidRPr="00F22A05">
        <w:t xml:space="preserve">.  In addition, annual ceiling fan energy use, in </w:t>
      </w:r>
      <w:proofErr w:type="spellStart"/>
      <w:r w:rsidRPr="00F22A05">
        <w:t>MBtu</w:t>
      </w:r>
      <w:proofErr w:type="spellEnd"/>
      <w:r w:rsidRPr="00F22A05">
        <w:t xml:space="preserve">/y [(kWh/y)/293], for both the Rated and Reference Homes shall be added to the lighting and appliance </w:t>
      </w:r>
      <w:r w:rsidR="00AB461D" w:rsidRPr="00F22A05">
        <w:t>energy consumption</w:t>
      </w:r>
      <w:r w:rsidRPr="00F22A05">
        <w:t xml:space="preserve"> (</w:t>
      </w:r>
      <w:r w:rsidR="00670584" w:rsidRPr="00F22A05">
        <w:t>EC</w:t>
      </w:r>
      <w:r w:rsidR="00670584" w:rsidRPr="00F22A05">
        <w:rPr>
          <w:vertAlign w:val="subscript"/>
        </w:rPr>
        <w:t>LA</w:t>
      </w:r>
      <w:r w:rsidR="00670584" w:rsidRPr="00F22A05">
        <w:t xml:space="preserve"> </w:t>
      </w:r>
      <w:r w:rsidRPr="00F22A05">
        <w:t xml:space="preserve">and </w:t>
      </w:r>
      <w:r w:rsidR="00AB461D" w:rsidRPr="00F22A05">
        <w:t>RE</w:t>
      </w:r>
      <w:r w:rsidR="00670584" w:rsidRPr="00F22A05">
        <w:t>C</w:t>
      </w:r>
      <w:r w:rsidR="00670584" w:rsidRPr="00F22A05">
        <w:rPr>
          <w:vertAlign w:val="subscript"/>
        </w:rPr>
        <w:t>LA</w:t>
      </w:r>
      <w:r w:rsidRPr="00F22A05">
        <w:t>, as appropriate) as specified by Equation 4.1-2 in Se</w:t>
      </w:r>
      <w:r w:rsidRPr="004156D8">
        <w:t>ction 4.1.2.</w:t>
      </w:r>
      <w:r w:rsidR="00A12F37" w:rsidRPr="004156D8">
        <w:rPr>
          <w:b/>
          <w:vertAlign w:val="superscript"/>
        </w:rPr>
        <w:t xml:space="preserve"> </w:t>
      </w:r>
      <w:r w:rsidR="004156D8">
        <w:rPr>
          <w:b/>
          <w:vertAlign w:val="superscript"/>
        </w:rPr>
        <w:t>(</w:t>
      </w:r>
      <w:r w:rsidR="00A12F37" w:rsidRPr="004156D8">
        <w:rPr>
          <w:b/>
          <w:vertAlign w:val="superscript"/>
        </w:rPr>
        <w:t>1</w:t>
      </w:r>
      <w:r w:rsidR="004156D8">
        <w:rPr>
          <w:b/>
          <w:vertAlign w:val="superscript"/>
        </w:rPr>
        <w:t>)</w:t>
      </w:r>
    </w:p>
    <w:p w14:paraId="0FACB7EA" w14:textId="77777777" w:rsidR="007D1824" w:rsidRPr="00F22A05" w:rsidRDefault="007D1824" w:rsidP="00717B8B">
      <w:pPr>
        <w:pStyle w:val="sixaa"/>
        <w:ind w:left="2520"/>
        <w:rPr>
          <w:u w:val="single"/>
        </w:rPr>
      </w:pPr>
    </w:p>
    <w:bookmarkEnd w:id="84"/>
    <w:p w14:paraId="47206EB4" w14:textId="1B1ADBBF" w:rsidR="007D1824" w:rsidRPr="00F22A05" w:rsidRDefault="007D1824" w:rsidP="00717B8B">
      <w:pPr>
        <w:pStyle w:val="sixaa"/>
        <w:ind w:left="2520"/>
      </w:pPr>
      <w:r w:rsidRPr="00F22A05">
        <w:rPr>
          <w:b/>
          <w:u w:val="single"/>
        </w:rPr>
        <w:t>4.2.2.7.2.1</w:t>
      </w:r>
      <w:r w:rsidR="009F6C4B" w:rsidRPr="00F22A05">
        <w:rPr>
          <w:b/>
          <w:u w:val="single"/>
        </w:rPr>
        <w:t>3</w:t>
      </w:r>
      <w:r w:rsidRPr="00F22A05">
        <w:rPr>
          <w:b/>
          <w:u w:val="single"/>
        </w:rPr>
        <w:t>.  Internal Gains</w:t>
      </w:r>
      <w:r w:rsidR="005560B0" w:rsidRPr="00F22A05">
        <w:rPr>
          <w:b/>
          <w:u w:val="single"/>
        </w:rPr>
        <w:t xml:space="preserve"> of Occupants and General Water Use</w:t>
      </w:r>
      <w:r w:rsidRPr="00F22A05">
        <w:rPr>
          <w:b/>
          <w:u w:val="single"/>
        </w:rPr>
        <w:t>.</w:t>
      </w:r>
      <w:r w:rsidRPr="00F22A05">
        <w:rPr>
          <w:u w:val="single"/>
        </w:rPr>
        <w:t xml:space="preserve">  </w:t>
      </w:r>
      <w:r w:rsidR="005560B0" w:rsidRPr="00F22A05">
        <w:rPr>
          <w:u w:val="single"/>
        </w:rPr>
        <w:t>These h</w:t>
      </w:r>
      <w:r w:rsidR="005371B2" w:rsidRPr="00F22A05">
        <w:rPr>
          <w:u w:val="single"/>
        </w:rPr>
        <w:t>ourly Internal Gains shall be calculated</w:t>
      </w:r>
      <w:r w:rsidR="003B32E9" w:rsidRPr="00F22A05">
        <w:rPr>
          <w:u w:val="single"/>
        </w:rPr>
        <w:t xml:space="preserve"> the same as they are in the Reference Home as specified in </w:t>
      </w:r>
      <w:r w:rsidR="00FD25A4" w:rsidRPr="00F22A05">
        <w:rPr>
          <w:u w:val="single"/>
        </w:rPr>
        <w:t>Section 4.2.2.7.1.6.</w:t>
      </w:r>
    </w:p>
    <w:p w14:paraId="0F869032" w14:textId="77777777" w:rsidR="008F1DC1" w:rsidRPr="00F22A05" w:rsidRDefault="008F1DC1" w:rsidP="008F1DC1">
      <w:pPr>
        <w:ind w:left="1080"/>
      </w:pPr>
    </w:p>
    <w:p w14:paraId="3616F45C" w14:textId="77777777" w:rsidR="003E281F" w:rsidRPr="00F22A05" w:rsidRDefault="003E281F" w:rsidP="00581A21">
      <w:pPr>
        <w:shd w:val="clear" w:color="auto" w:fill="FFFFFF"/>
        <w:spacing w:after="120"/>
        <w:ind w:left="2520"/>
        <w:rPr>
          <w:bCs/>
          <w:iCs/>
        </w:rPr>
      </w:pPr>
    </w:p>
    <w:p w14:paraId="68AFCE25" w14:textId="0719D483" w:rsidR="007F22F4" w:rsidRPr="00F22A05" w:rsidRDefault="007F22F4" w:rsidP="0033304F">
      <w:pPr>
        <w:tabs>
          <w:tab w:val="left" w:pos="748"/>
        </w:tabs>
        <w:rPr>
          <w:b/>
        </w:rPr>
      </w:pPr>
    </w:p>
    <w:p w14:paraId="36C23DD6" w14:textId="3AA3F29C" w:rsidR="0033304F" w:rsidRPr="00F22A05" w:rsidRDefault="0033304F" w:rsidP="0033304F">
      <w:pPr>
        <w:spacing w:before="120"/>
        <w:rPr>
          <w:u w:val="single"/>
        </w:rPr>
      </w:pPr>
      <w:r w:rsidRPr="00F22A05">
        <w:rPr>
          <w:b/>
          <w:bCs/>
          <w:u w:val="single"/>
        </w:rPr>
        <w:t>4.2.2.9. On-Site Battery Storage.</w:t>
      </w:r>
      <w:r w:rsidRPr="00F22A05">
        <w:rPr>
          <w:u w:val="single"/>
        </w:rPr>
        <w:t xml:space="preserve"> The Energy Rating Reference Home shall not include On-Site Battery Storage. Where the project site includes On-Site Battery Storage and it is used in the calculations of the Energy Rating Index and CO</w:t>
      </w:r>
      <w:r w:rsidRPr="00F22A05">
        <w:rPr>
          <w:u w:val="single"/>
          <w:vertAlign w:val="subscript"/>
        </w:rPr>
        <w:t>2</w:t>
      </w:r>
      <w:r w:rsidR="005560B0" w:rsidRPr="00F22A05">
        <w:rPr>
          <w:u w:val="single"/>
        </w:rPr>
        <w:t>e</w:t>
      </w:r>
      <w:r w:rsidRPr="00F22A05">
        <w:rPr>
          <w:u w:val="single"/>
        </w:rPr>
        <w:t xml:space="preserve"> </w:t>
      </w:r>
      <w:r w:rsidR="005560B0" w:rsidRPr="00F22A05">
        <w:rPr>
          <w:u w:val="single"/>
        </w:rPr>
        <w:t xml:space="preserve">Rating </w:t>
      </w:r>
      <w:r w:rsidRPr="00F22A05">
        <w:rPr>
          <w:u w:val="single"/>
        </w:rPr>
        <w:t>Index of the Rated Home, the stored battery energy shall be dispatched to the Rated Home loads in accordance with Section 4.2.2.9.1 and 4.2.2.9.2.</w:t>
      </w:r>
    </w:p>
    <w:p w14:paraId="54CB16AE" w14:textId="005428BE" w:rsidR="0033304F" w:rsidRPr="00F22A05" w:rsidRDefault="0033304F" w:rsidP="0033304F">
      <w:pPr>
        <w:spacing w:before="120"/>
        <w:ind w:left="360"/>
        <w:rPr>
          <w:u w:val="single"/>
        </w:rPr>
      </w:pPr>
      <w:r w:rsidRPr="00F22A05">
        <w:rPr>
          <w:u w:val="single"/>
        </w:rPr>
        <w:t>4.2.2.9.1 For Dwelling Units that share On-Site Battery Storage, the battery charge/discharge rates and capacity shall be pro-rated to individual Dwelling Units based on the number of Bedrooms such that the per-Bedroom On-Site Battery Storage charge/discharge rates and capacity is used in the determination of the Energy Rating Index and the CO</w:t>
      </w:r>
      <w:r w:rsidRPr="00F22A05">
        <w:rPr>
          <w:u w:val="single"/>
          <w:vertAlign w:val="subscript"/>
        </w:rPr>
        <w:t>2</w:t>
      </w:r>
      <w:r w:rsidR="005560B0" w:rsidRPr="00F22A05">
        <w:rPr>
          <w:u w:val="single"/>
        </w:rPr>
        <w:t>e</w:t>
      </w:r>
      <w:r w:rsidRPr="00F22A05">
        <w:rPr>
          <w:u w:val="single"/>
        </w:rPr>
        <w:t xml:space="preserve"> </w:t>
      </w:r>
      <w:r w:rsidR="005560B0" w:rsidRPr="00F22A05">
        <w:rPr>
          <w:u w:val="single"/>
        </w:rPr>
        <w:t xml:space="preserve">Rating </w:t>
      </w:r>
      <w:r w:rsidRPr="00F22A05">
        <w:rPr>
          <w:u w:val="single"/>
        </w:rPr>
        <w:t>Index of the individual Dwelling Units that share the On-Site Battery Storage.</w:t>
      </w:r>
    </w:p>
    <w:p w14:paraId="0E31E62F" w14:textId="77777777" w:rsidR="0033304F" w:rsidRPr="00F22A05" w:rsidRDefault="0033304F" w:rsidP="0033304F">
      <w:pPr>
        <w:spacing w:before="120"/>
        <w:ind w:left="360"/>
        <w:rPr>
          <w:u w:val="single"/>
        </w:rPr>
      </w:pPr>
      <w:r w:rsidRPr="00F22A05">
        <w:rPr>
          <w:u w:val="single"/>
        </w:rPr>
        <w:t>4.2.2.9.2 On-Site Battery Storage shall charge any time On-Site Power Production is greater than the total on-site electrical load until the stored battery energy has reached its maximum capacity. The charge rate shall be the lesser of the excess power production or the maximum charging rate of the battery. On-Site Battery Storage shall discharge any time when On-Site Power Production is less than the total on-site electrical load until the stored battery energy has reached its manufacturer’s recommended minimum capacity. The discharge rate shall be the lesser of the excess electrical load or the maximum discharging rate of the battery.</w:t>
      </w:r>
    </w:p>
    <w:p w14:paraId="04FA5ADE" w14:textId="1B291C60" w:rsidR="0033304F" w:rsidRDefault="0033304F" w:rsidP="0033304F">
      <w:pPr>
        <w:tabs>
          <w:tab w:val="left" w:pos="748"/>
        </w:tabs>
        <w:rPr>
          <w:b/>
        </w:rPr>
      </w:pPr>
    </w:p>
    <w:p w14:paraId="2C390ECE" w14:textId="77777777" w:rsidR="0094335D" w:rsidRPr="00F22A05" w:rsidRDefault="0094335D" w:rsidP="0033304F">
      <w:pPr>
        <w:tabs>
          <w:tab w:val="left" w:pos="748"/>
        </w:tabs>
        <w:rPr>
          <w:b/>
        </w:rPr>
      </w:pPr>
    </w:p>
    <w:p w14:paraId="4459E333" w14:textId="37BC16F7" w:rsidR="007F3A44" w:rsidRPr="00F22A05" w:rsidRDefault="00706DFD" w:rsidP="00CD4FDA">
      <w:pPr>
        <w:pStyle w:val="two"/>
        <w:numPr>
          <w:ilvl w:val="1"/>
          <w:numId w:val="28"/>
        </w:numPr>
        <w:rPr>
          <w:b/>
        </w:rPr>
      </w:pPr>
      <w:bookmarkStart w:id="86" w:name="_Toc505772435"/>
      <w:bookmarkStart w:id="87" w:name="_Toc309821124"/>
      <w:bookmarkStart w:id="88" w:name="_Toc443655367"/>
      <w:r w:rsidRPr="00F22A05">
        <w:rPr>
          <w:rStyle w:val="Heading3Char"/>
        </w:rPr>
        <w:t>Index Adjustment Factor (IAF).</w:t>
      </w:r>
      <w:bookmarkEnd w:id="86"/>
    </w:p>
    <w:p w14:paraId="476E06AD" w14:textId="790E9A20" w:rsidR="007F3A44" w:rsidRPr="00F22A05" w:rsidRDefault="00706DFD" w:rsidP="00CD4FDA">
      <w:pPr>
        <w:pStyle w:val="three"/>
        <w:numPr>
          <w:ilvl w:val="2"/>
          <w:numId w:val="41"/>
        </w:numPr>
      </w:pPr>
      <w:bookmarkStart w:id="89" w:name="_Ref504976831"/>
      <w:r w:rsidRPr="00F22A05">
        <w:rPr>
          <w:b/>
        </w:rPr>
        <w:t xml:space="preserve">Index Adjustment Design (IAD). </w:t>
      </w:r>
      <w:bookmarkEnd w:id="89"/>
    </w:p>
    <w:p w14:paraId="6302EAF2" w14:textId="2E99E94C" w:rsidR="00706DFD" w:rsidRPr="00F22A05" w:rsidRDefault="00706DFD" w:rsidP="00CE1D7B">
      <w:pPr>
        <w:keepNext/>
        <w:spacing w:before="120"/>
        <w:jc w:val="center"/>
        <w:rPr>
          <w:b/>
        </w:rPr>
      </w:pPr>
      <w:r w:rsidRPr="00F22A05">
        <w:rPr>
          <w:b/>
        </w:rPr>
        <w:t>Table 4.3.1(1) Configuration of Index Adjustment Design</w:t>
      </w:r>
    </w:p>
    <w:tbl>
      <w:tblPr>
        <w:tblStyle w:val="TableGrid"/>
        <w:tblW w:w="9360" w:type="dxa"/>
        <w:tblLook w:val="04A0" w:firstRow="1" w:lastRow="0" w:firstColumn="1" w:lastColumn="0" w:noHBand="0" w:noVBand="1"/>
      </w:tblPr>
      <w:tblGrid>
        <w:gridCol w:w="2625"/>
        <w:gridCol w:w="6735"/>
      </w:tblGrid>
      <w:tr w:rsidR="00F22A05" w:rsidRPr="00F22A05" w14:paraId="54B4C8AE" w14:textId="77777777" w:rsidTr="006606E8">
        <w:trPr>
          <w:cantSplit/>
          <w:tblHeader/>
        </w:trPr>
        <w:tc>
          <w:tcPr>
            <w:tcW w:w="2625" w:type="dxa"/>
            <w:tcBorders>
              <w:bottom w:val="single" w:sz="4" w:space="0" w:color="auto"/>
            </w:tcBorders>
            <w:hideMark/>
          </w:tcPr>
          <w:p w14:paraId="01FC266D" w14:textId="77777777" w:rsidR="00706DFD" w:rsidRPr="00F22A05" w:rsidRDefault="00706DFD" w:rsidP="00CE1D7B">
            <w:pPr>
              <w:keepNext/>
              <w:rPr>
                <w:b/>
              </w:rPr>
            </w:pPr>
            <w:r w:rsidRPr="00F22A05">
              <w:rPr>
                <w:b/>
              </w:rPr>
              <w:t>Building Component</w:t>
            </w:r>
          </w:p>
        </w:tc>
        <w:tc>
          <w:tcPr>
            <w:tcW w:w="6735" w:type="dxa"/>
            <w:tcBorders>
              <w:bottom w:val="single" w:sz="4" w:space="0" w:color="auto"/>
            </w:tcBorders>
            <w:hideMark/>
          </w:tcPr>
          <w:p w14:paraId="415AD546" w14:textId="77777777" w:rsidR="00706DFD" w:rsidRPr="00F22A05" w:rsidRDefault="00706DFD" w:rsidP="00EB4C52">
            <w:pPr>
              <w:rPr>
                <w:b/>
              </w:rPr>
            </w:pPr>
            <w:r w:rsidRPr="00F22A05">
              <w:rPr>
                <w:b/>
              </w:rPr>
              <w:t>Index Adjustment Design (IAD)</w:t>
            </w:r>
          </w:p>
        </w:tc>
      </w:tr>
      <w:tr w:rsidR="00F22A05" w:rsidRPr="00F22A05" w14:paraId="5ED9C775" w14:textId="77777777" w:rsidTr="00A4451A">
        <w:trPr>
          <w:cantSplit/>
          <w:trHeight w:val="517"/>
        </w:trPr>
        <w:tc>
          <w:tcPr>
            <w:tcW w:w="2625" w:type="dxa"/>
            <w:vMerge w:val="restart"/>
            <w:hideMark/>
          </w:tcPr>
          <w:p w14:paraId="13851C8B" w14:textId="4918063D" w:rsidR="00706DFD" w:rsidRPr="00F22A05" w:rsidRDefault="00706DFD" w:rsidP="00EB4C52">
            <w:r w:rsidRPr="00F22A05">
              <w:t xml:space="preserve">Air exchange </w:t>
            </w:r>
            <w:proofErr w:type="spellStart"/>
            <w:r w:rsidRPr="00F22A05">
              <w:t>rate</w:t>
            </w:r>
            <w:r w:rsidR="00BA6556" w:rsidRPr="00F22A05">
              <w:rPr>
                <w:vertAlign w:val="superscript"/>
              </w:rPr>
              <w:t>a</w:t>
            </w:r>
            <w:proofErr w:type="spellEnd"/>
          </w:p>
        </w:tc>
        <w:tc>
          <w:tcPr>
            <w:tcW w:w="6735" w:type="dxa"/>
            <w:vMerge w:val="restart"/>
            <w:hideMark/>
          </w:tcPr>
          <w:p w14:paraId="74A4C9D9" w14:textId="76ED8E7B" w:rsidR="00706DFD" w:rsidRPr="00F22A05" w:rsidRDefault="00706DFD" w:rsidP="00EB4C52">
            <w:pPr>
              <w:ind w:left="247" w:hanging="247"/>
            </w:pPr>
            <w:r w:rsidRPr="00F22A05">
              <w:t>Combined</w:t>
            </w:r>
            <w:r w:rsidR="00473BC8" w:rsidRPr="00F22A05">
              <w:t xml:space="preserve"> </w:t>
            </w:r>
            <w:r w:rsidR="009C043D" w:rsidRPr="00F22A05">
              <w:t>I</w:t>
            </w:r>
            <w:r w:rsidRPr="00F22A05">
              <w:t xml:space="preserve">nfiltration flow rate plus mechanical </w:t>
            </w:r>
            <w:r w:rsidR="00100482" w:rsidRPr="00F22A05">
              <w:t>Ventilation</w:t>
            </w:r>
            <w:r w:rsidRPr="00F22A05">
              <w:t xml:space="preserve"> flow rate of 0.03 * CFA + 7.5 * (Nbr+1) cfm </w:t>
            </w:r>
          </w:p>
          <w:p w14:paraId="70E0835D" w14:textId="77777777" w:rsidR="00706DFD" w:rsidRPr="00F22A05" w:rsidRDefault="00706DFD" w:rsidP="00EB4C52">
            <w:pPr>
              <w:ind w:left="247" w:hanging="247"/>
            </w:pPr>
            <w:r w:rsidRPr="00F22A05">
              <w:lastRenderedPageBreak/>
              <w:t>Infiltration flow rate shall be determined using the following envelope leakage rates:</w:t>
            </w:r>
          </w:p>
          <w:p w14:paraId="701C7899" w14:textId="77777777" w:rsidR="00706DFD" w:rsidRPr="00F22A05" w:rsidRDefault="00706DFD" w:rsidP="00EB4C52">
            <w:pPr>
              <w:ind w:left="494" w:hanging="247"/>
            </w:pPr>
            <w:r w:rsidRPr="00F22A05">
              <w:t>5 ACH</w:t>
            </w:r>
            <w:r w:rsidRPr="00F22A05">
              <w:rPr>
                <w:vertAlign w:val="subscript"/>
              </w:rPr>
              <w:t>50</w:t>
            </w:r>
            <w:r w:rsidRPr="00F22A05">
              <w:t xml:space="preserve"> in IECC</w:t>
            </w:r>
            <w:r w:rsidRPr="00F22A05">
              <w:rPr>
                <w:rStyle w:val="FootnoteReference"/>
              </w:rPr>
              <w:footnoteReference w:id="26"/>
            </w:r>
            <w:r w:rsidRPr="00F22A05">
              <w:t xml:space="preserve"> Climate Zones 1-2</w:t>
            </w:r>
          </w:p>
          <w:p w14:paraId="0F4B827E" w14:textId="1A21CE21" w:rsidR="00706DFD" w:rsidRPr="00F22A05" w:rsidRDefault="00706DFD" w:rsidP="00EB4C52">
            <w:pPr>
              <w:ind w:left="494" w:hanging="247"/>
            </w:pPr>
            <w:r w:rsidRPr="00F22A05">
              <w:t>3 ACH</w:t>
            </w:r>
            <w:r w:rsidRPr="00F22A05">
              <w:rPr>
                <w:vertAlign w:val="subscript"/>
              </w:rPr>
              <w:t>50</w:t>
            </w:r>
            <w:r w:rsidRPr="00F22A05">
              <w:t xml:space="preserve"> in </w:t>
            </w:r>
            <w:r w:rsidR="00016447" w:rsidRPr="00F22A05">
              <w:t>IECC</w:t>
            </w:r>
            <w:r w:rsidR="00016447" w:rsidRPr="00F22A05">
              <w:rPr>
                <w:vertAlign w:val="superscript"/>
              </w:rPr>
              <w:t>6</w:t>
            </w:r>
            <w:r w:rsidR="00712496" w:rsidRPr="00F22A05">
              <w:rPr>
                <w:u w:val="single"/>
                <w:vertAlign w:val="superscript"/>
              </w:rPr>
              <w:t>9</w:t>
            </w:r>
            <w:r w:rsidR="00541029" w:rsidRPr="00F22A05">
              <w:rPr>
                <w:strike/>
                <w:vertAlign w:val="superscript"/>
              </w:rPr>
              <w:t>5</w:t>
            </w:r>
            <w:r w:rsidR="00016447" w:rsidRPr="00F22A05">
              <w:t xml:space="preserve"> </w:t>
            </w:r>
            <w:r w:rsidR="008C57AA" w:rsidRPr="008C57AA">
              <w:rPr>
                <w:b/>
                <w:bCs/>
                <w:color w:val="0070C0"/>
                <w:vertAlign w:val="superscript"/>
              </w:rPr>
              <w:t>(2)</w:t>
            </w:r>
            <w:r w:rsidR="008C57AA">
              <w:rPr>
                <w:color w:val="0070C0"/>
                <w:vertAlign w:val="superscript"/>
              </w:rPr>
              <w:t xml:space="preserve"> </w:t>
            </w:r>
            <w:r w:rsidRPr="00F22A05">
              <w:t>Climate Zones 3-8</w:t>
            </w:r>
          </w:p>
        </w:tc>
      </w:tr>
      <w:tr w:rsidR="00F22A05" w:rsidRPr="00F22A05" w14:paraId="5517B2C3" w14:textId="77777777" w:rsidTr="00A4451A">
        <w:trPr>
          <w:cantSplit/>
          <w:trHeight w:val="517"/>
        </w:trPr>
        <w:tc>
          <w:tcPr>
            <w:tcW w:w="2625" w:type="dxa"/>
            <w:vMerge/>
            <w:hideMark/>
          </w:tcPr>
          <w:p w14:paraId="63C5A95F" w14:textId="77777777" w:rsidR="00706DFD" w:rsidRPr="00F22A05" w:rsidRDefault="00706DFD" w:rsidP="00EB4C52"/>
        </w:tc>
        <w:tc>
          <w:tcPr>
            <w:tcW w:w="6735" w:type="dxa"/>
            <w:vMerge/>
            <w:hideMark/>
          </w:tcPr>
          <w:p w14:paraId="30FF817F" w14:textId="77777777" w:rsidR="00706DFD" w:rsidRPr="00F22A05" w:rsidRDefault="00706DFD" w:rsidP="00EB4C52"/>
        </w:tc>
      </w:tr>
      <w:tr w:rsidR="00F22A05" w:rsidRPr="00F22A05" w14:paraId="134E356F" w14:textId="77777777" w:rsidTr="00A4451A">
        <w:trPr>
          <w:cantSplit/>
          <w:trHeight w:val="517"/>
        </w:trPr>
        <w:tc>
          <w:tcPr>
            <w:tcW w:w="2625" w:type="dxa"/>
            <w:vMerge/>
            <w:hideMark/>
          </w:tcPr>
          <w:p w14:paraId="0931C393" w14:textId="77777777" w:rsidR="00706DFD" w:rsidRPr="00F22A05" w:rsidRDefault="00706DFD" w:rsidP="00EB4C52"/>
        </w:tc>
        <w:tc>
          <w:tcPr>
            <w:tcW w:w="6735" w:type="dxa"/>
            <w:vMerge/>
            <w:hideMark/>
          </w:tcPr>
          <w:p w14:paraId="5528A4FC" w14:textId="77777777" w:rsidR="00706DFD" w:rsidRPr="00F22A05" w:rsidRDefault="00706DFD" w:rsidP="00EB4C52"/>
        </w:tc>
      </w:tr>
      <w:tr w:rsidR="00F22A05" w:rsidRPr="00F22A05" w14:paraId="57FB757B" w14:textId="77777777" w:rsidTr="65B5E6E0">
        <w:trPr>
          <w:cantSplit/>
        </w:trPr>
        <w:tc>
          <w:tcPr>
            <w:tcW w:w="2625" w:type="dxa"/>
            <w:hideMark/>
          </w:tcPr>
          <w:p w14:paraId="3A64ADA7" w14:textId="33D64883" w:rsidR="00706DFD" w:rsidRPr="00F22A05" w:rsidRDefault="008A3FE7" w:rsidP="00626C88">
            <w:r w:rsidRPr="00F22A05">
              <w:t>Dwelling</w:t>
            </w:r>
            <w:r w:rsidR="006964A5" w:rsidRPr="00F22A05">
              <w:t xml:space="preserve"> </w:t>
            </w:r>
            <w:r w:rsidRPr="00F22A05">
              <w:t>Unit</w:t>
            </w:r>
            <w:r w:rsidR="00706DFD" w:rsidRPr="00F22A05">
              <w:t xml:space="preserve"> Mechanical </w:t>
            </w:r>
            <w:r w:rsidR="009C043D" w:rsidRPr="00F22A05">
              <w:t>V</w:t>
            </w:r>
            <w:r w:rsidR="00706DFD" w:rsidRPr="00F22A05">
              <w:t>entilation</w:t>
            </w:r>
            <w:r w:rsidR="00FA38A0" w:rsidRPr="00F22A05">
              <w:t xml:space="preserve"> </w:t>
            </w:r>
            <w:r w:rsidR="00517B95" w:rsidRPr="00F22A05">
              <w:t xml:space="preserve">System </w:t>
            </w:r>
            <w:r w:rsidR="00FA38A0" w:rsidRPr="00F22A05">
              <w:t>fan energy</w:t>
            </w:r>
          </w:p>
        </w:tc>
        <w:tc>
          <w:tcPr>
            <w:tcW w:w="6735" w:type="dxa"/>
            <w:hideMark/>
          </w:tcPr>
          <w:p w14:paraId="4366C0B3" w14:textId="3E6B2CB9" w:rsidR="00706DFD" w:rsidRPr="00F22A05" w:rsidRDefault="00706DFD" w:rsidP="00EE2BD1">
            <w:pPr>
              <w:ind w:left="247" w:hanging="247"/>
            </w:pPr>
            <w:r w:rsidRPr="00F22A05">
              <w:t>Balanced</w:t>
            </w:r>
            <w:r w:rsidR="00BE479D" w:rsidRPr="00F22A05">
              <w:t xml:space="preserve"> </w:t>
            </w:r>
            <w:r w:rsidRPr="00F22A05">
              <w:t xml:space="preserve">Ventilation System </w:t>
            </w:r>
            <w:r w:rsidR="00FA38A0" w:rsidRPr="00F22A05">
              <w:t xml:space="preserve">without energy recovery and </w:t>
            </w:r>
            <w:r w:rsidR="00AE7185" w:rsidRPr="00F22A05">
              <w:t xml:space="preserve">with fan power = </w:t>
            </w:r>
            <w:r w:rsidRPr="00F22A05">
              <w:t xml:space="preserve">0.70 * </w:t>
            </w:r>
            <w:proofErr w:type="spellStart"/>
            <w:r w:rsidRPr="00F22A05">
              <w:t>fanCFM</w:t>
            </w:r>
            <w:proofErr w:type="spellEnd"/>
            <w:r w:rsidRPr="00F22A05">
              <w:t xml:space="preserve"> * 8.76 kWh/y</w:t>
            </w:r>
          </w:p>
        </w:tc>
      </w:tr>
      <w:tr w:rsidR="00727452" w:rsidRPr="00F22A05" w14:paraId="1965D342" w14:textId="77777777" w:rsidTr="65B5E6E0">
        <w:trPr>
          <w:cantSplit/>
          <w:trHeight w:val="584"/>
        </w:trPr>
        <w:tc>
          <w:tcPr>
            <w:tcW w:w="2625" w:type="dxa"/>
            <w:hideMark/>
          </w:tcPr>
          <w:p w14:paraId="64D6E372" w14:textId="4B72ED9B" w:rsidR="00706DFD" w:rsidRPr="00F22A05" w:rsidRDefault="00706DFD" w:rsidP="00EB4C52">
            <w:r w:rsidRPr="00F22A05">
              <w:t xml:space="preserve">Internal </w:t>
            </w:r>
            <w:r w:rsidR="009C043D" w:rsidRPr="00F22A05">
              <w:t>G</w:t>
            </w:r>
            <w:r w:rsidRPr="00F22A05">
              <w:t>ains</w:t>
            </w:r>
          </w:p>
        </w:tc>
        <w:tc>
          <w:tcPr>
            <w:tcW w:w="6735" w:type="dxa"/>
            <w:hideMark/>
          </w:tcPr>
          <w:p w14:paraId="22E07E9B" w14:textId="5640C3A5" w:rsidR="00706DFD" w:rsidRPr="00F22A05" w:rsidRDefault="00706DFD" w:rsidP="006606E8">
            <w:pPr>
              <w:ind w:left="247" w:hanging="247"/>
            </w:pPr>
            <w:r w:rsidRPr="00F22A05">
              <w:t xml:space="preserve">As specified </w:t>
            </w:r>
            <w:r w:rsidR="006A7130" w:rsidRPr="00F22A05">
              <w:rPr>
                <w:u w:val="single"/>
              </w:rPr>
              <w:t>in Section 4.2.2.7.1</w:t>
            </w:r>
            <w:r w:rsidRPr="00F22A05">
              <w:rPr>
                <w:strike/>
              </w:rPr>
              <w:t>by Table 4.2.2(3)</w:t>
            </w:r>
            <w:r w:rsidR="0078484A" w:rsidRPr="00F22A05">
              <w:t>,</w:t>
            </w:r>
            <w:r w:rsidRPr="00F22A05">
              <w:t xml:space="preserve"> except </w:t>
            </w:r>
            <w:r w:rsidR="006606E8" w:rsidRPr="00F22A05">
              <w:t>that lighting shall be 75% Tier 1</w:t>
            </w:r>
          </w:p>
        </w:tc>
      </w:tr>
    </w:tbl>
    <w:p w14:paraId="2FB885C8" w14:textId="77777777" w:rsidR="00EC2A6E" w:rsidRPr="00F22A05" w:rsidRDefault="00EC2A6E" w:rsidP="00EC2A6E">
      <w:pPr>
        <w:rPr>
          <w:u w:val="single"/>
        </w:rPr>
      </w:pPr>
    </w:p>
    <w:p w14:paraId="66F1222B" w14:textId="77777777" w:rsidR="008F1DC1" w:rsidRDefault="008F1DC1" w:rsidP="008F1DC1">
      <w:pPr>
        <w:rPr>
          <w:rStyle w:val="Heading2Char"/>
        </w:rPr>
      </w:pPr>
      <w:bookmarkStart w:id="90" w:name="_Toc309821136"/>
      <w:bookmarkEnd w:id="87"/>
      <w:bookmarkEnd w:id="88"/>
    </w:p>
    <w:bookmarkEnd w:id="90"/>
    <w:p w14:paraId="1FB102DD" w14:textId="77777777" w:rsidR="00210286" w:rsidRDefault="00210286" w:rsidP="008C57AA">
      <w:pPr>
        <w:pStyle w:val="three"/>
        <w:numPr>
          <w:ilvl w:val="0"/>
          <w:numId w:val="0"/>
        </w:numPr>
        <w:rPr>
          <w:b/>
        </w:rPr>
      </w:pPr>
    </w:p>
    <w:p w14:paraId="191AF511" w14:textId="77777777" w:rsidR="00210286" w:rsidRPr="00F22A05" w:rsidRDefault="00210286" w:rsidP="00210286">
      <w:pPr>
        <w:tabs>
          <w:tab w:val="left" w:pos="1170"/>
        </w:tabs>
        <w:spacing w:after="240"/>
        <w:rPr>
          <w:b/>
          <w:bCs/>
        </w:rPr>
      </w:pPr>
      <w:r w:rsidRPr="00F22A05">
        <w:rPr>
          <w:b/>
          <w:bCs/>
        </w:rPr>
        <w:t>4.4.   Operating Condition Assumptions.</w:t>
      </w:r>
    </w:p>
    <w:p w14:paraId="3A384C57" w14:textId="77777777" w:rsidR="00210286" w:rsidRPr="00F22A05" w:rsidRDefault="00210286" w:rsidP="00210286">
      <w:pPr>
        <w:tabs>
          <w:tab w:val="left" w:pos="1170"/>
        </w:tabs>
        <w:spacing w:after="240"/>
        <w:rPr>
          <w:b/>
          <w:bCs/>
        </w:rPr>
      </w:pPr>
      <w:r w:rsidRPr="00F22A05">
        <w:rPr>
          <w:b/>
          <w:bCs/>
        </w:rPr>
        <w:t>4.4.3.   HVAC Sizing.</w:t>
      </w:r>
    </w:p>
    <w:p w14:paraId="1CD5842B" w14:textId="77777777" w:rsidR="00210286" w:rsidRPr="00F22A05" w:rsidRDefault="00210286" w:rsidP="00210286">
      <w:pPr>
        <w:tabs>
          <w:tab w:val="left" w:pos="1170"/>
        </w:tabs>
        <w:spacing w:after="240"/>
        <w:rPr>
          <w:b/>
          <w:bCs/>
        </w:rPr>
      </w:pPr>
      <w:bookmarkStart w:id="91" w:name="_Hlk161055267"/>
      <w:r w:rsidRPr="00F22A05">
        <w:rPr>
          <w:b/>
          <w:bCs/>
        </w:rPr>
        <w:t>4.4.3.1.  Energy Rating Reference Home.</w:t>
      </w:r>
    </w:p>
    <w:p w14:paraId="463C21F0" w14:textId="6067151E" w:rsidR="00210286" w:rsidRPr="00F22A05" w:rsidRDefault="00210286" w:rsidP="00210286">
      <w:pPr>
        <w:tabs>
          <w:tab w:val="left" w:pos="1170"/>
        </w:tabs>
        <w:spacing w:after="240"/>
      </w:pPr>
      <w:r w:rsidRPr="00F22A05">
        <w:rPr>
          <w:b/>
          <w:bCs/>
        </w:rPr>
        <w:t xml:space="preserve">4.4.3.1.4.   </w:t>
      </w:r>
      <w:r w:rsidRPr="00F22A05">
        <w:t xml:space="preserve">All windows shall have blinds/draperies that are positioned in a manner that gives an Internal Shade Coefficient (ISC) </w:t>
      </w:r>
      <w:r w:rsidRPr="00F22A05">
        <w:rPr>
          <w:strike/>
        </w:rPr>
        <w:t xml:space="preserve">of 0.70 in the summer and an ISC </w:t>
      </w:r>
      <w:r w:rsidRPr="00DE3417">
        <w:rPr>
          <w:strike/>
          <w:color w:val="FF0000"/>
        </w:rPr>
        <w:t>of 0.</w:t>
      </w:r>
      <w:r w:rsidRPr="00C6319B">
        <w:rPr>
          <w:strike/>
          <w:color w:val="FF0000"/>
          <w:u w:val="single"/>
        </w:rPr>
        <w:t>85</w:t>
      </w:r>
      <w:r w:rsidR="00676CB7" w:rsidRPr="00C6319B">
        <w:rPr>
          <w:color w:val="FF0000"/>
          <w:u w:val="single"/>
        </w:rPr>
        <w:t>of 0.92</w:t>
      </w:r>
      <w:proofErr w:type="gramStart"/>
      <w:r w:rsidR="00676CB7" w:rsidRPr="00C6319B">
        <w:rPr>
          <w:color w:val="FF0000"/>
          <w:u w:val="single"/>
        </w:rPr>
        <w:t>-(</w:t>
      </w:r>
      <w:proofErr w:type="gramEnd"/>
      <w:r w:rsidR="00676CB7" w:rsidRPr="00C6319B">
        <w:rPr>
          <w:color w:val="FF0000"/>
          <w:u w:val="single"/>
        </w:rPr>
        <w:t xml:space="preserve">0.21*SHGC </w:t>
      </w:r>
      <w:r w:rsidR="009F386A" w:rsidRPr="00C6319B">
        <w:rPr>
          <w:color w:val="FF0000"/>
          <w:u w:val="single"/>
        </w:rPr>
        <w:t>of</w:t>
      </w:r>
      <w:r w:rsidR="00676CB7" w:rsidRPr="00C6319B">
        <w:rPr>
          <w:color w:val="FF0000"/>
          <w:u w:val="single"/>
        </w:rPr>
        <w:t xml:space="preserve"> the </w:t>
      </w:r>
      <w:r w:rsidR="00C535A4" w:rsidRPr="00C6319B">
        <w:rPr>
          <w:color w:val="FF0000"/>
          <w:u w:val="single"/>
        </w:rPr>
        <w:t>Energy</w:t>
      </w:r>
      <w:r w:rsidR="00C535A4" w:rsidRPr="00DE3417">
        <w:rPr>
          <w:color w:val="FF0000"/>
          <w:u w:val="single"/>
        </w:rPr>
        <w:t xml:space="preserve"> Rating Reference Home</w:t>
      </w:r>
      <w:r w:rsidR="00676CB7" w:rsidRPr="00DE3417">
        <w:rPr>
          <w:color w:val="FF0000"/>
          <w:u w:val="single"/>
        </w:rPr>
        <w:t>)</w:t>
      </w:r>
      <w:r w:rsidRPr="00F22A05">
        <w:rPr>
          <w:strike/>
        </w:rPr>
        <w:t xml:space="preserve"> in the winter</w:t>
      </w:r>
      <w:r w:rsidRPr="00F22A05">
        <w:t xml:space="preserve">.  </w:t>
      </w:r>
      <w:r w:rsidRPr="00F22A05">
        <w:rPr>
          <w:strike/>
        </w:rPr>
        <w:t xml:space="preserve">These values </w:t>
      </w:r>
      <w:proofErr w:type="spellStart"/>
      <w:r w:rsidRPr="00F22A05">
        <w:rPr>
          <w:strike/>
        </w:rPr>
        <w:t>are</w:t>
      </w:r>
      <w:r w:rsidRPr="00DE3417">
        <w:rPr>
          <w:strike/>
          <w:color w:val="FF0000"/>
          <w:u w:val="single"/>
        </w:rPr>
        <w:t>This</w:t>
      </w:r>
      <w:proofErr w:type="spellEnd"/>
      <w:r w:rsidRPr="00DE3417">
        <w:rPr>
          <w:strike/>
          <w:color w:val="FF0000"/>
          <w:u w:val="single"/>
        </w:rPr>
        <w:t xml:space="preserve"> value is</w:t>
      </w:r>
      <w:r w:rsidRPr="00DE3417">
        <w:rPr>
          <w:strike/>
          <w:color w:val="FF0000"/>
        </w:rPr>
        <w:t xml:space="preserve"> represented in ACCA Manual J, 8th Edition as</w:t>
      </w:r>
      <w:r w:rsidRPr="00F22A05">
        <w:t xml:space="preserve"> </w:t>
      </w:r>
      <w:r w:rsidRPr="00F22A05">
        <w:rPr>
          <w:strike/>
        </w:rPr>
        <w:t xml:space="preserve">“dark closed blinds” in the summer and </w:t>
      </w:r>
      <w:r w:rsidRPr="00DE3417">
        <w:rPr>
          <w:strike/>
          <w:color w:val="FF0000"/>
        </w:rPr>
        <w:t>“dark, fully drawn roller shades”</w:t>
      </w:r>
      <w:r w:rsidRPr="00F22A05">
        <w:rPr>
          <w:strike/>
        </w:rPr>
        <w:t xml:space="preserve"> in the winter</w:t>
      </w:r>
      <w:r w:rsidRPr="00F22A05">
        <w:t>.</w:t>
      </w:r>
    </w:p>
    <w:p w14:paraId="0BEED67F" w14:textId="77777777" w:rsidR="00210286" w:rsidRPr="00F22A05" w:rsidRDefault="00210286" w:rsidP="00210286">
      <w:pPr>
        <w:tabs>
          <w:tab w:val="left" w:pos="1170"/>
        </w:tabs>
        <w:spacing w:after="240"/>
        <w:rPr>
          <w:b/>
          <w:bCs/>
        </w:rPr>
      </w:pPr>
      <w:r w:rsidRPr="00F22A05">
        <w:rPr>
          <w:b/>
          <w:bCs/>
        </w:rPr>
        <w:t>4.4.3.2.   Rated Home.</w:t>
      </w:r>
    </w:p>
    <w:p w14:paraId="64A78599" w14:textId="3F1F4EC9" w:rsidR="00210286" w:rsidRPr="00F22A05" w:rsidRDefault="00210286" w:rsidP="00210286">
      <w:pPr>
        <w:tabs>
          <w:tab w:val="left" w:pos="1170"/>
        </w:tabs>
        <w:spacing w:after="240"/>
        <w:rPr>
          <w:b/>
          <w:bCs/>
        </w:rPr>
      </w:pPr>
      <w:r w:rsidRPr="00F22A05">
        <w:rPr>
          <w:b/>
          <w:bCs/>
        </w:rPr>
        <w:t>4.4.3.2.</w:t>
      </w:r>
      <w:r>
        <w:rPr>
          <w:b/>
          <w:bCs/>
        </w:rPr>
        <w:t>5</w:t>
      </w:r>
      <w:r w:rsidRPr="00F22A05">
        <w:rPr>
          <w:b/>
          <w:bCs/>
        </w:rPr>
        <w:t xml:space="preserve">.   </w:t>
      </w:r>
      <w:r w:rsidRPr="00F22A05">
        <w:t>Windows shall include observed blinds/draperies.  For new homes, all windows shall assume blinds/draperies that are positioned in a manner that gives an Internal Shade Coefficient (ISC)</w:t>
      </w:r>
      <w:r w:rsidRPr="00F22A05">
        <w:rPr>
          <w:strike/>
        </w:rPr>
        <w:t xml:space="preserve"> of 0.70 in the summer and an ISC</w:t>
      </w:r>
      <w:r w:rsidRPr="00DE3417">
        <w:rPr>
          <w:strike/>
          <w:color w:val="FF0000"/>
        </w:rPr>
        <w:t xml:space="preserve"> of 0.85 </w:t>
      </w:r>
      <w:r w:rsidR="00502E0B" w:rsidRPr="00DE3417">
        <w:rPr>
          <w:color w:val="FF0000"/>
          <w:u w:val="single"/>
        </w:rPr>
        <w:t>of 0.92</w:t>
      </w:r>
      <w:proofErr w:type="gramStart"/>
      <w:r w:rsidR="00502E0B" w:rsidRPr="00DE3417">
        <w:rPr>
          <w:color w:val="FF0000"/>
          <w:u w:val="single"/>
        </w:rPr>
        <w:t>-(</w:t>
      </w:r>
      <w:proofErr w:type="gramEnd"/>
      <w:r w:rsidR="00502E0B" w:rsidRPr="00DE3417">
        <w:rPr>
          <w:color w:val="FF0000"/>
          <w:u w:val="single"/>
        </w:rPr>
        <w:t>0.21*SHGC</w:t>
      </w:r>
      <w:r w:rsidR="00676CB7" w:rsidRPr="00DE3417">
        <w:rPr>
          <w:color w:val="FF0000"/>
          <w:u w:val="single"/>
        </w:rPr>
        <w:t xml:space="preserve"> </w:t>
      </w:r>
      <w:r w:rsidR="00C535A4" w:rsidRPr="00DE3417">
        <w:rPr>
          <w:color w:val="FF0000"/>
          <w:u w:val="single"/>
        </w:rPr>
        <w:t>of</w:t>
      </w:r>
      <w:r w:rsidR="009F386A" w:rsidRPr="00DE3417">
        <w:rPr>
          <w:color w:val="FF0000"/>
          <w:u w:val="single"/>
        </w:rPr>
        <w:t xml:space="preserve"> the</w:t>
      </w:r>
      <w:r w:rsidR="00C535A4" w:rsidRPr="00DE3417">
        <w:rPr>
          <w:color w:val="FF0000"/>
          <w:u w:val="single"/>
        </w:rPr>
        <w:t xml:space="preserve"> Rated Home</w:t>
      </w:r>
      <w:r w:rsidR="00502E0B" w:rsidRPr="00DE3417">
        <w:rPr>
          <w:color w:val="FF0000"/>
          <w:u w:val="single"/>
        </w:rPr>
        <w:t>)</w:t>
      </w:r>
      <w:r w:rsidRPr="00F22A05">
        <w:rPr>
          <w:strike/>
        </w:rPr>
        <w:t>in the winter</w:t>
      </w:r>
      <w:r w:rsidRPr="00F22A05">
        <w:t xml:space="preserve">.  </w:t>
      </w:r>
      <w:r w:rsidRPr="00F22A05">
        <w:rPr>
          <w:strike/>
        </w:rPr>
        <w:t xml:space="preserve">These values </w:t>
      </w:r>
      <w:proofErr w:type="spellStart"/>
      <w:r w:rsidRPr="00F22A05">
        <w:rPr>
          <w:strike/>
        </w:rPr>
        <w:t>are</w:t>
      </w:r>
      <w:r w:rsidRPr="00DE3417">
        <w:rPr>
          <w:strike/>
          <w:color w:val="FF0000"/>
          <w:u w:val="single"/>
        </w:rPr>
        <w:t>This</w:t>
      </w:r>
      <w:proofErr w:type="spellEnd"/>
      <w:r w:rsidRPr="00DE3417">
        <w:rPr>
          <w:strike/>
          <w:color w:val="FF0000"/>
          <w:u w:val="single"/>
        </w:rPr>
        <w:t xml:space="preserve"> value is</w:t>
      </w:r>
      <w:r w:rsidRPr="00DE3417">
        <w:rPr>
          <w:strike/>
          <w:color w:val="FF0000"/>
        </w:rPr>
        <w:t xml:space="preserve"> represented in ACCA Manual J, 8th Edition as</w:t>
      </w:r>
      <w:r w:rsidRPr="00F22A05">
        <w:t xml:space="preserve"> </w:t>
      </w:r>
      <w:r w:rsidRPr="00F22A05">
        <w:rPr>
          <w:strike/>
        </w:rPr>
        <w:t xml:space="preserve">“dark closed blinds” in the summer and </w:t>
      </w:r>
      <w:r w:rsidRPr="00DE3417">
        <w:rPr>
          <w:strike/>
          <w:color w:val="FF0000"/>
        </w:rPr>
        <w:t xml:space="preserve">“dark fully drawn roller shades” </w:t>
      </w:r>
      <w:r w:rsidRPr="00F22A05">
        <w:rPr>
          <w:strike/>
        </w:rPr>
        <w:t>in the winter</w:t>
      </w:r>
      <w:r w:rsidRPr="00F22A05">
        <w:t>.</w:t>
      </w:r>
    </w:p>
    <w:bookmarkEnd w:id="91"/>
    <w:p w14:paraId="09BD3905" w14:textId="77777777" w:rsidR="00210286" w:rsidRPr="00F22A05" w:rsidRDefault="00210286" w:rsidP="00210286">
      <w:pPr>
        <w:pStyle w:val="three"/>
        <w:numPr>
          <w:ilvl w:val="0"/>
          <w:numId w:val="0"/>
        </w:numPr>
        <w:tabs>
          <w:tab w:val="num" w:pos="990"/>
        </w:tabs>
      </w:pPr>
      <w:r w:rsidRPr="00F22A05">
        <w:rPr>
          <w:rStyle w:val="Heading3Char"/>
          <w:rFonts w:eastAsia="MS Mincho"/>
        </w:rPr>
        <w:t>4.4.4.</w:t>
      </w:r>
      <w:r w:rsidRPr="00F22A05">
        <w:rPr>
          <w:rStyle w:val="Heading3Char"/>
          <w:rFonts w:eastAsia="MS Mincho"/>
        </w:rPr>
        <w:tab/>
        <w:t>Air Source Heat Pumps and Air Conditioners</w:t>
      </w:r>
      <w:r w:rsidRPr="00F22A05">
        <w:t xml:space="preserve">. </w:t>
      </w:r>
    </w:p>
    <w:p w14:paraId="3B4120A6" w14:textId="77777777" w:rsidR="00210286" w:rsidRPr="00F22A05" w:rsidRDefault="00210286" w:rsidP="00210286">
      <w:pPr>
        <w:pStyle w:val="four"/>
        <w:numPr>
          <w:ilvl w:val="0"/>
          <w:numId w:val="0"/>
        </w:numPr>
        <w:ind w:left="540"/>
      </w:pPr>
      <w:r w:rsidRPr="00F22A05">
        <w:rPr>
          <w:b/>
          <w:bCs w:val="0"/>
        </w:rPr>
        <w:t>4.4.4.1.</w:t>
      </w:r>
      <w:r w:rsidRPr="00F22A05">
        <w:t xml:space="preserve"> For Heat Pumps and Air Conditioners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Pr="00F22A05">
        <w:rPr>
          <w:rStyle w:val="FootnoteReference"/>
        </w:rPr>
        <w:footnoteReference w:id="27"/>
      </w:r>
      <w:r w:rsidRPr="00F22A05">
        <w:t xml:space="preserve">) shall be modified to represent the performance of the compressor and evaporator </w:t>
      </w:r>
      <w:r w:rsidRPr="00F22A05">
        <w:lastRenderedPageBreak/>
        <w:t>components alone.</w:t>
      </w:r>
      <w:r w:rsidRPr="00F22A05">
        <w:rPr>
          <w:rStyle w:val="FootnoteReference"/>
        </w:rPr>
        <w:footnoteReference w:id="28"/>
      </w:r>
      <w:r w:rsidRPr="00F22A05">
        <w:t xml:space="preserve"> The energy uses of all components, including compressor and distribution fan/blower and crank case heater, shall then be added together to obtain the total energy uses for heating and cooling.</w:t>
      </w:r>
    </w:p>
    <w:p w14:paraId="4C8E641C" w14:textId="77777777" w:rsidR="00210286" w:rsidRDefault="00210286" w:rsidP="00210286">
      <w:pPr>
        <w:pStyle w:val="four"/>
        <w:numPr>
          <w:ilvl w:val="0"/>
          <w:numId w:val="0"/>
        </w:numPr>
        <w:ind w:left="540"/>
        <w:rPr>
          <w:u w:val="single"/>
        </w:rPr>
      </w:pPr>
      <w:r w:rsidRPr="00F22A05">
        <w:rPr>
          <w:u w:val="single"/>
        </w:rPr>
        <w:t>For Heat Pumps and Air Conditioners with the more recent Manufacturer’s Equipment Performance Ratings (HSPF2 or SEER2) available, and HSPF or SEER are not available, these ratings shall be converted to HSPF or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p>
    <w:p w14:paraId="0DA35DEB" w14:textId="77777777" w:rsidR="00210286" w:rsidRDefault="00210286" w:rsidP="00210286">
      <w:pPr>
        <w:pStyle w:val="four"/>
        <w:numPr>
          <w:ilvl w:val="0"/>
          <w:numId w:val="0"/>
        </w:numPr>
        <w:ind w:left="540"/>
        <w:rPr>
          <w:u w:val="single"/>
        </w:rPr>
      </w:pPr>
    </w:p>
    <w:p w14:paraId="4F56A862" w14:textId="77777777" w:rsidR="00210286" w:rsidRDefault="00210286" w:rsidP="00210286">
      <w:pPr>
        <w:pStyle w:val="four"/>
        <w:numPr>
          <w:ilvl w:val="0"/>
          <w:numId w:val="0"/>
        </w:numPr>
        <w:ind w:left="540"/>
        <w:rPr>
          <w:u w:val="single"/>
        </w:rPr>
      </w:pPr>
    </w:p>
    <w:p w14:paraId="4A86914A" w14:textId="77777777" w:rsidR="00210286" w:rsidRDefault="00210286" w:rsidP="00210286">
      <w:pPr>
        <w:pStyle w:val="four"/>
        <w:numPr>
          <w:ilvl w:val="0"/>
          <w:numId w:val="0"/>
        </w:numPr>
        <w:ind w:left="540"/>
        <w:rPr>
          <w:u w:val="single"/>
        </w:rPr>
      </w:pPr>
    </w:p>
    <w:p w14:paraId="2780ADFC" w14:textId="77777777" w:rsidR="00210286" w:rsidRDefault="00210286" w:rsidP="00210286">
      <w:pPr>
        <w:pStyle w:val="four"/>
        <w:numPr>
          <w:ilvl w:val="0"/>
          <w:numId w:val="0"/>
        </w:numPr>
        <w:ind w:left="540"/>
        <w:rPr>
          <w:u w:val="single"/>
        </w:rPr>
      </w:pPr>
    </w:p>
    <w:p w14:paraId="0E9F57D2" w14:textId="77777777" w:rsidR="00210286" w:rsidRPr="00F22A05" w:rsidRDefault="00210286" w:rsidP="00210286">
      <w:pPr>
        <w:pStyle w:val="four"/>
        <w:numPr>
          <w:ilvl w:val="0"/>
          <w:numId w:val="0"/>
        </w:numPr>
        <w:ind w:left="540"/>
        <w:rPr>
          <w:b/>
          <w:u w:val="single"/>
        </w:rPr>
      </w:pPr>
    </w:p>
    <w:p w14:paraId="11F8BA68" w14:textId="77777777" w:rsidR="00210286" w:rsidRPr="00F22A05" w:rsidRDefault="00210286" w:rsidP="00210286">
      <w:pPr>
        <w:pStyle w:val="ListParagraph"/>
        <w:ind w:left="540"/>
        <w:jc w:val="center"/>
        <w:rPr>
          <w:b/>
          <w:u w:val="single"/>
        </w:rPr>
      </w:pPr>
      <w:bookmarkStart w:id="92" w:name="_Hlk161055322"/>
      <w:r w:rsidRPr="00F22A05">
        <w:rPr>
          <w:b/>
          <w:u w:val="single"/>
        </w:rPr>
        <w:t>Table 4.4.4.1(1) SEER2 and HSPF2 Conversion Factors</w:t>
      </w:r>
      <w:r w:rsidRPr="00F22A05">
        <w:rPr>
          <w:rStyle w:val="FootnoteReference"/>
          <w:u w:val="single"/>
        </w:rPr>
        <w:footnoteReference w:id="2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721"/>
        <w:gridCol w:w="1887"/>
        <w:gridCol w:w="2132"/>
      </w:tblGrid>
      <w:tr w:rsidR="00210286" w:rsidRPr="00F22A05" w14:paraId="65F2C90B" w14:textId="77777777" w:rsidTr="00C13AA5">
        <w:trPr>
          <w:trHeight w:val="332"/>
          <w:tblHeader/>
          <w:jc w:val="center"/>
        </w:trPr>
        <w:tc>
          <w:tcPr>
            <w:tcW w:w="3610" w:type="dxa"/>
          </w:tcPr>
          <w:p w14:paraId="0E13D438" w14:textId="77777777" w:rsidR="00210286" w:rsidRPr="00F22A05" w:rsidRDefault="00210286" w:rsidP="00C13AA5">
            <w:pPr>
              <w:ind w:left="71"/>
              <w:rPr>
                <w:rFonts w:eastAsia="MS Mincho"/>
                <w:b/>
                <w:u w:val="single"/>
              </w:rPr>
            </w:pPr>
            <w:r w:rsidRPr="00F22A05">
              <w:rPr>
                <w:rFonts w:eastAsia="MS Mincho"/>
                <w:b/>
                <w:u w:val="single"/>
              </w:rPr>
              <w:t>Equipment Type</w:t>
            </w:r>
          </w:p>
        </w:tc>
        <w:tc>
          <w:tcPr>
            <w:tcW w:w="1721" w:type="dxa"/>
          </w:tcPr>
          <w:p w14:paraId="29C110CF" w14:textId="77777777" w:rsidR="00210286" w:rsidRPr="00F22A05" w:rsidRDefault="00210286" w:rsidP="00C13AA5">
            <w:pPr>
              <w:ind w:left="64"/>
              <w:jc w:val="center"/>
              <w:rPr>
                <w:rFonts w:eastAsia="MS Mincho"/>
                <w:b/>
                <w:u w:val="single"/>
              </w:rPr>
            </w:pPr>
            <w:r w:rsidRPr="00F22A05">
              <w:rPr>
                <w:rFonts w:eastAsia="MS Mincho"/>
                <w:b/>
                <w:u w:val="single"/>
              </w:rPr>
              <w:t>SEER2/SEER</w:t>
            </w:r>
          </w:p>
        </w:tc>
        <w:tc>
          <w:tcPr>
            <w:tcW w:w="1887" w:type="dxa"/>
          </w:tcPr>
          <w:p w14:paraId="6EAE8BF8" w14:textId="77777777" w:rsidR="00210286" w:rsidRPr="00F22A05" w:rsidRDefault="00210286" w:rsidP="00C13AA5">
            <w:pPr>
              <w:ind w:left="31"/>
              <w:jc w:val="center"/>
              <w:rPr>
                <w:rFonts w:eastAsia="MS Mincho"/>
                <w:b/>
                <w:u w:val="single"/>
              </w:rPr>
            </w:pPr>
            <w:r w:rsidRPr="00F22A05">
              <w:rPr>
                <w:rFonts w:eastAsia="MS Mincho"/>
                <w:b/>
                <w:u w:val="single"/>
              </w:rPr>
              <w:t>EER2/EER</w:t>
            </w:r>
            <w:r w:rsidRPr="00F22A05">
              <w:rPr>
                <w:rStyle w:val="FootnoteReference"/>
                <w:rFonts w:eastAsia="MS Mincho"/>
                <w:u w:val="single"/>
              </w:rPr>
              <w:footnoteReference w:id="30"/>
            </w:r>
          </w:p>
        </w:tc>
        <w:tc>
          <w:tcPr>
            <w:tcW w:w="2132" w:type="dxa"/>
          </w:tcPr>
          <w:p w14:paraId="393CA0D4" w14:textId="77777777" w:rsidR="00210286" w:rsidRPr="00F22A05" w:rsidRDefault="00210286" w:rsidP="00C13AA5">
            <w:pPr>
              <w:ind w:left="31"/>
              <w:jc w:val="center"/>
              <w:rPr>
                <w:rFonts w:eastAsia="MS Mincho"/>
                <w:b/>
                <w:u w:val="single"/>
              </w:rPr>
            </w:pPr>
            <w:r w:rsidRPr="00F22A05">
              <w:rPr>
                <w:rFonts w:eastAsia="MS Mincho"/>
                <w:b/>
                <w:u w:val="single"/>
              </w:rPr>
              <w:t>HSPF2/HSPF</w:t>
            </w:r>
          </w:p>
        </w:tc>
      </w:tr>
      <w:tr w:rsidR="00210286" w:rsidRPr="00F22A05" w14:paraId="4D6D0507" w14:textId="77777777" w:rsidTr="00C13AA5">
        <w:trPr>
          <w:jc w:val="center"/>
        </w:trPr>
        <w:tc>
          <w:tcPr>
            <w:tcW w:w="3610" w:type="dxa"/>
          </w:tcPr>
          <w:p w14:paraId="2E1797A5" w14:textId="77777777" w:rsidR="00210286" w:rsidRPr="00F22A05" w:rsidRDefault="00210286" w:rsidP="00C13AA5">
            <w:pPr>
              <w:ind w:left="71"/>
              <w:rPr>
                <w:rFonts w:eastAsia="MS Mincho"/>
                <w:u w:val="single"/>
              </w:rPr>
            </w:pPr>
            <w:r w:rsidRPr="00F22A05">
              <w:rPr>
                <w:rFonts w:eastAsia="MS Mincho"/>
                <w:u w:val="single"/>
              </w:rPr>
              <w:t>Ductless Systems</w:t>
            </w:r>
          </w:p>
        </w:tc>
        <w:tc>
          <w:tcPr>
            <w:tcW w:w="1721" w:type="dxa"/>
          </w:tcPr>
          <w:p w14:paraId="5A2156F4" w14:textId="77777777" w:rsidR="00210286" w:rsidRPr="00F22A05" w:rsidRDefault="00210286" w:rsidP="00C13AA5">
            <w:pPr>
              <w:ind w:left="64"/>
              <w:jc w:val="center"/>
              <w:rPr>
                <w:rFonts w:eastAsia="MS Mincho"/>
                <w:u w:val="single"/>
              </w:rPr>
            </w:pPr>
            <w:r w:rsidRPr="00F22A05">
              <w:rPr>
                <w:rFonts w:eastAsia="MS Mincho"/>
                <w:u w:val="single"/>
              </w:rPr>
              <w:t>1.00</w:t>
            </w:r>
          </w:p>
        </w:tc>
        <w:tc>
          <w:tcPr>
            <w:tcW w:w="1887" w:type="dxa"/>
          </w:tcPr>
          <w:p w14:paraId="4C11A974" w14:textId="77777777" w:rsidR="00210286" w:rsidRPr="00F22A05" w:rsidRDefault="00210286" w:rsidP="00C13AA5">
            <w:pPr>
              <w:ind w:left="64"/>
              <w:jc w:val="center"/>
              <w:rPr>
                <w:rFonts w:eastAsia="MS Mincho"/>
                <w:u w:val="single"/>
              </w:rPr>
            </w:pPr>
            <w:r w:rsidRPr="00F22A05">
              <w:rPr>
                <w:rFonts w:eastAsia="MS Mincho"/>
                <w:u w:val="single"/>
              </w:rPr>
              <w:t>1.00</w:t>
            </w:r>
          </w:p>
        </w:tc>
        <w:tc>
          <w:tcPr>
            <w:tcW w:w="2132" w:type="dxa"/>
          </w:tcPr>
          <w:p w14:paraId="5C9EA6AC" w14:textId="77777777" w:rsidR="00210286" w:rsidRPr="00F22A05" w:rsidRDefault="00210286" w:rsidP="00C13AA5">
            <w:pPr>
              <w:ind w:left="64"/>
              <w:jc w:val="center"/>
              <w:rPr>
                <w:rFonts w:eastAsia="MS Mincho"/>
                <w:u w:val="single"/>
              </w:rPr>
            </w:pPr>
            <w:r w:rsidRPr="00F22A05">
              <w:rPr>
                <w:rFonts w:eastAsia="MS Mincho"/>
                <w:u w:val="single"/>
              </w:rPr>
              <w:t>0.90</w:t>
            </w:r>
          </w:p>
        </w:tc>
      </w:tr>
      <w:tr w:rsidR="00210286" w:rsidRPr="00F22A05" w14:paraId="4AACC7FF" w14:textId="77777777" w:rsidTr="00C13AA5">
        <w:trPr>
          <w:jc w:val="center"/>
        </w:trPr>
        <w:tc>
          <w:tcPr>
            <w:tcW w:w="3610" w:type="dxa"/>
          </w:tcPr>
          <w:p w14:paraId="6A66B0A3" w14:textId="77777777" w:rsidR="00210286" w:rsidRPr="00F22A05" w:rsidRDefault="00210286" w:rsidP="00C13AA5">
            <w:pPr>
              <w:ind w:left="71"/>
              <w:rPr>
                <w:rFonts w:eastAsia="MS Mincho"/>
                <w:u w:val="single"/>
              </w:rPr>
            </w:pPr>
            <w:r w:rsidRPr="00F22A05">
              <w:rPr>
                <w:rFonts w:eastAsia="MS Mincho"/>
                <w:u w:val="single"/>
              </w:rPr>
              <w:t>Ducted Split System</w:t>
            </w:r>
          </w:p>
        </w:tc>
        <w:tc>
          <w:tcPr>
            <w:tcW w:w="1721" w:type="dxa"/>
          </w:tcPr>
          <w:p w14:paraId="009347EB" w14:textId="77777777" w:rsidR="00210286" w:rsidRPr="00F22A05" w:rsidRDefault="00210286" w:rsidP="00C13AA5">
            <w:pPr>
              <w:ind w:left="64"/>
              <w:jc w:val="center"/>
              <w:rPr>
                <w:rFonts w:eastAsia="MS Mincho"/>
                <w:u w:val="single"/>
              </w:rPr>
            </w:pPr>
            <w:r w:rsidRPr="00F22A05">
              <w:rPr>
                <w:rFonts w:eastAsia="MS Mincho"/>
                <w:u w:val="single"/>
              </w:rPr>
              <w:t>0.95</w:t>
            </w:r>
          </w:p>
        </w:tc>
        <w:tc>
          <w:tcPr>
            <w:tcW w:w="1887" w:type="dxa"/>
          </w:tcPr>
          <w:p w14:paraId="2D3AA8A9" w14:textId="77777777" w:rsidR="00210286" w:rsidRPr="00F22A05" w:rsidRDefault="00210286" w:rsidP="00C13AA5">
            <w:pPr>
              <w:ind w:left="64"/>
              <w:jc w:val="center"/>
              <w:rPr>
                <w:rFonts w:eastAsia="MS Mincho"/>
                <w:u w:val="single"/>
              </w:rPr>
            </w:pPr>
            <w:r w:rsidRPr="00F22A05">
              <w:rPr>
                <w:rFonts w:eastAsia="MS Mincho"/>
                <w:u w:val="single"/>
              </w:rPr>
              <w:t>0.95</w:t>
            </w:r>
          </w:p>
        </w:tc>
        <w:tc>
          <w:tcPr>
            <w:tcW w:w="2132" w:type="dxa"/>
          </w:tcPr>
          <w:p w14:paraId="3E652E44" w14:textId="77777777" w:rsidR="00210286" w:rsidRPr="00F22A05" w:rsidRDefault="00210286" w:rsidP="00C13AA5">
            <w:pPr>
              <w:ind w:left="64"/>
              <w:jc w:val="center"/>
              <w:rPr>
                <w:rFonts w:eastAsia="MS Mincho"/>
                <w:u w:val="single"/>
              </w:rPr>
            </w:pPr>
            <w:r w:rsidRPr="00F22A05">
              <w:rPr>
                <w:rFonts w:eastAsia="MS Mincho"/>
                <w:u w:val="single"/>
              </w:rPr>
              <w:t>0.85</w:t>
            </w:r>
          </w:p>
        </w:tc>
      </w:tr>
      <w:tr w:rsidR="00210286" w:rsidRPr="00F22A05" w14:paraId="2D39B691" w14:textId="77777777" w:rsidTr="00C13AA5">
        <w:trPr>
          <w:jc w:val="center"/>
        </w:trPr>
        <w:tc>
          <w:tcPr>
            <w:tcW w:w="3610" w:type="dxa"/>
          </w:tcPr>
          <w:p w14:paraId="61816956" w14:textId="77777777" w:rsidR="00210286" w:rsidRPr="00F22A05" w:rsidRDefault="00210286" w:rsidP="00C13AA5">
            <w:pPr>
              <w:ind w:left="71"/>
              <w:rPr>
                <w:rFonts w:eastAsia="MS Mincho"/>
                <w:u w:val="single"/>
              </w:rPr>
            </w:pPr>
            <w:r w:rsidRPr="00F22A05">
              <w:rPr>
                <w:rFonts w:eastAsia="MS Mincho"/>
                <w:u w:val="single"/>
              </w:rPr>
              <w:t>Ducted Packaged System</w:t>
            </w:r>
          </w:p>
        </w:tc>
        <w:tc>
          <w:tcPr>
            <w:tcW w:w="1721" w:type="dxa"/>
          </w:tcPr>
          <w:p w14:paraId="3CB2F111" w14:textId="77777777" w:rsidR="00210286" w:rsidRPr="00F22A05" w:rsidRDefault="00210286" w:rsidP="00C13AA5">
            <w:pPr>
              <w:ind w:left="64"/>
              <w:jc w:val="center"/>
              <w:rPr>
                <w:rFonts w:eastAsia="MS Mincho"/>
                <w:u w:val="single"/>
              </w:rPr>
            </w:pPr>
            <w:r w:rsidRPr="00F22A05">
              <w:rPr>
                <w:rFonts w:eastAsia="MS Mincho"/>
                <w:u w:val="single"/>
              </w:rPr>
              <w:t>0.95</w:t>
            </w:r>
          </w:p>
        </w:tc>
        <w:tc>
          <w:tcPr>
            <w:tcW w:w="1887" w:type="dxa"/>
          </w:tcPr>
          <w:p w14:paraId="37D6F770" w14:textId="77777777" w:rsidR="00210286" w:rsidRPr="00F22A05" w:rsidRDefault="00210286" w:rsidP="00C13AA5">
            <w:pPr>
              <w:ind w:left="64"/>
              <w:jc w:val="center"/>
              <w:rPr>
                <w:rFonts w:eastAsia="MS Mincho"/>
                <w:u w:val="single"/>
              </w:rPr>
            </w:pPr>
            <w:r w:rsidRPr="00F22A05">
              <w:rPr>
                <w:rFonts w:eastAsia="MS Mincho"/>
                <w:u w:val="single"/>
              </w:rPr>
              <w:t>0.95</w:t>
            </w:r>
          </w:p>
        </w:tc>
        <w:tc>
          <w:tcPr>
            <w:tcW w:w="2132" w:type="dxa"/>
          </w:tcPr>
          <w:p w14:paraId="4CDF4A7F" w14:textId="77777777" w:rsidR="00210286" w:rsidRPr="00F22A05" w:rsidRDefault="00210286" w:rsidP="00C13AA5">
            <w:pPr>
              <w:ind w:left="64"/>
              <w:jc w:val="center"/>
              <w:rPr>
                <w:rFonts w:eastAsia="MS Mincho"/>
                <w:u w:val="single"/>
              </w:rPr>
            </w:pPr>
            <w:r w:rsidRPr="00F22A05">
              <w:rPr>
                <w:rFonts w:eastAsia="MS Mincho"/>
                <w:u w:val="single"/>
              </w:rPr>
              <w:t>0.84</w:t>
            </w:r>
          </w:p>
        </w:tc>
      </w:tr>
      <w:tr w:rsidR="00210286" w:rsidRPr="00F22A05" w14:paraId="36301312" w14:textId="77777777" w:rsidTr="00C13AA5">
        <w:trPr>
          <w:jc w:val="center"/>
        </w:trPr>
        <w:tc>
          <w:tcPr>
            <w:tcW w:w="3610" w:type="dxa"/>
          </w:tcPr>
          <w:p w14:paraId="1A1D96A5" w14:textId="77777777" w:rsidR="00210286" w:rsidRPr="00F22A05" w:rsidRDefault="00210286" w:rsidP="00C13AA5">
            <w:pPr>
              <w:ind w:left="71"/>
              <w:rPr>
                <w:rFonts w:eastAsia="MS Mincho"/>
                <w:u w:val="single"/>
              </w:rPr>
            </w:pPr>
            <w:r w:rsidRPr="00F22A05">
              <w:rPr>
                <w:rFonts w:eastAsia="MS Mincho"/>
                <w:u w:val="single"/>
              </w:rPr>
              <w:t>Small Duct High Velocity System</w:t>
            </w:r>
          </w:p>
        </w:tc>
        <w:tc>
          <w:tcPr>
            <w:tcW w:w="1721" w:type="dxa"/>
          </w:tcPr>
          <w:p w14:paraId="7C28F3BB" w14:textId="77777777" w:rsidR="00210286" w:rsidRPr="00F22A05" w:rsidRDefault="00210286" w:rsidP="00C13AA5">
            <w:pPr>
              <w:ind w:left="64"/>
              <w:jc w:val="center"/>
              <w:rPr>
                <w:rFonts w:eastAsia="MS Mincho"/>
                <w:u w:val="single"/>
              </w:rPr>
            </w:pPr>
            <w:r w:rsidRPr="00F22A05">
              <w:rPr>
                <w:rFonts w:eastAsia="MS Mincho"/>
                <w:u w:val="single"/>
              </w:rPr>
              <w:t>1.00</w:t>
            </w:r>
          </w:p>
        </w:tc>
        <w:tc>
          <w:tcPr>
            <w:tcW w:w="1887" w:type="dxa"/>
          </w:tcPr>
          <w:p w14:paraId="4A1B4B30" w14:textId="77777777" w:rsidR="00210286" w:rsidRPr="00F22A05" w:rsidRDefault="00210286" w:rsidP="00C13AA5">
            <w:pPr>
              <w:ind w:left="64"/>
              <w:jc w:val="center"/>
              <w:rPr>
                <w:rFonts w:eastAsia="MS Mincho"/>
                <w:u w:val="single"/>
              </w:rPr>
            </w:pPr>
            <w:r w:rsidRPr="00F22A05">
              <w:rPr>
                <w:rFonts w:eastAsia="MS Mincho"/>
                <w:u w:val="single"/>
              </w:rPr>
              <w:t>Not Applicable</w:t>
            </w:r>
          </w:p>
        </w:tc>
        <w:tc>
          <w:tcPr>
            <w:tcW w:w="2132" w:type="dxa"/>
          </w:tcPr>
          <w:p w14:paraId="14204CD4" w14:textId="77777777" w:rsidR="00210286" w:rsidRPr="00F22A05" w:rsidRDefault="00210286" w:rsidP="00C13AA5">
            <w:pPr>
              <w:ind w:left="64"/>
              <w:jc w:val="center"/>
              <w:rPr>
                <w:rFonts w:eastAsia="MS Mincho"/>
                <w:u w:val="single"/>
              </w:rPr>
            </w:pPr>
            <w:r w:rsidRPr="00F22A05">
              <w:rPr>
                <w:rFonts w:eastAsia="MS Mincho"/>
                <w:u w:val="single"/>
              </w:rPr>
              <w:t>0.85</w:t>
            </w:r>
          </w:p>
        </w:tc>
      </w:tr>
      <w:tr w:rsidR="00210286" w:rsidRPr="00F22A05" w14:paraId="3F883216" w14:textId="77777777" w:rsidTr="00C13AA5">
        <w:trPr>
          <w:jc w:val="center"/>
        </w:trPr>
        <w:tc>
          <w:tcPr>
            <w:tcW w:w="3610" w:type="dxa"/>
          </w:tcPr>
          <w:p w14:paraId="6D5859E6" w14:textId="77777777" w:rsidR="00210286" w:rsidRPr="00F22A05" w:rsidRDefault="00210286" w:rsidP="00C13AA5">
            <w:pPr>
              <w:ind w:left="71"/>
              <w:rPr>
                <w:rFonts w:eastAsia="MS Mincho"/>
                <w:u w:val="single"/>
              </w:rPr>
            </w:pPr>
            <w:r w:rsidRPr="00F22A05">
              <w:rPr>
                <w:rFonts w:eastAsia="MS Mincho"/>
                <w:u w:val="single"/>
              </w:rPr>
              <w:t>Ducted Space-Constrained Air Conditioner</w:t>
            </w:r>
            <w:r w:rsidRPr="00F22A05">
              <w:rPr>
                <w:rStyle w:val="FootnoteReference"/>
                <w:rFonts w:eastAsia="MS Mincho"/>
                <w:u w:val="single"/>
              </w:rPr>
              <w:footnoteReference w:id="31"/>
            </w:r>
          </w:p>
        </w:tc>
        <w:tc>
          <w:tcPr>
            <w:tcW w:w="1721" w:type="dxa"/>
            <w:vAlign w:val="center"/>
          </w:tcPr>
          <w:p w14:paraId="717DCDE1" w14:textId="77777777" w:rsidR="00210286" w:rsidRPr="00F22A05" w:rsidRDefault="00210286" w:rsidP="00C13AA5">
            <w:pPr>
              <w:ind w:left="64"/>
              <w:jc w:val="center"/>
              <w:rPr>
                <w:rFonts w:eastAsia="MS Mincho"/>
                <w:u w:val="single"/>
              </w:rPr>
            </w:pPr>
            <w:r w:rsidRPr="00F22A05">
              <w:rPr>
                <w:rFonts w:eastAsia="MS Mincho"/>
                <w:u w:val="single"/>
              </w:rPr>
              <w:t>0.97</w:t>
            </w:r>
          </w:p>
        </w:tc>
        <w:tc>
          <w:tcPr>
            <w:tcW w:w="1887" w:type="dxa"/>
            <w:vAlign w:val="center"/>
          </w:tcPr>
          <w:p w14:paraId="02501E5D" w14:textId="77777777" w:rsidR="00210286" w:rsidRPr="00F22A05" w:rsidRDefault="00210286" w:rsidP="00C13AA5">
            <w:pPr>
              <w:ind w:left="64"/>
              <w:jc w:val="center"/>
              <w:rPr>
                <w:rFonts w:eastAsia="MS Mincho"/>
                <w:u w:val="single"/>
              </w:rPr>
            </w:pPr>
            <w:r w:rsidRPr="00F22A05">
              <w:rPr>
                <w:rFonts w:eastAsia="MS Mincho"/>
                <w:u w:val="single"/>
              </w:rPr>
              <w:t>Not Applicable</w:t>
            </w:r>
          </w:p>
        </w:tc>
        <w:tc>
          <w:tcPr>
            <w:tcW w:w="2132" w:type="dxa"/>
            <w:vAlign w:val="center"/>
          </w:tcPr>
          <w:p w14:paraId="56A97F5F" w14:textId="77777777" w:rsidR="00210286" w:rsidRPr="00F22A05" w:rsidDel="00135874" w:rsidRDefault="00210286" w:rsidP="00C13AA5">
            <w:pPr>
              <w:ind w:left="64"/>
              <w:jc w:val="center"/>
              <w:rPr>
                <w:rFonts w:eastAsia="MS Mincho"/>
                <w:u w:val="single"/>
              </w:rPr>
            </w:pPr>
            <w:r w:rsidRPr="00F22A05">
              <w:rPr>
                <w:rFonts w:eastAsia="MS Mincho"/>
                <w:u w:val="single"/>
              </w:rPr>
              <w:t>Not Applicable</w:t>
            </w:r>
          </w:p>
        </w:tc>
      </w:tr>
      <w:tr w:rsidR="00210286" w:rsidRPr="00F22A05" w14:paraId="11E611C3" w14:textId="77777777" w:rsidTr="00C13AA5">
        <w:trPr>
          <w:trHeight w:val="620"/>
          <w:jc w:val="center"/>
        </w:trPr>
        <w:tc>
          <w:tcPr>
            <w:tcW w:w="3610" w:type="dxa"/>
          </w:tcPr>
          <w:p w14:paraId="66F646EA" w14:textId="77777777" w:rsidR="00210286" w:rsidRPr="00F22A05" w:rsidRDefault="00210286" w:rsidP="00C13AA5">
            <w:pPr>
              <w:ind w:left="71"/>
              <w:rPr>
                <w:rFonts w:eastAsia="MS Mincho"/>
              </w:rPr>
            </w:pPr>
            <w:r w:rsidRPr="00F22A05">
              <w:rPr>
                <w:rFonts w:eastAsia="MS Mincho"/>
                <w:u w:val="single"/>
              </w:rPr>
              <w:t>Ducted Space-Constrained Heat Pump</w:t>
            </w:r>
            <w:r w:rsidRPr="00F22A05">
              <w:rPr>
                <w:rFonts w:eastAsia="MS Mincho"/>
                <w:u w:val="single"/>
                <w:vertAlign w:val="superscript"/>
              </w:rPr>
              <w:t>30</w:t>
            </w:r>
          </w:p>
        </w:tc>
        <w:tc>
          <w:tcPr>
            <w:tcW w:w="1721" w:type="dxa"/>
            <w:vAlign w:val="center"/>
          </w:tcPr>
          <w:p w14:paraId="110B5F72" w14:textId="77777777" w:rsidR="00210286" w:rsidRPr="00F22A05" w:rsidRDefault="00210286" w:rsidP="00C13AA5">
            <w:pPr>
              <w:ind w:left="64"/>
              <w:jc w:val="center"/>
              <w:rPr>
                <w:rFonts w:eastAsia="MS Mincho"/>
                <w:u w:val="single"/>
              </w:rPr>
            </w:pPr>
            <w:r w:rsidRPr="00F22A05">
              <w:rPr>
                <w:rFonts w:eastAsia="MS Mincho"/>
                <w:u w:val="single"/>
              </w:rPr>
              <w:t>0.99</w:t>
            </w:r>
          </w:p>
        </w:tc>
        <w:tc>
          <w:tcPr>
            <w:tcW w:w="1887" w:type="dxa"/>
            <w:vAlign w:val="center"/>
          </w:tcPr>
          <w:p w14:paraId="7C59431F" w14:textId="77777777" w:rsidR="00210286" w:rsidRPr="00F22A05" w:rsidRDefault="00210286" w:rsidP="00C13AA5">
            <w:pPr>
              <w:ind w:left="64"/>
              <w:jc w:val="center"/>
              <w:rPr>
                <w:rFonts w:eastAsia="MS Mincho"/>
                <w:u w:val="single"/>
              </w:rPr>
            </w:pPr>
            <w:r w:rsidRPr="00F22A05">
              <w:rPr>
                <w:rFonts w:eastAsia="MS Mincho"/>
                <w:u w:val="single"/>
              </w:rPr>
              <w:t>Not Applicable</w:t>
            </w:r>
          </w:p>
        </w:tc>
        <w:tc>
          <w:tcPr>
            <w:tcW w:w="2132" w:type="dxa"/>
            <w:vAlign w:val="center"/>
          </w:tcPr>
          <w:p w14:paraId="0770EAA3" w14:textId="77777777" w:rsidR="00210286" w:rsidRPr="00F22A05" w:rsidRDefault="00210286" w:rsidP="00C13AA5">
            <w:pPr>
              <w:ind w:left="64"/>
              <w:jc w:val="center"/>
              <w:rPr>
                <w:rFonts w:eastAsia="MS Mincho"/>
                <w:u w:val="single"/>
              </w:rPr>
            </w:pPr>
            <w:r w:rsidRPr="00F22A05">
              <w:rPr>
                <w:rFonts w:eastAsia="MS Mincho"/>
                <w:u w:val="single"/>
              </w:rPr>
              <w:t>0.85</w:t>
            </w:r>
          </w:p>
        </w:tc>
      </w:tr>
    </w:tbl>
    <w:p w14:paraId="42440F33" w14:textId="77777777" w:rsidR="00210286" w:rsidRPr="00F22A05" w:rsidRDefault="00210286" w:rsidP="00210286">
      <w:pPr>
        <w:pStyle w:val="four"/>
        <w:numPr>
          <w:ilvl w:val="0"/>
          <w:numId w:val="0"/>
        </w:numPr>
        <w:ind w:left="540"/>
        <w:rPr>
          <w:b/>
        </w:rPr>
      </w:pPr>
    </w:p>
    <w:bookmarkEnd w:id="92"/>
    <w:p w14:paraId="4807FB8E" w14:textId="77777777" w:rsidR="00210286" w:rsidRPr="00F22A05" w:rsidRDefault="00210286" w:rsidP="00210286">
      <w:pPr>
        <w:pStyle w:val="two"/>
        <w:numPr>
          <w:ilvl w:val="0"/>
          <w:numId w:val="0"/>
        </w:numPr>
        <w:rPr>
          <w:rStyle w:val="Heading2Char"/>
        </w:rPr>
      </w:pPr>
    </w:p>
    <w:p w14:paraId="754A633B" w14:textId="77777777" w:rsidR="00210286" w:rsidRPr="00F22A05" w:rsidRDefault="00210286" w:rsidP="00210286">
      <w:pPr>
        <w:pStyle w:val="two"/>
        <w:numPr>
          <w:ilvl w:val="0"/>
          <w:numId w:val="0"/>
        </w:numPr>
        <w:rPr>
          <w:b/>
          <w:bCs/>
        </w:rPr>
      </w:pPr>
      <w:r w:rsidRPr="00F22A05">
        <w:rPr>
          <w:rStyle w:val="Heading2Char"/>
        </w:rPr>
        <w:t>4.5   Minimum Rated Features</w:t>
      </w:r>
      <w:r w:rsidRPr="00F22A05">
        <w:rPr>
          <w:b/>
          <w:bCs/>
        </w:rPr>
        <w:t>.</w:t>
      </w:r>
      <w:r w:rsidRPr="00F22A05">
        <w:t xml:space="preserve"> The estimated annual Purchased Energy consumption for heating, cooling, water heating and lighting and appliances set forth in Section 4.2 shall be determined using the energy loss and gain associated with the Minimum Rated Features as set forth in Table 4.5.2(1). </w:t>
      </w:r>
    </w:p>
    <w:p w14:paraId="41CDB6CF" w14:textId="77777777" w:rsidR="00210286" w:rsidRPr="00F22A05" w:rsidRDefault="00210286" w:rsidP="00210286">
      <w:pPr>
        <w:rPr>
          <w:b/>
        </w:rPr>
      </w:pPr>
    </w:p>
    <w:p w14:paraId="0BEAFE17" w14:textId="77777777" w:rsidR="00210286" w:rsidRPr="00F22A05" w:rsidRDefault="00210286" w:rsidP="00210286">
      <w:pPr>
        <w:pStyle w:val="three"/>
        <w:numPr>
          <w:ilvl w:val="2"/>
          <w:numId w:val="40"/>
        </w:numPr>
        <w:ind w:left="0" w:firstLine="0"/>
        <w:rPr>
          <w:b/>
        </w:rPr>
      </w:pPr>
      <w:bookmarkStart w:id="94" w:name="_Toc443655377"/>
      <w:bookmarkStart w:id="95" w:name="_Toc505772458"/>
      <w:r w:rsidRPr="00F22A05">
        <w:rPr>
          <w:rStyle w:val="Heading3Char"/>
        </w:rPr>
        <w:lastRenderedPageBreak/>
        <w:t>Data Sources</w:t>
      </w:r>
      <w:bookmarkEnd w:id="94"/>
      <w:bookmarkEnd w:id="95"/>
      <w:r w:rsidRPr="00F22A05">
        <w:rPr>
          <w:b/>
        </w:rPr>
        <w:t>.</w:t>
      </w:r>
      <w:r w:rsidRPr="00F22A05">
        <w:t xml:space="preserve"> If data for the Minimum Rated Features set forth in Section 4.5.2 cannot be obtained by observation or without destructive disassembly of the home, default values Approved by the entity adopting the use of this Standard shall be used based on current and historical local building practice and building codes, and for modular or manufactured housing, using available data from the manufacturer.  </w:t>
      </w:r>
    </w:p>
    <w:p w14:paraId="5122787E" w14:textId="77777777" w:rsidR="00210286" w:rsidRPr="00F22A05" w:rsidRDefault="00210286" w:rsidP="00210286">
      <w:pPr>
        <w:rPr>
          <w:b/>
        </w:rPr>
      </w:pPr>
    </w:p>
    <w:p w14:paraId="32756632" w14:textId="77777777" w:rsidR="00210286" w:rsidRPr="00732A78" w:rsidRDefault="00210286" w:rsidP="00210286">
      <w:pPr>
        <w:pStyle w:val="three"/>
        <w:numPr>
          <w:ilvl w:val="2"/>
          <w:numId w:val="40"/>
        </w:numPr>
        <w:ind w:left="0" w:firstLine="0"/>
        <w:rPr>
          <w:b/>
        </w:rPr>
      </w:pPr>
      <w:r w:rsidRPr="00732A78">
        <w:rPr>
          <w:rStyle w:val="Heading3Char"/>
        </w:rPr>
        <w:t>Standard Features</w:t>
      </w:r>
      <w:r w:rsidRPr="00732A78">
        <w:rPr>
          <w:b/>
        </w:rPr>
        <w:t>.</w:t>
      </w:r>
      <w:r w:rsidRPr="00732A78">
        <w:t xml:space="preserve"> The Minimum Rated Features associated with the home shall be determined and documented by a Certified Rater or Approved Inspector in accordance with Sections 4.5.2.1 through 4.5.2.4 and the on-site inspection procedures in Appendix A and Appendix B </w:t>
      </w:r>
      <w:r w:rsidRPr="00732A78">
        <w:rPr>
          <w:u w:val="single"/>
        </w:rPr>
        <w:t>and shall reflect the home at the time of inspection</w:t>
      </w:r>
      <w:r w:rsidRPr="00732A78">
        <w:rPr>
          <w:rStyle w:val="FootnoteReference"/>
          <w:u w:val="single"/>
        </w:rPr>
        <w:footnoteReference w:id="32"/>
      </w:r>
      <w:r w:rsidRPr="00732A78">
        <w:t>.</w:t>
      </w:r>
    </w:p>
    <w:p w14:paraId="5CDE5FA2" w14:textId="77777777" w:rsidR="00210286" w:rsidRDefault="00210286" w:rsidP="00210286">
      <w:pPr>
        <w:rPr>
          <w:b/>
        </w:rPr>
      </w:pPr>
    </w:p>
    <w:p w14:paraId="5A07B107" w14:textId="77777777" w:rsidR="00210286" w:rsidRPr="00F22A05" w:rsidRDefault="00210286" w:rsidP="00210286">
      <w:pPr>
        <w:rPr>
          <w:b/>
        </w:rPr>
      </w:pPr>
    </w:p>
    <w:p w14:paraId="4BDBFB8C" w14:textId="77777777" w:rsidR="00210286" w:rsidRPr="00F22A05" w:rsidRDefault="00210286" w:rsidP="008C57AA">
      <w:pPr>
        <w:pStyle w:val="three"/>
        <w:numPr>
          <w:ilvl w:val="0"/>
          <w:numId w:val="0"/>
        </w:numPr>
        <w:rPr>
          <w:b/>
        </w:rPr>
      </w:pPr>
    </w:p>
    <w:p w14:paraId="1B061FA6" w14:textId="1B593329" w:rsidR="003D71E7" w:rsidRPr="005F1F10" w:rsidRDefault="003D71E7" w:rsidP="00066052">
      <w:pPr>
        <w:pStyle w:val="ListParagraph"/>
        <w:numPr>
          <w:ilvl w:val="3"/>
          <w:numId w:val="38"/>
        </w:numPr>
        <w:rPr>
          <w:b/>
        </w:rPr>
      </w:pPr>
      <w:bookmarkStart w:id="96" w:name="_Hlk22741853"/>
      <w:r w:rsidRPr="00FA69E8">
        <w:t>The Air Conditioner</w:t>
      </w:r>
      <w:r w:rsidR="000F2809" w:rsidRPr="00FA69E8">
        <w:t>, Furnace,</w:t>
      </w:r>
      <w:r w:rsidRPr="00FA69E8">
        <w:t xml:space="preserve"> and Heat Pump Installation Quality Grade set forth as building element 13 in Table 4.5.2(1) shall be determined by using Standard </w:t>
      </w:r>
      <w:r w:rsidR="003440CF" w:rsidRPr="00FA69E8">
        <w:t>ANSI/RESNET/ACCA</w:t>
      </w:r>
      <w:r w:rsidR="00657767" w:rsidRPr="00FA69E8">
        <w:t>/ICC</w:t>
      </w:r>
      <w:r w:rsidR="003440CF" w:rsidRPr="00FA69E8">
        <w:t xml:space="preserve"> 310</w:t>
      </w:r>
      <w:r w:rsidRPr="00FA69E8">
        <w:t xml:space="preserve">. </w:t>
      </w:r>
      <w:r w:rsidR="00800CF7" w:rsidRPr="00FA69E8">
        <w:t>When information on the Installation Quality Grade cannot be determined, the values set forth in Table 4.5.2(</w:t>
      </w:r>
      <w:r w:rsidR="00BB1472" w:rsidRPr="00FA69E8">
        <w:t>5</w:t>
      </w:r>
      <w:r w:rsidR="00800CF7" w:rsidRPr="00FA69E8">
        <w:t>) shall be used.</w:t>
      </w:r>
      <w:r w:rsidR="00A12F37" w:rsidRPr="00A12F37">
        <w:rPr>
          <w:b/>
          <w:color w:val="0070C0"/>
          <w:vertAlign w:val="superscript"/>
        </w:rPr>
        <w:t xml:space="preserve"> </w:t>
      </w:r>
      <w:r w:rsidR="00210286">
        <w:rPr>
          <w:b/>
          <w:color w:val="0070C0"/>
          <w:vertAlign w:val="superscript"/>
        </w:rPr>
        <w:t>(</w:t>
      </w:r>
      <w:r w:rsidR="00A12F37" w:rsidRPr="00210286">
        <w:rPr>
          <w:b/>
          <w:color w:val="0070C0"/>
          <w:vertAlign w:val="superscript"/>
        </w:rPr>
        <w:t>1</w:t>
      </w:r>
      <w:r w:rsidR="00210286">
        <w:rPr>
          <w:b/>
          <w:color w:val="0070C0"/>
          <w:vertAlign w:val="superscript"/>
        </w:rPr>
        <w:t>)</w:t>
      </w:r>
    </w:p>
    <w:bookmarkEnd w:id="96"/>
    <w:p w14:paraId="0FD102E8" w14:textId="77777777" w:rsidR="00852000" w:rsidRDefault="00852000" w:rsidP="00852000">
      <w:pPr>
        <w:pStyle w:val="fivea"/>
        <w:numPr>
          <w:ilvl w:val="0"/>
          <w:numId w:val="0"/>
        </w:numPr>
      </w:pPr>
    </w:p>
    <w:p w14:paraId="02A8C96C" w14:textId="77777777" w:rsidR="00481EB7" w:rsidRPr="00FA69E8" w:rsidRDefault="00481EB7" w:rsidP="008F1DC1">
      <w:pPr>
        <w:tabs>
          <w:tab w:val="left" w:pos="1440"/>
        </w:tabs>
        <w:ind w:left="1440" w:hanging="360"/>
        <w:rPr>
          <w:b/>
        </w:rPr>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FA69E8" w:rsidRPr="00FA69E8" w14:paraId="529DEE08" w14:textId="77777777" w:rsidTr="00723B0E">
        <w:trPr>
          <w:cantSplit/>
          <w:trHeight w:val="402"/>
          <w:tblHeader/>
        </w:trPr>
        <w:tc>
          <w:tcPr>
            <w:tcW w:w="9000" w:type="dxa"/>
            <w:gridSpan w:val="2"/>
            <w:shd w:val="clear" w:color="auto" w:fill="auto"/>
          </w:tcPr>
          <w:p w14:paraId="3DB48D4F" w14:textId="77777777" w:rsidR="008F1DC1" w:rsidRPr="00FA69E8" w:rsidRDefault="008F1DC1" w:rsidP="00CE1D7B">
            <w:pPr>
              <w:keepNext/>
              <w:jc w:val="center"/>
              <w:rPr>
                <w:b/>
              </w:rPr>
            </w:pPr>
            <w:bookmarkStart w:id="97" w:name="_Toc132541331"/>
            <w:bookmarkStart w:id="98" w:name="_Toc132549160"/>
            <w:bookmarkStart w:id="99" w:name="_Toc309819860"/>
            <w:bookmarkStart w:id="100" w:name="_Toc309821151"/>
            <w:bookmarkStart w:id="101" w:name="_Hlk86835425"/>
            <w:r w:rsidRPr="00FA69E8">
              <w:rPr>
                <w:b/>
              </w:rPr>
              <w:lastRenderedPageBreak/>
              <w:t>Table 4.</w:t>
            </w:r>
            <w:r w:rsidR="0018265B" w:rsidRPr="00FA69E8">
              <w:rPr>
                <w:b/>
              </w:rPr>
              <w:t>5</w:t>
            </w:r>
            <w:r w:rsidRPr="00FA69E8">
              <w:rPr>
                <w:b/>
              </w:rPr>
              <w:t>.2(1</w:t>
            </w:r>
            <w:proofErr w:type="gramStart"/>
            <w:r w:rsidRPr="00FA69E8">
              <w:rPr>
                <w:b/>
              </w:rPr>
              <w:t>)  Minimum</w:t>
            </w:r>
            <w:proofErr w:type="gramEnd"/>
            <w:r w:rsidRPr="00FA69E8">
              <w:rPr>
                <w:b/>
              </w:rPr>
              <w:t xml:space="preserve"> Rated Features</w:t>
            </w:r>
            <w:bookmarkEnd w:id="97"/>
            <w:bookmarkEnd w:id="98"/>
            <w:bookmarkEnd w:id="99"/>
            <w:bookmarkEnd w:id="100"/>
          </w:p>
        </w:tc>
      </w:tr>
      <w:tr w:rsidR="00FA69E8" w:rsidRPr="00FA69E8" w14:paraId="0C576777" w14:textId="77777777" w:rsidTr="00723B0E">
        <w:trPr>
          <w:cantSplit/>
          <w:trHeight w:val="402"/>
          <w:tblHeader/>
        </w:trPr>
        <w:tc>
          <w:tcPr>
            <w:tcW w:w="2367" w:type="dxa"/>
            <w:shd w:val="clear" w:color="auto" w:fill="auto"/>
          </w:tcPr>
          <w:p w14:paraId="0FC19D0C" w14:textId="39C6053A" w:rsidR="008F1DC1" w:rsidRPr="00FA69E8" w:rsidRDefault="008F1DC1" w:rsidP="00B82EFA">
            <w:pPr>
              <w:rPr>
                <w:b/>
              </w:rPr>
            </w:pPr>
            <w:bookmarkStart w:id="102" w:name="_Toc309819861"/>
            <w:bookmarkStart w:id="103" w:name="_Toc309821152"/>
            <w:r w:rsidRPr="00FA69E8">
              <w:rPr>
                <w:b/>
              </w:rPr>
              <w:t>Building Element</w:t>
            </w:r>
            <w:bookmarkEnd w:id="102"/>
            <w:bookmarkEnd w:id="103"/>
          </w:p>
        </w:tc>
        <w:tc>
          <w:tcPr>
            <w:tcW w:w="6633" w:type="dxa"/>
            <w:shd w:val="clear" w:color="auto" w:fill="auto"/>
          </w:tcPr>
          <w:p w14:paraId="11B29DAB" w14:textId="77777777" w:rsidR="008F1DC1" w:rsidRPr="00FA69E8" w:rsidRDefault="008F1DC1" w:rsidP="00CE1D7B">
            <w:pPr>
              <w:keepNext/>
              <w:rPr>
                <w:b/>
              </w:rPr>
            </w:pPr>
            <w:bookmarkStart w:id="104" w:name="_Toc309819862"/>
            <w:bookmarkStart w:id="105" w:name="_Toc309821153"/>
            <w:r w:rsidRPr="00FA69E8">
              <w:rPr>
                <w:b/>
              </w:rPr>
              <w:t>Minimum Rated Feature</w:t>
            </w:r>
            <w:bookmarkEnd w:id="104"/>
            <w:bookmarkEnd w:id="105"/>
          </w:p>
        </w:tc>
      </w:tr>
      <w:tr w:rsidR="000A762C" w:rsidRPr="00FA69E8" w14:paraId="070BE374" w14:textId="77777777" w:rsidTr="00723B0E">
        <w:trPr>
          <w:cantSplit/>
          <w:trHeight w:val="402"/>
          <w:tblHeader/>
        </w:trPr>
        <w:tc>
          <w:tcPr>
            <w:tcW w:w="2367" w:type="dxa"/>
            <w:shd w:val="clear" w:color="auto" w:fill="auto"/>
          </w:tcPr>
          <w:p w14:paraId="6A64FB24" w14:textId="134E0079" w:rsidR="000A762C" w:rsidRPr="00FA69E8" w:rsidRDefault="000A762C" w:rsidP="000A762C">
            <w:pPr>
              <w:rPr>
                <w:b/>
              </w:rPr>
            </w:pPr>
            <w:r>
              <w:rPr>
                <w:rStyle w:val="normaltextrun"/>
              </w:rPr>
              <w:t>General Project Info</w:t>
            </w:r>
            <w:r>
              <w:rPr>
                <w:rStyle w:val="eop"/>
              </w:rPr>
              <w:t> </w:t>
            </w:r>
          </w:p>
        </w:tc>
        <w:tc>
          <w:tcPr>
            <w:tcW w:w="6633" w:type="dxa"/>
            <w:shd w:val="clear" w:color="auto" w:fill="auto"/>
          </w:tcPr>
          <w:p w14:paraId="3F03922F" w14:textId="47665269" w:rsidR="000A762C" w:rsidRPr="00FA69E8" w:rsidRDefault="000A762C" w:rsidP="000A762C">
            <w:pPr>
              <w:keepNext/>
              <w:rPr>
                <w:b/>
              </w:rPr>
            </w:pPr>
            <w:r>
              <w:rPr>
                <w:rStyle w:val="normaltextrun"/>
              </w:rPr>
              <w:t>Total number of buildings, Dwelling Units, and total number of Bedrooms in the project.</w:t>
            </w:r>
            <w:r>
              <w:rPr>
                <w:rStyle w:val="eop"/>
              </w:rPr>
              <w:t> </w:t>
            </w:r>
          </w:p>
        </w:tc>
      </w:tr>
      <w:tr w:rsidR="00F22A05" w:rsidRPr="00F22A05" w14:paraId="461DB1BF" w14:textId="77777777" w:rsidTr="00723B0E">
        <w:trPr>
          <w:cantSplit/>
          <w:trHeight w:val="402"/>
          <w:tblHeader/>
        </w:trPr>
        <w:tc>
          <w:tcPr>
            <w:tcW w:w="2367" w:type="dxa"/>
            <w:shd w:val="clear" w:color="auto" w:fill="auto"/>
          </w:tcPr>
          <w:p w14:paraId="6E7E03AD" w14:textId="4A2C046F" w:rsidR="000A762C" w:rsidRPr="00F22A05" w:rsidRDefault="000A762C" w:rsidP="000A762C">
            <w:pPr>
              <w:rPr>
                <w:rStyle w:val="normaltextrun"/>
              </w:rPr>
            </w:pPr>
            <w:r w:rsidRPr="00F22A05">
              <w:rPr>
                <w:rStyle w:val="normaltextrun"/>
              </w:rPr>
              <w:t>1. Floor/Foundation Assembly</w:t>
            </w:r>
            <w:r w:rsidRPr="00F22A05">
              <w:rPr>
                <w:rStyle w:val="eop"/>
              </w:rPr>
              <w:t> </w:t>
            </w:r>
          </w:p>
        </w:tc>
        <w:tc>
          <w:tcPr>
            <w:tcW w:w="6633" w:type="dxa"/>
            <w:shd w:val="clear" w:color="auto" w:fill="auto"/>
          </w:tcPr>
          <w:p w14:paraId="736007F2" w14:textId="15B2EFCB" w:rsidR="000A762C" w:rsidRPr="00F22A05" w:rsidRDefault="000A762C" w:rsidP="000A762C">
            <w:pPr>
              <w:keepNext/>
              <w:rPr>
                <w:rStyle w:val="normaltextrun"/>
              </w:rPr>
            </w:pPr>
            <w:r w:rsidRPr="00F22A05">
              <w:rPr>
                <w:rStyle w:val="normaltextrun"/>
              </w:rPr>
              <w:t>Construction type (slab-on-grade, crawlspace, basement), boundary condition (adiabatic, above unconditioned space, above Non-Freezing Space), dimensions, insulation type, value, and location (edge, under slab, cavity, sheathing), framing material and on-center spacing, insulation installation (Grade I, II, or III), vented or unvented (crawlspace), capacitance (if slab or basement receives appreciable solar gain).</w:t>
            </w:r>
            <w:r w:rsidRPr="00F22A05">
              <w:rPr>
                <w:rStyle w:val="eop"/>
              </w:rPr>
              <w:t> </w:t>
            </w:r>
          </w:p>
        </w:tc>
      </w:tr>
      <w:tr w:rsidR="00F22A05" w:rsidRPr="00F22A05" w14:paraId="1609F3C2" w14:textId="77777777" w:rsidTr="00207467">
        <w:trPr>
          <w:cantSplit/>
          <w:trHeight w:val="402"/>
          <w:tblHeader/>
        </w:trPr>
        <w:tc>
          <w:tcPr>
            <w:tcW w:w="2367" w:type="dxa"/>
          </w:tcPr>
          <w:p w14:paraId="7DB751BD" w14:textId="0CA5F90B" w:rsidR="000A762C" w:rsidRPr="00F22A05" w:rsidRDefault="000A762C" w:rsidP="000A762C">
            <w:pPr>
              <w:rPr>
                <w:rStyle w:val="normaltextrun"/>
              </w:rPr>
            </w:pPr>
            <w:r w:rsidRPr="00F22A05">
              <w:rPr>
                <w:rStyle w:val="normaltextrun"/>
              </w:rPr>
              <w:t>2. Walls Assembly</w:t>
            </w:r>
            <w:r w:rsidRPr="00F22A05">
              <w:rPr>
                <w:rStyle w:val="eop"/>
              </w:rPr>
              <w:t> </w:t>
            </w:r>
          </w:p>
        </w:tc>
        <w:tc>
          <w:tcPr>
            <w:tcW w:w="6633" w:type="dxa"/>
          </w:tcPr>
          <w:p w14:paraId="7CC7BF7C" w14:textId="564FDA9C" w:rsidR="000A762C" w:rsidRPr="00F22A05" w:rsidRDefault="000A762C" w:rsidP="000A762C">
            <w:pPr>
              <w:keepNext/>
              <w:rPr>
                <w:rStyle w:val="normaltextrun"/>
              </w:rPr>
            </w:pPr>
            <w:r w:rsidRPr="00F22A05">
              <w:rPr>
                <w:rStyle w:val="normaltextrun"/>
              </w:rPr>
              <w:t xml:space="preserve">Construction type, </w:t>
            </w:r>
            <w:r w:rsidRPr="00F22A05">
              <w:rPr>
                <w:rStyle w:val="normaltextrun"/>
                <w:u w:val="single"/>
              </w:rPr>
              <w:t>orientation (for exterior walls),</w:t>
            </w:r>
            <w:r w:rsidRPr="00F22A05">
              <w:rPr>
                <w:rStyle w:val="normaltextrun"/>
              </w:rPr>
              <w:t xml:space="preserve"> boundary condition (adiabatic, ambient, Multifamily Buffer Boundary), insulation value (cavity, sheathing), framing material and on-center spacing, insulation installation (Grade I, II, or III), capacitance, exterior color (according to Table 4.2.2(4)).</w:t>
            </w:r>
            <w:r w:rsidRPr="00F22A05">
              <w:rPr>
                <w:rStyle w:val="eop"/>
              </w:rPr>
              <w:t> </w:t>
            </w:r>
          </w:p>
        </w:tc>
      </w:tr>
      <w:tr w:rsidR="00F22A05" w:rsidRPr="00F22A05" w14:paraId="210EF13D" w14:textId="77777777" w:rsidTr="00207467">
        <w:trPr>
          <w:cantSplit/>
          <w:trHeight w:val="402"/>
          <w:tblHeader/>
        </w:trPr>
        <w:tc>
          <w:tcPr>
            <w:tcW w:w="2367" w:type="dxa"/>
          </w:tcPr>
          <w:p w14:paraId="5374B293" w14:textId="508274AD" w:rsidR="000A762C" w:rsidRPr="00F22A05" w:rsidRDefault="000A762C" w:rsidP="000A762C">
            <w:pPr>
              <w:rPr>
                <w:rStyle w:val="normaltextrun"/>
              </w:rPr>
            </w:pPr>
            <w:r w:rsidRPr="00F22A05">
              <w:rPr>
                <w:rStyle w:val="normaltextrun"/>
              </w:rPr>
              <w:t>3. Roof/Ceiling</w:t>
            </w:r>
            <w:r w:rsidRPr="00F22A05">
              <w:rPr>
                <w:rStyle w:val="scxw64685278"/>
              </w:rPr>
              <w:t> </w:t>
            </w:r>
            <w:r w:rsidRPr="00F22A05">
              <w:br/>
            </w:r>
            <w:r w:rsidRPr="00F22A05">
              <w:rPr>
                <w:rStyle w:val="normaltextrun"/>
              </w:rPr>
              <w:t>    Assembly</w:t>
            </w:r>
            <w:r w:rsidRPr="00F22A05">
              <w:rPr>
                <w:rStyle w:val="tabchar"/>
              </w:rPr>
              <w:t xml:space="preserve"> </w:t>
            </w:r>
            <w:r w:rsidRPr="00F22A05">
              <w:rPr>
                <w:rStyle w:val="eop"/>
              </w:rPr>
              <w:t> </w:t>
            </w:r>
          </w:p>
        </w:tc>
        <w:tc>
          <w:tcPr>
            <w:tcW w:w="6633" w:type="dxa"/>
          </w:tcPr>
          <w:p w14:paraId="3EF39103" w14:textId="37C3012A" w:rsidR="000A762C" w:rsidRPr="00F22A05" w:rsidRDefault="000A762C" w:rsidP="000A762C">
            <w:pPr>
              <w:keepNext/>
              <w:rPr>
                <w:rStyle w:val="normaltextrun"/>
              </w:rPr>
            </w:pPr>
            <w:r w:rsidRPr="00F22A05">
              <w:rPr>
                <w:rStyle w:val="normaltextrun"/>
              </w:rPr>
              <w:t xml:space="preserve">Construction type, insulation value (cavity, sheathing), framing material and on-center spacing, insulation installation (Grade I, II, or III), framing covered by insulation or exposed, roof color (according to Table 4.2.2(5)). To determine the attic eave </w:t>
            </w:r>
            <w:proofErr w:type="gramStart"/>
            <w:r w:rsidRPr="00F22A05">
              <w:rPr>
                <w:rStyle w:val="normaltextrun"/>
              </w:rPr>
              <w:t>geometry</w:t>
            </w:r>
            <w:proofErr w:type="gramEnd"/>
            <w:r w:rsidRPr="00F22A05">
              <w:rPr>
                <w:rStyle w:val="normaltextrun"/>
              </w:rPr>
              <w:t xml:space="preserve"> </w:t>
            </w:r>
            <w:proofErr w:type="gramStart"/>
            <w:r w:rsidRPr="00F22A05">
              <w:rPr>
                <w:rStyle w:val="normaltextrun"/>
              </w:rPr>
              <w:t>determine</w:t>
            </w:r>
            <w:proofErr w:type="gramEnd"/>
            <w:r w:rsidRPr="00F22A05">
              <w:rPr>
                <w:rStyle w:val="normaltextrun"/>
              </w:rPr>
              <w:t xml:space="preserve"> the roof slope, eave height, ceiling framing height, and eave length.</w:t>
            </w:r>
            <w:r w:rsidRPr="00F22A05">
              <w:rPr>
                <w:rStyle w:val="eop"/>
              </w:rPr>
              <w:t> </w:t>
            </w:r>
          </w:p>
        </w:tc>
      </w:tr>
      <w:tr w:rsidR="00F22A05" w:rsidRPr="00F22A05" w14:paraId="7DD69F0F" w14:textId="77777777" w:rsidTr="008D0090">
        <w:trPr>
          <w:cantSplit/>
          <w:trHeight w:val="237"/>
          <w:tblHeader/>
        </w:trPr>
        <w:tc>
          <w:tcPr>
            <w:tcW w:w="2367" w:type="dxa"/>
          </w:tcPr>
          <w:p w14:paraId="52650AF0" w14:textId="77777777" w:rsidR="000A762C" w:rsidRPr="00F22A05" w:rsidRDefault="000A762C" w:rsidP="000A762C">
            <w:pPr>
              <w:rPr>
                <w:rStyle w:val="normaltextrun"/>
              </w:rPr>
            </w:pPr>
          </w:p>
        </w:tc>
        <w:tc>
          <w:tcPr>
            <w:tcW w:w="6633" w:type="dxa"/>
          </w:tcPr>
          <w:p w14:paraId="09618922" w14:textId="77777777" w:rsidR="000A762C" w:rsidRPr="00F22A05" w:rsidRDefault="000A762C" w:rsidP="000A762C">
            <w:pPr>
              <w:keepNext/>
              <w:rPr>
                <w:rStyle w:val="normaltextrun"/>
              </w:rPr>
            </w:pPr>
          </w:p>
        </w:tc>
      </w:tr>
      <w:tr w:rsidR="00F22A05" w:rsidRPr="00F22A05" w14:paraId="69310A0F" w14:textId="77777777" w:rsidTr="00207467">
        <w:trPr>
          <w:cantSplit/>
          <w:trHeight w:val="402"/>
        </w:trPr>
        <w:tc>
          <w:tcPr>
            <w:tcW w:w="2367" w:type="dxa"/>
          </w:tcPr>
          <w:p w14:paraId="6D9C1A7F" w14:textId="1F1CB404" w:rsidR="00D13290" w:rsidRPr="00F22A05" w:rsidRDefault="003D71E7" w:rsidP="00B82EFA">
            <w:pPr>
              <w:spacing w:line="228" w:lineRule="auto"/>
            </w:pPr>
            <w:bookmarkStart w:id="106" w:name="_Hlk5374132"/>
            <w:bookmarkEnd w:id="101"/>
            <w:r w:rsidRPr="00F22A05">
              <w:t>22</w:t>
            </w:r>
            <w:r w:rsidR="00D13290" w:rsidRPr="00F22A05">
              <w:t>. Clothes Dryer</w:t>
            </w:r>
          </w:p>
        </w:tc>
        <w:tc>
          <w:tcPr>
            <w:tcW w:w="6633" w:type="dxa"/>
          </w:tcPr>
          <w:p w14:paraId="18B169B5" w14:textId="61E096A8" w:rsidR="00D13290" w:rsidRPr="00F22A05" w:rsidRDefault="00D13290" w:rsidP="00617EA6">
            <w:pPr>
              <w:spacing w:line="233" w:lineRule="auto"/>
            </w:pPr>
            <w:r w:rsidRPr="00F22A05">
              <w:t>Location, clothes washer Modified Energy Factor</w:t>
            </w:r>
            <w:r w:rsidR="00A05692" w:rsidRPr="00F22A05">
              <w:t xml:space="preserve"> </w:t>
            </w:r>
            <w:r w:rsidRPr="00F22A05">
              <w:t xml:space="preserve">(MEF) or Integrated Modified Energy Factor (IMEF) and clothes washer Labeled Energy Rating (kWh/y) from Energy Guide label; clothes washer capacity from manufacturer’s data or CEC Appliance Efficiency Database or EPA ENERGY STAR website; </w:t>
            </w:r>
            <w:r w:rsidR="000C04DB" w:rsidRPr="00F22A05">
              <w:rPr>
                <w:u w:val="single"/>
              </w:rPr>
              <w:t xml:space="preserve">clothes dryer venting type (vented or ventless); </w:t>
            </w:r>
            <w:r w:rsidRPr="00F22A05">
              <w:t>and clothes dryer Efficiency Factor</w:t>
            </w:r>
            <w:r w:rsidR="00E36458" w:rsidRPr="00F22A05">
              <w:t xml:space="preserve"> </w:t>
            </w:r>
            <w:r w:rsidRPr="00F22A05">
              <w:t xml:space="preserve">(EF) or Combined Efficiency Factor (CEF) from CEC Appliance Efficiency Database or EPA ENERGY STAR website, for all clothes dryers located in the Rated Home or any clothes dryers in the building intended for use by the Rated Home occupants, as defined in Section </w:t>
            </w:r>
            <w:r w:rsidR="00A735A5" w:rsidRPr="00F22A05">
              <w:t>4.2.2.6.2.8</w:t>
            </w:r>
            <w:r w:rsidRPr="00F22A05">
              <w:t xml:space="preserve">. </w:t>
            </w:r>
          </w:p>
        </w:tc>
      </w:tr>
      <w:tr w:rsidR="00F22A05" w:rsidRPr="00F22A05" w14:paraId="13A3BD04" w14:textId="77777777" w:rsidTr="00207467">
        <w:trPr>
          <w:cantSplit/>
          <w:trHeight w:val="402"/>
        </w:trPr>
        <w:tc>
          <w:tcPr>
            <w:tcW w:w="2367" w:type="dxa"/>
          </w:tcPr>
          <w:p w14:paraId="195BE254" w14:textId="378C11A0" w:rsidR="00D13290" w:rsidRPr="00F22A05" w:rsidRDefault="003D71E7" w:rsidP="00B82EFA">
            <w:pPr>
              <w:spacing w:line="228" w:lineRule="auto"/>
            </w:pPr>
            <w:bookmarkStart w:id="107" w:name="_Toc309819903"/>
            <w:bookmarkStart w:id="108" w:name="_Toc309821194"/>
            <w:bookmarkEnd w:id="106"/>
            <w:r w:rsidRPr="00F22A05">
              <w:t>23</w:t>
            </w:r>
            <w:r w:rsidR="00D13290" w:rsidRPr="00F22A05">
              <w:t>. Ceiling Fans</w:t>
            </w:r>
            <w:bookmarkEnd w:id="107"/>
            <w:bookmarkEnd w:id="108"/>
          </w:p>
        </w:tc>
        <w:tc>
          <w:tcPr>
            <w:tcW w:w="6633" w:type="dxa"/>
          </w:tcPr>
          <w:p w14:paraId="7506742C" w14:textId="0F8AEE08" w:rsidR="00D13290" w:rsidRPr="00F22A05" w:rsidRDefault="007E65B7" w:rsidP="002C12BA">
            <w:pPr>
              <w:spacing w:line="233" w:lineRule="auto"/>
            </w:pPr>
            <w:bookmarkStart w:id="109" w:name="_Toc309819904"/>
            <w:bookmarkStart w:id="110" w:name="_Toc309821195"/>
            <w:r w:rsidRPr="00F22A05">
              <w:t xml:space="preserve">Total number of ceiling fans in the Dwelling Unit, </w:t>
            </w:r>
            <w:proofErr w:type="gramStart"/>
            <w:r w:rsidR="00D13290" w:rsidRPr="00F22A05">
              <w:rPr>
                <w:strike/>
              </w:rPr>
              <w:t>Labeled</w:t>
            </w:r>
            <w:proofErr w:type="gramEnd"/>
            <w:r w:rsidR="00D13290" w:rsidRPr="00F22A05">
              <w:rPr>
                <w:strike/>
              </w:rPr>
              <w:t xml:space="preserve"> cfm, Watts</w:t>
            </w:r>
            <w:r w:rsidR="005C79B9" w:rsidRPr="00F22A05">
              <w:rPr>
                <w:strike/>
              </w:rPr>
              <w:t>,</w:t>
            </w:r>
            <w:r w:rsidR="00D13290" w:rsidRPr="00F22A05">
              <w:rPr>
                <w:strike/>
              </w:rPr>
              <w:t xml:space="preserve"> and cfm/Watt at medium fan speed </w:t>
            </w:r>
            <w:proofErr w:type="spellStart"/>
            <w:r w:rsidR="00D13290" w:rsidRPr="00F22A05">
              <w:rPr>
                <w:strike/>
              </w:rPr>
              <w:t>from</w:t>
            </w:r>
            <w:r w:rsidR="00846AF9" w:rsidRPr="00F22A05">
              <w:rPr>
                <w:u w:val="single"/>
              </w:rPr>
              <w:t>EnergyGuide</w:t>
            </w:r>
            <w:proofErr w:type="spellEnd"/>
            <w:r w:rsidR="00846AF9" w:rsidRPr="00F22A05">
              <w:rPr>
                <w:u w:val="single"/>
              </w:rPr>
              <w:t xml:space="preserve"> Labeled “Energy Use”</w:t>
            </w:r>
            <w:r w:rsidR="00D0498C" w:rsidRPr="00F22A05">
              <w:rPr>
                <w:u w:val="single"/>
              </w:rPr>
              <w:t xml:space="preserve"> Watts for</w:t>
            </w:r>
            <w:r w:rsidR="00D13290" w:rsidRPr="00F22A05">
              <w:t xml:space="preserve"> </w:t>
            </w:r>
            <w:r w:rsidRPr="00F22A05">
              <w:t>each</w:t>
            </w:r>
            <w:r w:rsidR="00D13290" w:rsidRPr="00F22A05">
              <w:t xml:space="preserve"> ceiling fan</w:t>
            </w:r>
            <w:r w:rsidR="00D13290" w:rsidRPr="00F22A05">
              <w:rPr>
                <w:strike/>
              </w:rPr>
              <w:t xml:space="preserve"> label</w:t>
            </w:r>
            <w:r w:rsidR="00D13290" w:rsidRPr="00F22A05">
              <w:t>.</w:t>
            </w:r>
            <w:bookmarkEnd w:id="109"/>
            <w:bookmarkEnd w:id="110"/>
            <w:r w:rsidR="00D13290" w:rsidRPr="00F22A05">
              <w:t xml:space="preserve"> </w:t>
            </w:r>
          </w:p>
        </w:tc>
      </w:tr>
      <w:tr w:rsidR="00F22A05" w:rsidRPr="00F22A05" w14:paraId="29BC67C7" w14:textId="77777777" w:rsidTr="008D0090">
        <w:trPr>
          <w:cantSplit/>
          <w:trHeight w:val="264"/>
        </w:trPr>
        <w:tc>
          <w:tcPr>
            <w:tcW w:w="2367" w:type="dxa"/>
          </w:tcPr>
          <w:p w14:paraId="27E72CB2" w14:textId="7626935E" w:rsidR="007D1B51" w:rsidRPr="00F22A05" w:rsidRDefault="007D1B51" w:rsidP="007D1B51">
            <w:pPr>
              <w:spacing w:line="228" w:lineRule="auto"/>
            </w:pPr>
          </w:p>
        </w:tc>
        <w:tc>
          <w:tcPr>
            <w:tcW w:w="6633" w:type="dxa"/>
          </w:tcPr>
          <w:p w14:paraId="6AAA7E4E" w14:textId="298533F2" w:rsidR="007D1B51" w:rsidRPr="00F22A05" w:rsidRDefault="007D1B51" w:rsidP="007D1B51">
            <w:pPr>
              <w:spacing w:line="233" w:lineRule="auto"/>
            </w:pPr>
          </w:p>
        </w:tc>
      </w:tr>
      <w:tr w:rsidR="00F22A05" w:rsidRPr="00F22A05" w14:paraId="1BFE9B2B" w14:textId="77777777" w:rsidTr="00207467">
        <w:trPr>
          <w:cantSplit/>
          <w:trHeight w:val="402"/>
        </w:trPr>
        <w:tc>
          <w:tcPr>
            <w:tcW w:w="2367" w:type="dxa"/>
            <w:tcBorders>
              <w:top w:val="single" w:sz="6" w:space="0" w:color="auto"/>
              <w:left w:val="single" w:sz="6" w:space="0" w:color="auto"/>
              <w:bottom w:val="single" w:sz="6" w:space="0" w:color="auto"/>
              <w:right w:val="single" w:sz="6" w:space="0" w:color="auto"/>
            </w:tcBorders>
          </w:tcPr>
          <w:p w14:paraId="2FABE573" w14:textId="77777777" w:rsidR="000C34BF" w:rsidRPr="00F22A05" w:rsidRDefault="000C34BF" w:rsidP="00F3759E">
            <w:pPr>
              <w:spacing w:line="228" w:lineRule="auto"/>
            </w:pPr>
            <w:r w:rsidRPr="00F22A05">
              <w:t xml:space="preserve">26. On-site Power </w:t>
            </w:r>
            <w:r w:rsidRPr="00F22A05">
              <w:br/>
              <w:t xml:space="preserve">      Production</w:t>
            </w:r>
          </w:p>
        </w:tc>
        <w:tc>
          <w:tcPr>
            <w:tcW w:w="6633" w:type="dxa"/>
            <w:tcBorders>
              <w:top w:val="single" w:sz="6" w:space="0" w:color="auto"/>
              <w:left w:val="single" w:sz="6" w:space="0" w:color="auto"/>
              <w:bottom w:val="single" w:sz="6" w:space="0" w:color="auto"/>
              <w:right w:val="single" w:sz="6" w:space="0" w:color="auto"/>
            </w:tcBorders>
          </w:tcPr>
          <w:p w14:paraId="708E3E72" w14:textId="127514D3" w:rsidR="000C34BF" w:rsidRPr="00F22A05" w:rsidRDefault="000C34BF" w:rsidP="00F3759E">
            <w:pPr>
              <w:spacing w:line="233" w:lineRule="auto"/>
            </w:pPr>
            <w:bookmarkStart w:id="111" w:name="_Toc309819908"/>
            <w:bookmarkStart w:id="112" w:name="_Toc309821199"/>
            <w:r w:rsidRPr="00F22A05">
              <w:t xml:space="preserve">System type, </w:t>
            </w:r>
            <w:r w:rsidRPr="00F22A05">
              <w:rPr>
                <w:strike/>
              </w:rPr>
              <w:t>total annual kWh generation,</w:t>
            </w:r>
            <w:r w:rsidRPr="00F22A05">
              <w:t xml:space="preserve"> and total site fuel used in the On-Site Power Production as derived from manufacturer’s performance ratings.</w:t>
            </w:r>
            <w:bookmarkEnd w:id="111"/>
            <w:bookmarkEnd w:id="112"/>
          </w:p>
        </w:tc>
      </w:tr>
      <w:tr w:rsidR="00FA69E8" w:rsidRPr="00F22A05" w14:paraId="51703E5C" w14:textId="77777777" w:rsidTr="00207467">
        <w:trPr>
          <w:cantSplit/>
          <w:trHeight w:val="402"/>
        </w:trPr>
        <w:tc>
          <w:tcPr>
            <w:tcW w:w="2367" w:type="dxa"/>
            <w:tcBorders>
              <w:top w:val="single" w:sz="6" w:space="0" w:color="auto"/>
              <w:left w:val="single" w:sz="6" w:space="0" w:color="auto"/>
              <w:bottom w:val="single" w:sz="6" w:space="0" w:color="auto"/>
              <w:right w:val="single" w:sz="6" w:space="0" w:color="auto"/>
            </w:tcBorders>
          </w:tcPr>
          <w:p w14:paraId="11938EED" w14:textId="39D6ED0C" w:rsidR="000C34BF" w:rsidRPr="00F22A05" w:rsidRDefault="000C34BF" w:rsidP="00F3759E">
            <w:pPr>
              <w:spacing w:line="228" w:lineRule="auto"/>
              <w:rPr>
                <w:u w:val="single"/>
              </w:rPr>
            </w:pPr>
            <w:r w:rsidRPr="00F22A05">
              <w:rPr>
                <w:u w:val="single"/>
              </w:rPr>
              <w:t>27. On-Site Battery Storage</w:t>
            </w:r>
            <w:r w:rsidRPr="00A26977">
              <w:rPr>
                <w:vertAlign w:val="superscript"/>
              </w:rPr>
              <w:t xml:space="preserve"> </w:t>
            </w:r>
            <w:r w:rsidR="00A26977" w:rsidRPr="00A26977">
              <w:rPr>
                <w:b/>
                <w:bCs/>
                <w:vertAlign w:val="superscript"/>
              </w:rPr>
              <w:t>1</w:t>
            </w:r>
          </w:p>
        </w:tc>
        <w:tc>
          <w:tcPr>
            <w:tcW w:w="6633" w:type="dxa"/>
            <w:tcBorders>
              <w:top w:val="single" w:sz="6" w:space="0" w:color="auto"/>
              <w:left w:val="single" w:sz="6" w:space="0" w:color="auto"/>
              <w:bottom w:val="single" w:sz="6" w:space="0" w:color="auto"/>
              <w:right w:val="single" w:sz="6" w:space="0" w:color="auto"/>
            </w:tcBorders>
          </w:tcPr>
          <w:p w14:paraId="64DEC674" w14:textId="70AF3912" w:rsidR="000C34BF" w:rsidRPr="00F22A05" w:rsidRDefault="000C34BF" w:rsidP="000C34BF">
            <w:pPr>
              <w:spacing w:line="233" w:lineRule="auto"/>
              <w:rPr>
                <w:u w:val="single"/>
              </w:rPr>
            </w:pPr>
            <w:r w:rsidRPr="00F22A05">
              <w:rPr>
                <w:u w:val="single"/>
              </w:rPr>
              <w:t>Storage type, maximum kW charging/discharging rates, usable kWh capacity, round-trip efficiency.</w:t>
            </w:r>
          </w:p>
        </w:tc>
      </w:tr>
    </w:tbl>
    <w:p w14:paraId="43EAD3FE" w14:textId="77777777" w:rsidR="008F1DC1" w:rsidRPr="00F22A05" w:rsidRDefault="008F1DC1" w:rsidP="008F1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p>
    <w:p w14:paraId="5387BA6F" w14:textId="78F698A9" w:rsidR="000E580D" w:rsidRPr="00F22A05" w:rsidRDefault="000E580D" w:rsidP="008F1DC1">
      <w:pPr>
        <w:tabs>
          <w:tab w:val="left" w:pos="1170"/>
        </w:tabs>
      </w:pPr>
    </w:p>
    <w:p w14:paraId="3A59417D" w14:textId="77777777" w:rsidR="006A5C0F" w:rsidRPr="00F22A05" w:rsidRDefault="006A5C0F" w:rsidP="006A5C0F">
      <w:pPr>
        <w:rPr>
          <w:b/>
        </w:rPr>
      </w:pPr>
      <w:bookmarkStart w:id="113" w:name="_Toc309821126"/>
      <w:bookmarkStart w:id="114" w:name="_Toc443655379"/>
      <w:bookmarkStart w:id="115" w:name="_Toc505772460"/>
    </w:p>
    <w:p w14:paraId="0F755CE1" w14:textId="77777777" w:rsidR="006A5C0F" w:rsidRPr="00F22A05" w:rsidRDefault="006A5C0F" w:rsidP="006A5C0F">
      <w:pPr>
        <w:rPr>
          <w:b/>
        </w:rPr>
      </w:pPr>
    </w:p>
    <w:p w14:paraId="5356E843" w14:textId="5CB24119" w:rsidR="0017706E" w:rsidRPr="00F22A05" w:rsidRDefault="0039798C" w:rsidP="00BD100B">
      <w:pPr>
        <w:pStyle w:val="two"/>
        <w:numPr>
          <w:ilvl w:val="0"/>
          <w:numId w:val="0"/>
        </w:numPr>
        <w:rPr>
          <w:rStyle w:val="Heading2Char"/>
          <w:bCs/>
        </w:rPr>
      </w:pPr>
      <w:r w:rsidRPr="00F22A05">
        <w:rPr>
          <w:rStyle w:val="Heading2Char"/>
        </w:rPr>
        <w:t xml:space="preserve">5.  </w:t>
      </w:r>
      <w:r w:rsidR="0017706E" w:rsidRPr="00F22A05">
        <w:rPr>
          <w:rStyle w:val="Heading2Char"/>
        </w:rPr>
        <w:t>Existing Home Retrofit Savings.</w:t>
      </w:r>
    </w:p>
    <w:bookmarkEnd w:id="113"/>
    <w:bookmarkEnd w:id="114"/>
    <w:bookmarkEnd w:id="115"/>
    <w:p w14:paraId="339F1B23" w14:textId="77777777" w:rsidR="008F1DC1" w:rsidRPr="00FA69E8" w:rsidRDefault="008F1DC1" w:rsidP="008F1DC1">
      <w:pPr>
        <w:outlineLvl w:val="2"/>
      </w:pPr>
    </w:p>
    <w:p w14:paraId="79E0EED2" w14:textId="1F83442E" w:rsidR="008F1DC1" w:rsidRPr="00FA69E8" w:rsidRDefault="002660AB" w:rsidP="00BD100B">
      <w:pPr>
        <w:pStyle w:val="three"/>
        <w:numPr>
          <w:ilvl w:val="0"/>
          <w:numId w:val="0"/>
        </w:numPr>
        <w:rPr>
          <w:b/>
        </w:rPr>
      </w:pPr>
      <w:bookmarkStart w:id="116" w:name="_Toc309821128"/>
      <w:bookmarkStart w:id="117" w:name="_Toc443655380"/>
      <w:bookmarkStart w:id="118" w:name="_Toc505772461"/>
      <w:r w:rsidRPr="00FA69E8">
        <w:rPr>
          <w:rStyle w:val="Heading3Char"/>
        </w:rPr>
        <w:t>5.1</w:t>
      </w:r>
      <w:r w:rsidR="00371118" w:rsidRPr="00FA69E8">
        <w:rPr>
          <w:rStyle w:val="Heading3Char"/>
        </w:rPr>
        <w:t>.</w:t>
      </w:r>
      <w:r w:rsidRPr="00FA69E8">
        <w:rPr>
          <w:rStyle w:val="Heading3Char"/>
        </w:rPr>
        <w:t xml:space="preserve">  </w:t>
      </w:r>
      <w:r w:rsidR="008F1DC1" w:rsidRPr="00FA69E8">
        <w:rPr>
          <w:rStyle w:val="Heading3Char"/>
        </w:rPr>
        <w:t>Baseline Existing Home</w:t>
      </w:r>
      <w:bookmarkEnd w:id="116"/>
      <w:bookmarkEnd w:id="117"/>
      <w:bookmarkEnd w:id="118"/>
      <w:r w:rsidR="008F1DC1" w:rsidRPr="00FA69E8">
        <w:rPr>
          <w:b/>
        </w:rPr>
        <w:t xml:space="preserve">. </w:t>
      </w:r>
    </w:p>
    <w:p w14:paraId="2E6FF4EA" w14:textId="0F9AE026" w:rsidR="008F1DC1" w:rsidRPr="00F22A05" w:rsidRDefault="002660AB" w:rsidP="007A100F">
      <w:pPr>
        <w:pStyle w:val="four"/>
        <w:numPr>
          <w:ilvl w:val="0"/>
          <w:numId w:val="0"/>
        </w:numPr>
        <w:ind w:left="360"/>
        <w:rPr>
          <w:b/>
        </w:rPr>
      </w:pPr>
      <w:r w:rsidRPr="00F22A05">
        <w:rPr>
          <w:b/>
          <w:bCs w:val="0"/>
        </w:rPr>
        <w:t>5.1.1</w:t>
      </w:r>
      <w:r w:rsidR="00371118" w:rsidRPr="00F22A05">
        <w:rPr>
          <w:b/>
          <w:bCs w:val="0"/>
        </w:rPr>
        <w:t>.</w:t>
      </w:r>
      <w:r w:rsidRPr="00F22A05">
        <w:rPr>
          <w:b/>
          <w:bCs w:val="0"/>
        </w:rPr>
        <w:t xml:space="preserve">  </w:t>
      </w:r>
      <w:r w:rsidR="007A100F" w:rsidRPr="00F22A05">
        <w:t>Where multiple appliances of the same type exist in the original configuration of the existing home, the same number of those appliance types shall be included in the Baseline Existing Home Model.</w:t>
      </w:r>
    </w:p>
    <w:p w14:paraId="26B6E1BC" w14:textId="28F903CA" w:rsidR="00371118" w:rsidRPr="00F22A05" w:rsidRDefault="002660AB" w:rsidP="00371118">
      <w:pPr>
        <w:pStyle w:val="four"/>
        <w:numPr>
          <w:ilvl w:val="0"/>
          <w:numId w:val="0"/>
        </w:numPr>
        <w:ind w:left="360"/>
      </w:pPr>
      <w:r w:rsidRPr="00F22A05">
        <w:rPr>
          <w:b/>
          <w:bCs w:val="0"/>
        </w:rPr>
        <w:t>5.1.2</w:t>
      </w:r>
      <w:r w:rsidR="00371118" w:rsidRPr="00F22A05">
        <w:rPr>
          <w:b/>
          <w:bCs w:val="0"/>
        </w:rPr>
        <w:t>.</w:t>
      </w:r>
      <w:r w:rsidRPr="00F22A05">
        <w:rPr>
          <w:b/>
          <w:bCs w:val="0"/>
        </w:rPr>
        <w:t xml:space="preserve">  </w:t>
      </w:r>
      <w:r w:rsidR="008F1DC1" w:rsidRPr="00F22A05">
        <w:t>Where a standard appliance as defined by Tables 4.2.2.</w:t>
      </w:r>
      <w:r w:rsidR="008F1DC1" w:rsidRPr="00F22A05">
        <w:rPr>
          <w:strike/>
        </w:rPr>
        <w:t>5</w:t>
      </w:r>
      <w:r w:rsidR="005560B0" w:rsidRPr="00F22A05">
        <w:rPr>
          <w:u w:val="single"/>
        </w:rPr>
        <w:t>7</w:t>
      </w:r>
      <w:r w:rsidR="008F1DC1" w:rsidRPr="00F22A05">
        <w:t>(1) and 4.2.2.</w:t>
      </w:r>
      <w:r w:rsidR="008F1DC1" w:rsidRPr="00F22A05">
        <w:rPr>
          <w:strike/>
        </w:rPr>
        <w:t>5</w:t>
      </w:r>
      <w:r w:rsidR="005560B0" w:rsidRPr="00F22A05">
        <w:rPr>
          <w:u w:val="single"/>
        </w:rPr>
        <w:t>7</w:t>
      </w:r>
      <w:r w:rsidR="008F1DC1" w:rsidRPr="00F22A05">
        <w:t xml:space="preserve">(2) does not exist in the original configuration of the existing home, the standard default energy use and </w:t>
      </w:r>
      <w:r w:rsidR="000E409F" w:rsidRPr="00F22A05">
        <w:t>I</w:t>
      </w:r>
      <w:r w:rsidR="008F1DC1" w:rsidRPr="00F22A05">
        <w:t xml:space="preserve">nternal </w:t>
      </w:r>
      <w:r w:rsidR="000E409F" w:rsidRPr="00F22A05">
        <w:t>G</w:t>
      </w:r>
      <w:r w:rsidR="008F1DC1" w:rsidRPr="00F22A05">
        <w:t xml:space="preserve">ains as specified </w:t>
      </w:r>
      <w:r w:rsidR="006A7130" w:rsidRPr="00F22A05">
        <w:rPr>
          <w:u w:val="single"/>
        </w:rPr>
        <w:t>in Section 4.2.2.7.1</w:t>
      </w:r>
      <w:r w:rsidR="008F1DC1" w:rsidRPr="00F22A05">
        <w:rPr>
          <w:strike/>
        </w:rPr>
        <w:t>by Table 4.2.2(3)</w:t>
      </w:r>
      <w:r w:rsidR="008F1DC1" w:rsidRPr="00F22A05">
        <w:t xml:space="preserve"> for that appliance shall be included in the Baseline Existing Home Model.</w:t>
      </w:r>
      <w:bookmarkStart w:id="119" w:name="_Toc309821129"/>
      <w:bookmarkStart w:id="120" w:name="_Toc443655381"/>
      <w:bookmarkStart w:id="121" w:name="_Toc505772462"/>
    </w:p>
    <w:p w14:paraId="4346E786" w14:textId="77777777" w:rsidR="00371118" w:rsidRPr="00F22A05" w:rsidRDefault="00371118" w:rsidP="00371118">
      <w:pPr>
        <w:pStyle w:val="four"/>
        <w:numPr>
          <w:ilvl w:val="0"/>
          <w:numId w:val="0"/>
        </w:numPr>
        <w:ind w:left="360"/>
      </w:pPr>
    </w:p>
    <w:p w14:paraId="67D16EA0" w14:textId="02AFF9D2" w:rsidR="00371118" w:rsidRPr="00F22A05" w:rsidRDefault="005B4965" w:rsidP="00371118">
      <w:pPr>
        <w:pStyle w:val="four"/>
        <w:numPr>
          <w:ilvl w:val="0"/>
          <w:numId w:val="0"/>
        </w:numPr>
        <w:ind w:left="360"/>
        <w:rPr>
          <w:b/>
        </w:rPr>
      </w:pPr>
      <w:r w:rsidRPr="00F22A05">
        <w:rPr>
          <w:rStyle w:val="Heading3Char"/>
        </w:rPr>
        <w:t>5.2</w:t>
      </w:r>
      <w:r w:rsidR="00371118" w:rsidRPr="00F22A05">
        <w:rPr>
          <w:rStyle w:val="Heading3Char"/>
        </w:rPr>
        <w:t>.</w:t>
      </w:r>
      <w:r w:rsidRPr="00F22A05">
        <w:rPr>
          <w:rStyle w:val="Heading3Char"/>
        </w:rPr>
        <w:t xml:space="preserve">  </w:t>
      </w:r>
      <w:r w:rsidR="008F1DC1" w:rsidRPr="00F22A05">
        <w:rPr>
          <w:rStyle w:val="Heading3Char"/>
        </w:rPr>
        <w:t>Improved Home</w:t>
      </w:r>
      <w:bookmarkEnd w:id="119"/>
      <w:bookmarkEnd w:id="120"/>
      <w:bookmarkEnd w:id="121"/>
      <w:r w:rsidR="008F1DC1" w:rsidRPr="00F22A05">
        <w:rPr>
          <w:b/>
        </w:rPr>
        <w:t>.</w:t>
      </w:r>
    </w:p>
    <w:p w14:paraId="0B08648D" w14:textId="75FFCA6F" w:rsidR="00371118" w:rsidRPr="00F22A05" w:rsidRDefault="00371118" w:rsidP="00371118">
      <w:pPr>
        <w:pStyle w:val="four"/>
        <w:numPr>
          <w:ilvl w:val="0"/>
          <w:numId w:val="0"/>
        </w:numPr>
        <w:ind w:left="360"/>
        <w:rPr>
          <w:b/>
          <w:bCs w:val="0"/>
        </w:rPr>
      </w:pPr>
      <w:r w:rsidRPr="00F22A05">
        <w:rPr>
          <w:b/>
          <w:bCs w:val="0"/>
          <w:strike/>
        </w:rPr>
        <w:t>.</w:t>
      </w:r>
      <w:r w:rsidR="005B4965" w:rsidRPr="00F22A05">
        <w:rPr>
          <w:b/>
          <w:bCs w:val="0"/>
        </w:rPr>
        <w:t>5.2.1</w:t>
      </w:r>
      <w:r w:rsidR="00A87B5A" w:rsidRPr="00F22A05">
        <w:rPr>
          <w:b/>
          <w:bCs w:val="0"/>
        </w:rPr>
        <w:t>.</w:t>
      </w:r>
      <w:r w:rsidR="005B4965" w:rsidRPr="00F22A05">
        <w:rPr>
          <w:b/>
          <w:bCs w:val="0"/>
        </w:rPr>
        <w:t xml:space="preserve">  </w:t>
      </w:r>
      <w:r w:rsidR="007A100F" w:rsidRPr="00F22A05">
        <w:t>Where an existing appliance</w:t>
      </w:r>
      <w:r w:rsidR="007A100F" w:rsidRPr="00F22A05">
        <w:rPr>
          <w:rStyle w:val="FootnoteReference"/>
        </w:rPr>
        <w:footnoteReference w:id="33"/>
      </w:r>
      <w:r w:rsidR="007A100F" w:rsidRPr="00F22A05">
        <w:t xml:space="preserve"> is replaced with a new appliance as part of the improvement but the existing appliance is not removed from the property, both the new and existing appliance shall be included in the Improved Home Model.</w:t>
      </w:r>
    </w:p>
    <w:p w14:paraId="19CA0A2D" w14:textId="3FD48D29" w:rsidR="00371118" w:rsidRPr="00F22A05" w:rsidRDefault="005B4965" w:rsidP="00371118">
      <w:pPr>
        <w:pStyle w:val="four"/>
        <w:numPr>
          <w:ilvl w:val="0"/>
          <w:numId w:val="0"/>
        </w:numPr>
        <w:ind w:left="360"/>
        <w:rPr>
          <w:b/>
        </w:rPr>
      </w:pPr>
      <w:r w:rsidRPr="00F22A05">
        <w:rPr>
          <w:b/>
          <w:bCs w:val="0"/>
        </w:rPr>
        <w:t>5.2.2</w:t>
      </w:r>
      <w:r w:rsidR="00A87B5A" w:rsidRPr="00F22A05">
        <w:rPr>
          <w:b/>
          <w:bCs w:val="0"/>
        </w:rPr>
        <w:t>.</w:t>
      </w:r>
      <w:r w:rsidRPr="00F22A05">
        <w:rPr>
          <w:b/>
          <w:bCs w:val="0"/>
        </w:rPr>
        <w:t xml:space="preserve">  </w:t>
      </w:r>
      <w:r w:rsidR="008F1DC1" w:rsidRPr="00F22A05">
        <w:t>Where a standard appliance as defined by Tables 4.2.2.</w:t>
      </w:r>
      <w:r w:rsidR="008F1DC1" w:rsidRPr="00F22A05">
        <w:rPr>
          <w:strike/>
        </w:rPr>
        <w:t>5</w:t>
      </w:r>
      <w:r w:rsidR="005560B0" w:rsidRPr="00F22A05">
        <w:rPr>
          <w:u w:val="single"/>
        </w:rPr>
        <w:t>7</w:t>
      </w:r>
      <w:r w:rsidR="008F1DC1" w:rsidRPr="00F22A05">
        <w:t>(1) and 4.2.2.</w:t>
      </w:r>
      <w:r w:rsidR="008F1DC1" w:rsidRPr="00F22A05">
        <w:rPr>
          <w:strike/>
        </w:rPr>
        <w:t>5</w:t>
      </w:r>
      <w:r w:rsidR="005560B0" w:rsidRPr="00F22A05">
        <w:rPr>
          <w:u w:val="single"/>
        </w:rPr>
        <w:t>7</w:t>
      </w:r>
      <w:r w:rsidR="008F1DC1" w:rsidRPr="00F22A05">
        <w:t xml:space="preserve">(2) does not exist in the improved configuration of the existing home, the standard default energy use and </w:t>
      </w:r>
      <w:r w:rsidR="006A091D" w:rsidRPr="00F22A05">
        <w:t>I</w:t>
      </w:r>
      <w:r w:rsidR="008F1DC1" w:rsidRPr="00F22A05">
        <w:t xml:space="preserve">nternal </w:t>
      </w:r>
      <w:r w:rsidR="006A091D" w:rsidRPr="00F22A05">
        <w:t>G</w:t>
      </w:r>
      <w:r w:rsidR="008F1DC1" w:rsidRPr="00F22A05">
        <w:t xml:space="preserve">ains as specified </w:t>
      </w:r>
      <w:r w:rsidR="006A7130" w:rsidRPr="00F22A05">
        <w:rPr>
          <w:u w:val="single"/>
        </w:rPr>
        <w:t>in Section 4.2.2.7.1</w:t>
      </w:r>
      <w:r w:rsidR="008F1DC1" w:rsidRPr="00F22A05">
        <w:rPr>
          <w:strike/>
        </w:rPr>
        <w:t>by Table 4.2.2(3)</w:t>
      </w:r>
      <w:r w:rsidR="008F1DC1" w:rsidRPr="00F22A05">
        <w:t xml:space="preserve"> for that appliance shall be included in the Improved Home Model.</w:t>
      </w:r>
    </w:p>
    <w:p w14:paraId="3650916F" w14:textId="2CD9571D" w:rsidR="00371118" w:rsidRDefault="00371118" w:rsidP="00506836">
      <w:pPr>
        <w:pStyle w:val="four"/>
        <w:numPr>
          <w:ilvl w:val="0"/>
          <w:numId w:val="0"/>
        </w:numPr>
        <w:rPr>
          <w:b/>
          <w:bCs w:val="0"/>
        </w:rPr>
      </w:pPr>
    </w:p>
    <w:p w14:paraId="426889D4" w14:textId="77777777" w:rsidR="00506836" w:rsidRPr="00F22A05" w:rsidRDefault="00506836" w:rsidP="00506836">
      <w:pPr>
        <w:pStyle w:val="four"/>
        <w:numPr>
          <w:ilvl w:val="0"/>
          <w:numId w:val="0"/>
        </w:numPr>
        <w:ind w:left="360"/>
        <w:rPr>
          <w:b/>
        </w:rPr>
      </w:pPr>
    </w:p>
    <w:p w14:paraId="3F7C546B" w14:textId="77777777" w:rsidR="00506836" w:rsidRPr="001C64F3" w:rsidRDefault="00506836" w:rsidP="00506836">
      <w:pPr>
        <w:pStyle w:val="sixa"/>
        <w:numPr>
          <w:ilvl w:val="0"/>
          <w:numId w:val="0"/>
        </w:numPr>
        <w:ind w:left="1170"/>
        <w:rPr>
          <w:rFonts w:ascii="Arial" w:hAnsi="Arial" w:cs="Arial"/>
          <w:sz w:val="22"/>
          <w:szCs w:val="22"/>
        </w:rPr>
      </w:pPr>
      <w:bookmarkStart w:id="122" w:name="_Ref495406780"/>
      <w:r w:rsidRPr="001C64F3">
        <w:rPr>
          <w:rFonts w:ascii="Arial" w:hAnsi="Arial" w:cs="Arial"/>
          <w:b/>
          <w:bCs w:val="0"/>
          <w:sz w:val="22"/>
          <w:szCs w:val="22"/>
        </w:rPr>
        <w:t>7.1.2.2.1.2.</w:t>
      </w:r>
      <w:r w:rsidRPr="001C64F3">
        <w:rPr>
          <w:rFonts w:ascii="Arial" w:hAnsi="Arial" w:cs="Arial"/>
          <w:sz w:val="22"/>
          <w:szCs w:val="22"/>
        </w:rPr>
        <w:t xml:space="preserve">  For fossil fuel use, emissions shall be calculated using the emission factors given in Table 7.1.2(1).</w:t>
      </w:r>
      <w:bookmarkEnd w:id="122"/>
    </w:p>
    <w:p w14:paraId="1FBF74E0" w14:textId="77777777" w:rsidR="00506836" w:rsidRDefault="00506836" w:rsidP="00506836">
      <w:pPr>
        <w:pStyle w:val="ListParagraph"/>
        <w:rPr>
          <w:rFonts w:ascii="Arial" w:hAnsi="Arial" w:cs="Arial"/>
          <w:sz w:val="22"/>
          <w:szCs w:val="22"/>
        </w:rPr>
      </w:pPr>
    </w:p>
    <w:p w14:paraId="0EF36D5A" w14:textId="77777777" w:rsidR="00506836" w:rsidRPr="001C64F3" w:rsidRDefault="00506836" w:rsidP="00506836">
      <w:pPr>
        <w:pStyle w:val="ListParagraph"/>
        <w:rPr>
          <w:rFonts w:ascii="Arial" w:hAnsi="Arial" w:cs="Arial"/>
          <w:sz w:val="22"/>
          <w:szCs w:val="22"/>
        </w:rPr>
      </w:pPr>
      <w:r w:rsidRPr="001C64F3">
        <w:rPr>
          <w:rFonts w:ascii="Arial" w:hAnsi="Arial" w:cs="Arial"/>
          <w:b/>
        </w:rPr>
        <w:t xml:space="preserve">Table </w:t>
      </w:r>
      <w:r w:rsidRPr="00E1256B">
        <w:rPr>
          <w:rFonts w:ascii="Arial" w:hAnsi="Arial" w:cs="Arial"/>
          <w:b/>
        </w:rPr>
        <w:t>7</w:t>
      </w:r>
      <w:r w:rsidRPr="001C64F3">
        <w:rPr>
          <w:rFonts w:ascii="Arial" w:hAnsi="Arial" w:cs="Arial"/>
          <w:b/>
        </w:rPr>
        <w:t>.1.2(1) Emission Factors for Household Combustion Fuels</w:t>
      </w:r>
      <w:r w:rsidRPr="00E1256B">
        <w:rPr>
          <w:rStyle w:val="FootnoteReference"/>
          <w:rFonts w:ascii="Arial" w:hAnsi="Arial"/>
          <w:b/>
          <w:color w:val="FF0000"/>
        </w:rPr>
        <w:footnoteReference w:id="34"/>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990"/>
        <w:gridCol w:w="1080"/>
        <w:gridCol w:w="1890"/>
        <w:gridCol w:w="1440"/>
        <w:gridCol w:w="1710"/>
      </w:tblGrid>
      <w:tr w:rsidR="00506836" w:rsidRPr="001C64F3" w14:paraId="1FEF94AD" w14:textId="77777777" w:rsidTr="00CA55DE">
        <w:trPr>
          <w:trHeight w:val="630"/>
          <w:jc w:val="center"/>
        </w:trPr>
        <w:tc>
          <w:tcPr>
            <w:tcW w:w="2425" w:type="dxa"/>
            <w:shd w:val="clear" w:color="auto" w:fill="auto"/>
            <w:vAlign w:val="bottom"/>
            <w:hideMark/>
          </w:tcPr>
          <w:p w14:paraId="2BB6BD1C" w14:textId="77777777" w:rsidR="00506836" w:rsidRPr="001C64F3" w:rsidRDefault="00506836" w:rsidP="00CA55DE">
            <w:pPr>
              <w:rPr>
                <w:rFonts w:ascii="Arial" w:hAnsi="Arial" w:cs="Arial"/>
                <w:b/>
                <w:bCs/>
              </w:rPr>
            </w:pPr>
            <w:r w:rsidRPr="001C64F3">
              <w:rPr>
                <w:rFonts w:ascii="Arial" w:hAnsi="Arial" w:cs="Arial"/>
                <w:b/>
                <w:bCs/>
              </w:rPr>
              <w:t>Fuel Type</w:t>
            </w:r>
          </w:p>
        </w:tc>
        <w:tc>
          <w:tcPr>
            <w:tcW w:w="990" w:type="dxa"/>
            <w:shd w:val="clear" w:color="auto" w:fill="auto"/>
            <w:vAlign w:val="bottom"/>
            <w:hideMark/>
          </w:tcPr>
          <w:p w14:paraId="1C81A37B" w14:textId="77777777" w:rsidR="00506836" w:rsidRPr="001C64F3" w:rsidRDefault="00506836" w:rsidP="00CA55DE">
            <w:pPr>
              <w:jc w:val="center"/>
              <w:rPr>
                <w:rFonts w:ascii="Arial" w:hAnsi="Arial" w:cs="Arial"/>
                <w:b/>
                <w:bCs/>
              </w:rPr>
            </w:pPr>
            <w:r w:rsidRPr="001C64F3">
              <w:rPr>
                <w:rFonts w:ascii="Arial" w:hAnsi="Arial" w:cs="Arial"/>
                <w:b/>
                <w:bCs/>
              </w:rPr>
              <w:t>Units</w:t>
            </w:r>
          </w:p>
        </w:tc>
        <w:tc>
          <w:tcPr>
            <w:tcW w:w="1080" w:type="dxa"/>
            <w:shd w:val="clear" w:color="auto" w:fill="auto"/>
            <w:vAlign w:val="bottom"/>
            <w:hideMark/>
          </w:tcPr>
          <w:p w14:paraId="34696406" w14:textId="77777777" w:rsidR="00506836" w:rsidRPr="001C64F3" w:rsidRDefault="00506836" w:rsidP="00CA55DE">
            <w:pPr>
              <w:jc w:val="right"/>
              <w:rPr>
                <w:rFonts w:ascii="Arial" w:hAnsi="Arial" w:cs="Arial"/>
                <w:b/>
                <w:bCs/>
              </w:rPr>
            </w:pPr>
            <w:proofErr w:type="spellStart"/>
            <w:r w:rsidRPr="001C64F3">
              <w:rPr>
                <w:rFonts w:ascii="Arial" w:hAnsi="Arial" w:cs="Arial"/>
                <w:b/>
                <w:bCs/>
              </w:rPr>
              <w:t>MBtu</w:t>
            </w:r>
            <w:proofErr w:type="spellEnd"/>
            <w:r w:rsidRPr="001C64F3">
              <w:rPr>
                <w:rFonts w:ascii="Arial" w:hAnsi="Arial" w:cs="Arial"/>
                <w:b/>
                <w:bCs/>
              </w:rPr>
              <w:br/>
              <w:t>per Unit</w:t>
            </w:r>
          </w:p>
        </w:tc>
        <w:tc>
          <w:tcPr>
            <w:tcW w:w="1890" w:type="dxa"/>
            <w:shd w:val="clear" w:color="auto" w:fill="auto"/>
            <w:vAlign w:val="bottom"/>
            <w:hideMark/>
          </w:tcPr>
          <w:p w14:paraId="4A2F18D0" w14:textId="77777777" w:rsidR="00506836" w:rsidRPr="001C64F3" w:rsidRDefault="00506836" w:rsidP="00CA55DE">
            <w:pPr>
              <w:jc w:val="right"/>
              <w:rPr>
                <w:rFonts w:ascii="Arial" w:hAnsi="Arial" w:cs="Arial"/>
                <w:b/>
                <w:bCs/>
              </w:rPr>
            </w:pPr>
            <w:r w:rsidRPr="001C64F3">
              <w:rPr>
                <w:rFonts w:ascii="Arial" w:hAnsi="Arial" w:cs="Arial"/>
                <w:b/>
                <w:bCs/>
                <w:strike/>
              </w:rPr>
              <w:t>CO</w:t>
            </w:r>
            <w:r w:rsidRPr="001C64F3">
              <w:rPr>
                <w:rFonts w:ascii="Arial" w:hAnsi="Arial" w:cs="Arial"/>
                <w:b/>
                <w:strike/>
                <w:vertAlign w:val="subscript"/>
              </w:rPr>
              <w:t>2</w:t>
            </w:r>
            <w:r w:rsidRPr="001C64F3">
              <w:rPr>
                <w:rFonts w:ascii="Arial" w:hAnsi="Arial" w:cs="Arial"/>
                <w:b/>
                <w:bCs/>
                <w:u w:val="single"/>
              </w:rPr>
              <w:t>CO</w:t>
            </w:r>
            <w:r w:rsidRPr="001C64F3">
              <w:rPr>
                <w:rFonts w:ascii="Arial" w:hAnsi="Arial" w:cs="Arial"/>
                <w:b/>
                <w:bCs/>
                <w:u w:val="single"/>
                <w:vertAlign w:val="subscript"/>
              </w:rPr>
              <w:t>2</w:t>
            </w:r>
            <w:r w:rsidRPr="001C64F3">
              <w:rPr>
                <w:rFonts w:ascii="Arial" w:hAnsi="Arial" w:cs="Arial"/>
                <w:b/>
                <w:bCs/>
                <w:u w:val="single"/>
              </w:rPr>
              <w:t>e</w:t>
            </w:r>
            <w:r w:rsidRPr="001C64F3">
              <w:rPr>
                <w:rFonts w:ascii="Arial" w:hAnsi="Arial" w:cs="Arial"/>
                <w:b/>
                <w:bCs/>
              </w:rPr>
              <w:br/>
            </w:r>
            <w:proofErr w:type="spellStart"/>
            <w:r w:rsidRPr="001C64F3">
              <w:rPr>
                <w:rFonts w:ascii="Arial" w:hAnsi="Arial" w:cs="Arial"/>
                <w:b/>
                <w:bCs/>
              </w:rPr>
              <w:t>lb</w:t>
            </w:r>
            <w:proofErr w:type="spellEnd"/>
            <w:r w:rsidRPr="001C64F3">
              <w:rPr>
                <w:rFonts w:ascii="Arial" w:hAnsi="Arial" w:cs="Arial"/>
                <w:b/>
                <w:bCs/>
              </w:rPr>
              <w:t>/</w:t>
            </w:r>
            <w:proofErr w:type="spellStart"/>
            <w:r w:rsidRPr="001C64F3">
              <w:rPr>
                <w:rFonts w:ascii="Arial" w:hAnsi="Arial" w:cs="Arial"/>
                <w:b/>
                <w:bCs/>
              </w:rPr>
              <w:t>MBtu</w:t>
            </w:r>
            <w:proofErr w:type="spellEnd"/>
          </w:p>
        </w:tc>
        <w:tc>
          <w:tcPr>
            <w:tcW w:w="1440" w:type="dxa"/>
            <w:shd w:val="clear" w:color="auto" w:fill="auto"/>
            <w:vAlign w:val="bottom"/>
            <w:hideMark/>
          </w:tcPr>
          <w:p w14:paraId="0BD7CD37" w14:textId="77777777" w:rsidR="00506836" w:rsidRPr="001C64F3" w:rsidRDefault="00506836" w:rsidP="00CA55DE">
            <w:pPr>
              <w:jc w:val="right"/>
              <w:rPr>
                <w:rFonts w:ascii="Arial" w:hAnsi="Arial" w:cs="Arial"/>
                <w:b/>
                <w:bCs/>
              </w:rPr>
            </w:pPr>
            <w:r w:rsidRPr="001C64F3">
              <w:rPr>
                <w:rFonts w:ascii="Arial" w:hAnsi="Arial" w:cs="Arial"/>
                <w:b/>
                <w:bCs/>
              </w:rPr>
              <w:t>NOx</w:t>
            </w:r>
            <w:r w:rsidRPr="001C64F3">
              <w:rPr>
                <w:rFonts w:ascii="Arial" w:hAnsi="Arial" w:cs="Arial"/>
                <w:b/>
                <w:bCs/>
              </w:rPr>
              <w:br/>
            </w:r>
            <w:proofErr w:type="spellStart"/>
            <w:r w:rsidRPr="001C64F3">
              <w:rPr>
                <w:rFonts w:ascii="Arial" w:hAnsi="Arial" w:cs="Arial"/>
                <w:b/>
                <w:bCs/>
              </w:rPr>
              <w:t>lb</w:t>
            </w:r>
            <w:proofErr w:type="spellEnd"/>
            <w:r w:rsidRPr="001C64F3">
              <w:rPr>
                <w:rFonts w:ascii="Arial" w:hAnsi="Arial" w:cs="Arial"/>
                <w:b/>
                <w:bCs/>
              </w:rPr>
              <w:t>/</w:t>
            </w:r>
            <w:proofErr w:type="spellStart"/>
            <w:r w:rsidRPr="001C64F3">
              <w:rPr>
                <w:rFonts w:ascii="Arial" w:hAnsi="Arial" w:cs="Arial"/>
                <w:b/>
                <w:bCs/>
              </w:rPr>
              <w:t>MBtu</w:t>
            </w:r>
            <w:proofErr w:type="spellEnd"/>
          </w:p>
        </w:tc>
        <w:tc>
          <w:tcPr>
            <w:tcW w:w="1710" w:type="dxa"/>
            <w:shd w:val="clear" w:color="auto" w:fill="auto"/>
            <w:vAlign w:val="bottom"/>
            <w:hideMark/>
          </w:tcPr>
          <w:p w14:paraId="70E86ECD" w14:textId="77777777" w:rsidR="00506836" w:rsidRPr="001C64F3" w:rsidRDefault="00506836" w:rsidP="00CA55DE">
            <w:pPr>
              <w:jc w:val="right"/>
              <w:rPr>
                <w:rFonts w:ascii="Arial" w:hAnsi="Arial" w:cs="Arial"/>
                <w:b/>
                <w:bCs/>
              </w:rPr>
            </w:pPr>
            <w:r w:rsidRPr="001C64F3">
              <w:rPr>
                <w:rFonts w:ascii="Arial" w:hAnsi="Arial" w:cs="Arial"/>
                <w:b/>
                <w:bCs/>
              </w:rPr>
              <w:t>SO</w:t>
            </w:r>
            <w:r w:rsidRPr="001C64F3">
              <w:rPr>
                <w:rFonts w:ascii="Arial" w:hAnsi="Arial" w:cs="Arial"/>
                <w:b/>
                <w:vertAlign w:val="subscript"/>
              </w:rPr>
              <w:t>2</w:t>
            </w:r>
            <w:r w:rsidRPr="001C64F3">
              <w:rPr>
                <w:rFonts w:ascii="Arial" w:hAnsi="Arial" w:cs="Arial"/>
                <w:b/>
                <w:bCs/>
              </w:rPr>
              <w:br/>
            </w:r>
            <w:proofErr w:type="spellStart"/>
            <w:r w:rsidRPr="001C64F3">
              <w:rPr>
                <w:rFonts w:ascii="Arial" w:hAnsi="Arial" w:cs="Arial"/>
                <w:b/>
                <w:bCs/>
              </w:rPr>
              <w:t>lb</w:t>
            </w:r>
            <w:proofErr w:type="spellEnd"/>
            <w:r w:rsidRPr="001C64F3">
              <w:rPr>
                <w:rFonts w:ascii="Arial" w:hAnsi="Arial" w:cs="Arial"/>
                <w:b/>
                <w:bCs/>
              </w:rPr>
              <w:t>/</w:t>
            </w:r>
            <w:proofErr w:type="spellStart"/>
            <w:r w:rsidRPr="001C64F3">
              <w:rPr>
                <w:rFonts w:ascii="Arial" w:hAnsi="Arial" w:cs="Arial"/>
                <w:b/>
                <w:bCs/>
              </w:rPr>
              <w:t>MBtu</w:t>
            </w:r>
            <w:proofErr w:type="spellEnd"/>
          </w:p>
        </w:tc>
      </w:tr>
      <w:tr w:rsidR="00506836" w:rsidRPr="001C64F3" w14:paraId="3CC1806E" w14:textId="77777777" w:rsidTr="00CA55DE">
        <w:trPr>
          <w:trHeight w:val="300"/>
          <w:jc w:val="center"/>
        </w:trPr>
        <w:tc>
          <w:tcPr>
            <w:tcW w:w="2425" w:type="dxa"/>
            <w:shd w:val="clear" w:color="auto" w:fill="auto"/>
            <w:noWrap/>
            <w:vAlign w:val="bottom"/>
            <w:hideMark/>
          </w:tcPr>
          <w:p w14:paraId="45278165" w14:textId="77777777" w:rsidR="00506836" w:rsidRPr="001C64F3" w:rsidRDefault="00506836" w:rsidP="00CA55DE">
            <w:pPr>
              <w:rPr>
                <w:rFonts w:ascii="Arial" w:hAnsi="Arial" w:cs="Arial"/>
              </w:rPr>
            </w:pPr>
            <w:r w:rsidRPr="001C64F3">
              <w:rPr>
                <w:rFonts w:ascii="Arial" w:hAnsi="Arial" w:cs="Arial"/>
              </w:rPr>
              <w:t>Natural Gas</w:t>
            </w:r>
          </w:p>
        </w:tc>
        <w:tc>
          <w:tcPr>
            <w:tcW w:w="990" w:type="dxa"/>
            <w:shd w:val="clear" w:color="auto" w:fill="auto"/>
            <w:noWrap/>
            <w:vAlign w:val="bottom"/>
            <w:hideMark/>
          </w:tcPr>
          <w:p w14:paraId="179BE3A6" w14:textId="77777777" w:rsidR="00506836" w:rsidRPr="001C64F3" w:rsidRDefault="00506836" w:rsidP="00CA55DE">
            <w:pPr>
              <w:jc w:val="center"/>
              <w:rPr>
                <w:rFonts w:ascii="Arial" w:hAnsi="Arial" w:cs="Arial"/>
              </w:rPr>
            </w:pPr>
            <w:proofErr w:type="spellStart"/>
            <w:r w:rsidRPr="001C64F3">
              <w:rPr>
                <w:rFonts w:ascii="Arial" w:hAnsi="Arial" w:cs="Arial"/>
              </w:rPr>
              <w:t>Therm</w:t>
            </w:r>
            <w:proofErr w:type="spellEnd"/>
          </w:p>
        </w:tc>
        <w:tc>
          <w:tcPr>
            <w:tcW w:w="1080" w:type="dxa"/>
            <w:shd w:val="clear" w:color="auto" w:fill="auto"/>
            <w:noWrap/>
            <w:vAlign w:val="bottom"/>
            <w:hideMark/>
          </w:tcPr>
          <w:p w14:paraId="5279169E" w14:textId="77777777" w:rsidR="00506836" w:rsidRPr="001C64F3" w:rsidRDefault="00506836" w:rsidP="00CA55DE">
            <w:pPr>
              <w:jc w:val="right"/>
              <w:rPr>
                <w:rFonts w:ascii="Arial" w:hAnsi="Arial" w:cs="Arial"/>
              </w:rPr>
            </w:pPr>
            <w:r w:rsidRPr="001C64F3">
              <w:rPr>
                <w:rFonts w:ascii="Arial" w:hAnsi="Arial" w:cs="Arial"/>
              </w:rPr>
              <w:t>0.1000</w:t>
            </w:r>
          </w:p>
        </w:tc>
        <w:tc>
          <w:tcPr>
            <w:tcW w:w="1890" w:type="dxa"/>
            <w:shd w:val="clear" w:color="auto" w:fill="auto"/>
            <w:noWrap/>
            <w:vAlign w:val="bottom"/>
            <w:hideMark/>
          </w:tcPr>
          <w:p w14:paraId="0A6597E6" w14:textId="77777777" w:rsidR="00506836" w:rsidRPr="00E1256B" w:rsidRDefault="00506836" w:rsidP="00CA55DE">
            <w:pPr>
              <w:jc w:val="right"/>
              <w:rPr>
                <w:rFonts w:ascii="Arial" w:hAnsi="Arial" w:cs="Arial"/>
              </w:rPr>
            </w:pPr>
            <w:r w:rsidRPr="00E1256B">
              <w:rPr>
                <w:rFonts w:ascii="Arial" w:hAnsi="Arial" w:cs="Arial"/>
              </w:rPr>
              <w:t>147.3</w:t>
            </w:r>
          </w:p>
        </w:tc>
        <w:tc>
          <w:tcPr>
            <w:tcW w:w="1440" w:type="dxa"/>
            <w:shd w:val="clear" w:color="auto" w:fill="auto"/>
            <w:noWrap/>
            <w:vAlign w:val="bottom"/>
            <w:hideMark/>
          </w:tcPr>
          <w:p w14:paraId="768106A0" w14:textId="77777777" w:rsidR="00506836" w:rsidRPr="001C64F3" w:rsidRDefault="00506836" w:rsidP="00CA55DE">
            <w:pPr>
              <w:jc w:val="right"/>
              <w:rPr>
                <w:rFonts w:ascii="Arial" w:hAnsi="Arial" w:cs="Arial"/>
              </w:rPr>
            </w:pPr>
            <w:r w:rsidRPr="001C64F3">
              <w:rPr>
                <w:rFonts w:ascii="Arial" w:hAnsi="Arial" w:cs="Arial"/>
              </w:rPr>
              <w:t>0.0922</w:t>
            </w:r>
          </w:p>
        </w:tc>
        <w:tc>
          <w:tcPr>
            <w:tcW w:w="1710" w:type="dxa"/>
            <w:shd w:val="clear" w:color="auto" w:fill="auto"/>
            <w:noWrap/>
            <w:vAlign w:val="bottom"/>
            <w:hideMark/>
          </w:tcPr>
          <w:p w14:paraId="4EE8318B" w14:textId="77777777" w:rsidR="00506836" w:rsidRPr="001C64F3" w:rsidRDefault="00506836" w:rsidP="00CA55DE">
            <w:pPr>
              <w:jc w:val="right"/>
              <w:rPr>
                <w:rFonts w:ascii="Arial" w:hAnsi="Arial" w:cs="Arial"/>
              </w:rPr>
            </w:pPr>
            <w:r w:rsidRPr="001C64F3">
              <w:rPr>
                <w:rFonts w:ascii="Arial" w:hAnsi="Arial" w:cs="Arial"/>
              </w:rPr>
              <w:t>0.0006</w:t>
            </w:r>
          </w:p>
        </w:tc>
      </w:tr>
      <w:tr w:rsidR="00506836" w:rsidRPr="001C64F3" w14:paraId="6C0E83F8" w14:textId="77777777" w:rsidTr="00CA55DE">
        <w:trPr>
          <w:trHeight w:val="300"/>
          <w:jc w:val="center"/>
        </w:trPr>
        <w:tc>
          <w:tcPr>
            <w:tcW w:w="2425" w:type="dxa"/>
            <w:shd w:val="clear" w:color="auto" w:fill="auto"/>
            <w:noWrap/>
            <w:vAlign w:val="bottom"/>
            <w:hideMark/>
          </w:tcPr>
          <w:p w14:paraId="6668DB1E" w14:textId="77777777" w:rsidR="00506836" w:rsidRPr="001C64F3" w:rsidRDefault="00506836" w:rsidP="00CA55DE">
            <w:pPr>
              <w:ind w:leftChars="-2" w:hangingChars="2" w:hanging="5"/>
              <w:rPr>
                <w:rFonts w:ascii="Arial" w:hAnsi="Arial" w:cs="Arial"/>
              </w:rPr>
            </w:pPr>
            <w:r w:rsidRPr="001C64F3">
              <w:rPr>
                <w:rFonts w:ascii="Arial" w:hAnsi="Arial" w:cs="Arial"/>
              </w:rPr>
              <w:t>Fuel Oil #2</w:t>
            </w:r>
          </w:p>
        </w:tc>
        <w:tc>
          <w:tcPr>
            <w:tcW w:w="990" w:type="dxa"/>
            <w:shd w:val="clear" w:color="auto" w:fill="auto"/>
            <w:noWrap/>
            <w:vAlign w:val="bottom"/>
            <w:hideMark/>
          </w:tcPr>
          <w:p w14:paraId="5FAB01F6" w14:textId="77777777" w:rsidR="00506836" w:rsidRPr="001C64F3" w:rsidRDefault="00506836" w:rsidP="00CA55DE">
            <w:pPr>
              <w:jc w:val="center"/>
              <w:rPr>
                <w:rFonts w:ascii="Arial" w:hAnsi="Arial" w:cs="Arial"/>
              </w:rPr>
            </w:pPr>
            <w:r w:rsidRPr="001C64F3">
              <w:rPr>
                <w:rFonts w:ascii="Arial" w:hAnsi="Arial" w:cs="Arial"/>
              </w:rPr>
              <w:t>Gallon</w:t>
            </w:r>
          </w:p>
        </w:tc>
        <w:tc>
          <w:tcPr>
            <w:tcW w:w="1080" w:type="dxa"/>
            <w:shd w:val="clear" w:color="auto" w:fill="auto"/>
            <w:noWrap/>
            <w:vAlign w:val="bottom"/>
            <w:hideMark/>
          </w:tcPr>
          <w:p w14:paraId="3E772212" w14:textId="77777777" w:rsidR="00506836" w:rsidRPr="001C64F3" w:rsidRDefault="00506836" w:rsidP="00CA55DE">
            <w:pPr>
              <w:jc w:val="right"/>
              <w:rPr>
                <w:rFonts w:ascii="Arial" w:hAnsi="Arial" w:cs="Arial"/>
              </w:rPr>
            </w:pPr>
            <w:r w:rsidRPr="001C64F3">
              <w:rPr>
                <w:rFonts w:ascii="Arial" w:hAnsi="Arial" w:cs="Arial"/>
              </w:rPr>
              <w:t>0.1385</w:t>
            </w:r>
          </w:p>
        </w:tc>
        <w:tc>
          <w:tcPr>
            <w:tcW w:w="1890" w:type="dxa"/>
            <w:shd w:val="clear" w:color="auto" w:fill="auto"/>
            <w:noWrap/>
            <w:vAlign w:val="bottom"/>
            <w:hideMark/>
          </w:tcPr>
          <w:p w14:paraId="7B62CEFF" w14:textId="77777777" w:rsidR="00506836" w:rsidRPr="00E1256B" w:rsidRDefault="00506836" w:rsidP="00CA55DE">
            <w:pPr>
              <w:jc w:val="right"/>
              <w:rPr>
                <w:rFonts w:ascii="Arial" w:hAnsi="Arial" w:cs="Arial"/>
              </w:rPr>
            </w:pPr>
            <w:r w:rsidRPr="00E1256B">
              <w:rPr>
                <w:rFonts w:ascii="Arial" w:hAnsi="Arial" w:cs="Arial"/>
              </w:rPr>
              <w:t>195.9</w:t>
            </w:r>
          </w:p>
        </w:tc>
        <w:tc>
          <w:tcPr>
            <w:tcW w:w="1440" w:type="dxa"/>
            <w:shd w:val="clear" w:color="auto" w:fill="auto"/>
            <w:noWrap/>
            <w:vAlign w:val="bottom"/>
            <w:hideMark/>
          </w:tcPr>
          <w:p w14:paraId="18AC1143" w14:textId="77777777" w:rsidR="00506836" w:rsidRPr="001C64F3" w:rsidRDefault="00506836" w:rsidP="00CA55DE">
            <w:pPr>
              <w:jc w:val="right"/>
              <w:rPr>
                <w:rFonts w:ascii="Arial" w:hAnsi="Arial" w:cs="Arial"/>
              </w:rPr>
            </w:pPr>
            <w:r w:rsidRPr="001C64F3">
              <w:rPr>
                <w:rFonts w:ascii="Arial" w:hAnsi="Arial" w:cs="Arial"/>
              </w:rPr>
              <w:t>0.1300</w:t>
            </w:r>
          </w:p>
        </w:tc>
        <w:tc>
          <w:tcPr>
            <w:tcW w:w="1710" w:type="dxa"/>
            <w:shd w:val="clear" w:color="auto" w:fill="auto"/>
            <w:noWrap/>
            <w:vAlign w:val="bottom"/>
            <w:hideMark/>
          </w:tcPr>
          <w:p w14:paraId="1C1EFE4D" w14:textId="77777777" w:rsidR="00506836" w:rsidRPr="001C64F3" w:rsidRDefault="00506836" w:rsidP="00CA55DE">
            <w:pPr>
              <w:jc w:val="right"/>
              <w:rPr>
                <w:rFonts w:ascii="Arial" w:hAnsi="Arial" w:cs="Arial"/>
              </w:rPr>
            </w:pPr>
            <w:r w:rsidRPr="001C64F3">
              <w:rPr>
                <w:rFonts w:ascii="Arial" w:hAnsi="Arial" w:cs="Arial"/>
              </w:rPr>
              <w:t>0.0015</w:t>
            </w:r>
          </w:p>
        </w:tc>
      </w:tr>
      <w:tr w:rsidR="00506836" w:rsidRPr="001C64F3" w14:paraId="2C057036" w14:textId="77777777" w:rsidTr="00CA55DE">
        <w:trPr>
          <w:trHeight w:val="315"/>
          <w:jc w:val="center"/>
        </w:trPr>
        <w:tc>
          <w:tcPr>
            <w:tcW w:w="2425" w:type="dxa"/>
            <w:shd w:val="clear" w:color="auto" w:fill="auto"/>
            <w:noWrap/>
            <w:vAlign w:val="bottom"/>
            <w:hideMark/>
          </w:tcPr>
          <w:p w14:paraId="03E9C38C" w14:textId="77777777" w:rsidR="00506836" w:rsidRPr="001C64F3" w:rsidRDefault="00506836" w:rsidP="00CA55DE">
            <w:pPr>
              <w:rPr>
                <w:rFonts w:ascii="Arial" w:hAnsi="Arial" w:cs="Arial"/>
              </w:rPr>
            </w:pPr>
            <w:r w:rsidRPr="001C64F3">
              <w:rPr>
                <w:rFonts w:ascii="Arial" w:hAnsi="Arial" w:cs="Arial"/>
              </w:rPr>
              <w:t>Liquid Petroleum Gas (LPG)</w:t>
            </w:r>
          </w:p>
        </w:tc>
        <w:tc>
          <w:tcPr>
            <w:tcW w:w="990" w:type="dxa"/>
            <w:shd w:val="clear" w:color="auto" w:fill="auto"/>
            <w:noWrap/>
            <w:vAlign w:val="bottom"/>
            <w:hideMark/>
          </w:tcPr>
          <w:p w14:paraId="39FF8E7A" w14:textId="77777777" w:rsidR="00506836" w:rsidRPr="001C64F3" w:rsidRDefault="00506836" w:rsidP="00CA55DE">
            <w:pPr>
              <w:jc w:val="center"/>
              <w:rPr>
                <w:rFonts w:ascii="Arial" w:hAnsi="Arial" w:cs="Arial"/>
              </w:rPr>
            </w:pPr>
            <w:r w:rsidRPr="001C64F3">
              <w:rPr>
                <w:rFonts w:ascii="Arial" w:hAnsi="Arial" w:cs="Arial"/>
              </w:rPr>
              <w:t>Gallon</w:t>
            </w:r>
          </w:p>
        </w:tc>
        <w:tc>
          <w:tcPr>
            <w:tcW w:w="1080" w:type="dxa"/>
            <w:shd w:val="clear" w:color="auto" w:fill="auto"/>
            <w:noWrap/>
            <w:vAlign w:val="bottom"/>
            <w:hideMark/>
          </w:tcPr>
          <w:p w14:paraId="1C09B624" w14:textId="77777777" w:rsidR="00506836" w:rsidRPr="001C64F3" w:rsidRDefault="00506836" w:rsidP="00CA55DE">
            <w:pPr>
              <w:jc w:val="right"/>
              <w:rPr>
                <w:rFonts w:ascii="Arial" w:hAnsi="Arial" w:cs="Arial"/>
              </w:rPr>
            </w:pPr>
            <w:r w:rsidRPr="001C64F3">
              <w:rPr>
                <w:rFonts w:ascii="Arial" w:hAnsi="Arial" w:cs="Arial"/>
              </w:rPr>
              <w:t>0.0915</w:t>
            </w:r>
          </w:p>
        </w:tc>
        <w:tc>
          <w:tcPr>
            <w:tcW w:w="1890" w:type="dxa"/>
            <w:shd w:val="clear" w:color="auto" w:fill="auto"/>
            <w:noWrap/>
            <w:vAlign w:val="bottom"/>
            <w:hideMark/>
          </w:tcPr>
          <w:p w14:paraId="3B9D320F" w14:textId="77777777" w:rsidR="00506836" w:rsidRPr="00E1256B" w:rsidRDefault="00506836" w:rsidP="00CA55DE">
            <w:pPr>
              <w:jc w:val="right"/>
              <w:rPr>
                <w:rFonts w:ascii="Arial" w:hAnsi="Arial" w:cs="Arial"/>
              </w:rPr>
            </w:pPr>
            <w:r w:rsidRPr="00E1256B">
              <w:rPr>
                <w:rFonts w:ascii="Arial" w:hAnsi="Arial" w:cs="Arial"/>
              </w:rPr>
              <w:t>177.8</w:t>
            </w:r>
          </w:p>
        </w:tc>
        <w:tc>
          <w:tcPr>
            <w:tcW w:w="1440" w:type="dxa"/>
            <w:shd w:val="clear" w:color="auto" w:fill="auto"/>
            <w:noWrap/>
            <w:vAlign w:val="bottom"/>
            <w:hideMark/>
          </w:tcPr>
          <w:p w14:paraId="18963F05" w14:textId="77777777" w:rsidR="00506836" w:rsidRPr="001C64F3" w:rsidRDefault="00506836" w:rsidP="00CA55DE">
            <w:pPr>
              <w:jc w:val="right"/>
              <w:rPr>
                <w:rFonts w:ascii="Arial" w:hAnsi="Arial" w:cs="Arial"/>
              </w:rPr>
            </w:pPr>
            <w:r w:rsidRPr="001C64F3">
              <w:rPr>
                <w:rFonts w:ascii="Arial" w:hAnsi="Arial" w:cs="Arial"/>
              </w:rPr>
              <w:t>0.1421</w:t>
            </w:r>
          </w:p>
        </w:tc>
        <w:tc>
          <w:tcPr>
            <w:tcW w:w="1710" w:type="dxa"/>
            <w:shd w:val="clear" w:color="auto" w:fill="auto"/>
            <w:noWrap/>
            <w:vAlign w:val="bottom"/>
            <w:hideMark/>
          </w:tcPr>
          <w:p w14:paraId="56FC66ED" w14:textId="77777777" w:rsidR="00506836" w:rsidRPr="001C64F3" w:rsidRDefault="00506836" w:rsidP="00CA55DE">
            <w:pPr>
              <w:jc w:val="right"/>
              <w:rPr>
                <w:rFonts w:ascii="Arial" w:hAnsi="Arial" w:cs="Arial"/>
              </w:rPr>
            </w:pPr>
            <w:r w:rsidRPr="001C64F3">
              <w:rPr>
                <w:rFonts w:ascii="Arial" w:hAnsi="Arial" w:cs="Arial"/>
              </w:rPr>
              <w:t>0.0002</w:t>
            </w:r>
          </w:p>
        </w:tc>
      </w:tr>
    </w:tbl>
    <w:p w14:paraId="67AE807C" w14:textId="77777777" w:rsidR="00506836" w:rsidRPr="001C64F3" w:rsidRDefault="00506836" w:rsidP="00506836">
      <w:pPr>
        <w:ind w:left="720"/>
        <w:rPr>
          <w:rFonts w:ascii="Arial" w:hAnsi="Arial" w:cs="Arial"/>
        </w:rPr>
      </w:pPr>
    </w:p>
    <w:p w14:paraId="2C841015" w14:textId="77777777" w:rsidR="00506836" w:rsidRPr="00F22A05" w:rsidRDefault="00506836" w:rsidP="00506836">
      <w:pPr>
        <w:pStyle w:val="four"/>
        <w:numPr>
          <w:ilvl w:val="0"/>
          <w:numId w:val="0"/>
        </w:numPr>
        <w:ind w:left="360"/>
        <w:rPr>
          <w:b/>
          <w:bCs w:val="0"/>
        </w:rPr>
      </w:pPr>
    </w:p>
    <w:p w14:paraId="6FA9C3C6" w14:textId="77777777" w:rsidR="00506836" w:rsidRPr="00F22A05" w:rsidRDefault="00506836" w:rsidP="00506836">
      <w:pPr>
        <w:pStyle w:val="four"/>
        <w:numPr>
          <w:ilvl w:val="0"/>
          <w:numId w:val="0"/>
        </w:numPr>
        <w:rPr>
          <w:b/>
          <w:bCs w:val="0"/>
        </w:rPr>
      </w:pPr>
    </w:p>
    <w:p w14:paraId="2A0E86AF" w14:textId="2FF67A45" w:rsidR="00091B20" w:rsidRPr="00F22A05" w:rsidRDefault="00091B20" w:rsidP="0053188F">
      <w:pPr>
        <w:pStyle w:val="three"/>
        <w:numPr>
          <w:ilvl w:val="0"/>
          <w:numId w:val="0"/>
        </w:numPr>
        <w:rPr>
          <w:rStyle w:val="Heading2Char"/>
        </w:rPr>
      </w:pPr>
      <w:bookmarkStart w:id="123" w:name="_Toc443655391"/>
      <w:bookmarkStart w:id="124" w:name="_Toc505772472"/>
      <w:bookmarkStart w:id="125" w:name="_Hlk161055503"/>
      <w:r w:rsidRPr="00F22A05">
        <w:rPr>
          <w:rStyle w:val="Heading3Char"/>
        </w:rPr>
        <w:t>7.1.3.  Reports</w:t>
      </w:r>
      <w:bookmarkEnd w:id="123"/>
      <w:bookmarkEnd w:id="124"/>
      <w:r w:rsidRPr="00F22A05">
        <w:t xml:space="preserve">. All reports generated by an Approved Software Rating Tool shall, at a minimum, contain the information specified by Sections </w:t>
      </w:r>
      <w:r w:rsidRPr="00F22A05">
        <w:fldChar w:fldCharType="begin"/>
      </w:r>
      <w:r w:rsidRPr="00F22A05">
        <w:instrText xml:space="preserve"> REF _Ref495406999 \r \h  \* MERGEFORMAT </w:instrText>
      </w:r>
      <w:r w:rsidRPr="00F22A05">
        <w:fldChar w:fldCharType="separate"/>
      </w:r>
      <w:r w:rsidRPr="00F22A05">
        <w:t>7.1.3.1</w:t>
      </w:r>
      <w:r w:rsidRPr="00F22A05">
        <w:fldChar w:fldCharType="end"/>
      </w:r>
      <w:r w:rsidRPr="00F22A05">
        <w:t xml:space="preserve"> through </w:t>
      </w:r>
      <w:r w:rsidRPr="000B6AC4">
        <w:rPr>
          <w:strike/>
          <w:color w:val="FF0000"/>
        </w:rPr>
        <w:fldChar w:fldCharType="begin"/>
      </w:r>
      <w:r w:rsidRPr="000B6AC4">
        <w:rPr>
          <w:strike/>
          <w:color w:val="FF0000"/>
        </w:rPr>
        <w:instrText xml:space="preserve"> REF _Ref495407012 \r \h  \* MERGEFORMAT </w:instrText>
      </w:r>
      <w:r w:rsidRPr="000B6AC4">
        <w:rPr>
          <w:strike/>
          <w:color w:val="FF0000"/>
        </w:rPr>
      </w:r>
      <w:r w:rsidRPr="000B6AC4">
        <w:rPr>
          <w:strike/>
          <w:color w:val="FF0000"/>
        </w:rPr>
        <w:fldChar w:fldCharType="separate"/>
      </w:r>
      <w:r w:rsidRPr="000B6AC4">
        <w:rPr>
          <w:strike/>
          <w:color w:val="FF0000"/>
        </w:rPr>
        <w:t>7.1.3.6</w:t>
      </w:r>
      <w:r w:rsidRPr="000B6AC4">
        <w:rPr>
          <w:strike/>
          <w:color w:val="FF0000"/>
        </w:rPr>
        <w:fldChar w:fldCharType="end"/>
      </w:r>
      <w:r w:rsidR="000B6AC4">
        <w:rPr>
          <w:color w:val="FF0000"/>
          <w:u w:val="single"/>
        </w:rPr>
        <w:t>7.1.3.7</w:t>
      </w:r>
      <w:r w:rsidRPr="00F22A05">
        <w:t>.</w:t>
      </w:r>
    </w:p>
    <w:p w14:paraId="7AD80F4F" w14:textId="606ADC16" w:rsidR="00091B20" w:rsidRPr="00F22A05" w:rsidRDefault="00091B20" w:rsidP="0053188F">
      <w:pPr>
        <w:pStyle w:val="four"/>
        <w:numPr>
          <w:ilvl w:val="0"/>
          <w:numId w:val="0"/>
        </w:numPr>
        <w:ind w:left="360"/>
        <w:rPr>
          <w:b/>
        </w:rPr>
      </w:pPr>
      <w:bookmarkStart w:id="126" w:name="_Ref495406999"/>
      <w:r w:rsidRPr="00F22A05">
        <w:rPr>
          <w:b/>
          <w:bCs w:val="0"/>
        </w:rPr>
        <w:t xml:space="preserve">7.1.3.1.  </w:t>
      </w:r>
      <w:r w:rsidRPr="00F22A05">
        <w:t>The property location, including city, state, zip code and either the street address or the Community Name and Plan Name for the Rating.</w:t>
      </w:r>
      <w:bookmarkEnd w:id="126"/>
    </w:p>
    <w:p w14:paraId="4AC9D36D" w14:textId="762FF597" w:rsidR="00091B20" w:rsidRPr="00F22A05" w:rsidRDefault="00091B20" w:rsidP="0053188F">
      <w:pPr>
        <w:pStyle w:val="four"/>
        <w:numPr>
          <w:ilvl w:val="0"/>
          <w:numId w:val="0"/>
        </w:numPr>
        <w:ind w:left="360"/>
        <w:rPr>
          <w:b/>
        </w:rPr>
      </w:pPr>
      <w:r w:rsidRPr="00F22A05">
        <w:rPr>
          <w:b/>
          <w:bCs w:val="0"/>
        </w:rPr>
        <w:t xml:space="preserve">7.1.3.2.  </w:t>
      </w:r>
      <w:r w:rsidRPr="00F22A05">
        <w:t>The name of the Certified Rater conducting the Rating.</w:t>
      </w:r>
    </w:p>
    <w:p w14:paraId="700EF6EF" w14:textId="117DEDB1" w:rsidR="00091B20" w:rsidRPr="00F22A05" w:rsidRDefault="00091B20" w:rsidP="0053188F">
      <w:pPr>
        <w:pStyle w:val="four"/>
        <w:numPr>
          <w:ilvl w:val="0"/>
          <w:numId w:val="0"/>
        </w:numPr>
        <w:ind w:left="360"/>
        <w:rPr>
          <w:b/>
        </w:rPr>
      </w:pPr>
      <w:r w:rsidRPr="00F22A05">
        <w:rPr>
          <w:b/>
          <w:bCs w:val="0"/>
        </w:rPr>
        <w:t xml:space="preserve">7.1.3.3.  </w:t>
      </w:r>
      <w:r w:rsidRPr="00F22A05">
        <w:t>The name of the Approved Rating Provider under whose auspices the Certified Rater is certified.</w:t>
      </w:r>
    </w:p>
    <w:p w14:paraId="4B105E05" w14:textId="566E3298" w:rsidR="00091B20" w:rsidRPr="00F22A05" w:rsidRDefault="00091B20" w:rsidP="0053188F">
      <w:pPr>
        <w:pStyle w:val="four"/>
        <w:numPr>
          <w:ilvl w:val="0"/>
          <w:numId w:val="0"/>
        </w:numPr>
        <w:ind w:left="360"/>
        <w:rPr>
          <w:b/>
        </w:rPr>
      </w:pPr>
      <w:r w:rsidRPr="00F22A05">
        <w:rPr>
          <w:b/>
          <w:bCs w:val="0"/>
        </w:rPr>
        <w:t xml:space="preserve">7.1.3.4.  </w:t>
      </w:r>
      <w:r w:rsidRPr="00F22A05">
        <w:t>The date the Rating was conducted.</w:t>
      </w:r>
    </w:p>
    <w:p w14:paraId="18E19AAA" w14:textId="6AF1D7F3" w:rsidR="00091B20" w:rsidRPr="00F22A05" w:rsidRDefault="00091B20" w:rsidP="0053188F">
      <w:pPr>
        <w:pStyle w:val="four"/>
        <w:numPr>
          <w:ilvl w:val="0"/>
          <w:numId w:val="0"/>
        </w:numPr>
        <w:ind w:left="360"/>
        <w:rPr>
          <w:b/>
        </w:rPr>
      </w:pPr>
      <w:r w:rsidRPr="00F22A05">
        <w:rPr>
          <w:b/>
          <w:bCs w:val="0"/>
        </w:rPr>
        <w:t xml:space="preserve">7.1.2.5.  </w:t>
      </w:r>
      <w:r w:rsidRPr="00F22A05">
        <w:t>The name and version number of the Approved Software Rating Tool used to determine the Rating.</w:t>
      </w:r>
    </w:p>
    <w:p w14:paraId="249AC2C0" w14:textId="0B6412BE" w:rsidR="00091B20" w:rsidRPr="00F22A05" w:rsidRDefault="00091B20" w:rsidP="0053188F">
      <w:pPr>
        <w:pStyle w:val="four"/>
        <w:numPr>
          <w:ilvl w:val="0"/>
          <w:numId w:val="0"/>
        </w:numPr>
        <w:ind w:left="360"/>
        <w:rPr>
          <w:b/>
        </w:rPr>
      </w:pPr>
      <w:bookmarkStart w:id="127" w:name="_Ref495407012"/>
      <w:r w:rsidRPr="00F22A05">
        <w:rPr>
          <w:b/>
          <w:bCs w:val="0"/>
        </w:rPr>
        <w:t xml:space="preserve">7.1.3.6.  </w:t>
      </w:r>
      <w:r w:rsidRPr="00F22A05">
        <w:t xml:space="preserve">The following statement in no less than </w:t>
      </w:r>
      <w:proofErr w:type="gramStart"/>
      <w:r w:rsidRPr="00F22A05">
        <w:t>10</w:t>
      </w:r>
      <w:r w:rsidRPr="00F22A05">
        <w:rPr>
          <w:strike/>
        </w:rPr>
        <w:t xml:space="preserve"> </w:t>
      </w:r>
      <w:r w:rsidRPr="00F22A05">
        <w:t>point</w:t>
      </w:r>
      <w:proofErr w:type="gramEnd"/>
      <w:r w:rsidRPr="00F22A05">
        <w:t xml:space="preserve"> font, “The Energy Rating Disclosure for this home is available from the Approved Rating Provider.”  At a minimum, this statement shall also include the Approved Rating Provider’s mailing address and phone number.</w:t>
      </w:r>
      <w:bookmarkEnd w:id="127"/>
    </w:p>
    <w:p w14:paraId="6161732A" w14:textId="5B32DA19" w:rsidR="00091B20" w:rsidRPr="00F22A05" w:rsidRDefault="00091B20" w:rsidP="00091B20">
      <w:pPr>
        <w:spacing w:after="240"/>
        <w:ind w:firstLine="360"/>
        <w:rPr>
          <w:rStyle w:val="Heading2Char"/>
          <w:bCs/>
        </w:rPr>
      </w:pPr>
      <w:r w:rsidRPr="00F22A05">
        <w:rPr>
          <w:b/>
          <w:bCs/>
          <w:u w:val="single"/>
        </w:rPr>
        <w:t>7.1.3.7</w:t>
      </w:r>
      <w:r w:rsidRPr="00F22A05">
        <w:rPr>
          <w:u w:val="single"/>
        </w:rPr>
        <w:t xml:space="preserve">   The edition of the Standard used to determine the Rating, including any Addenda.</w:t>
      </w:r>
      <w:r w:rsidRPr="00F22A05">
        <w:rPr>
          <w:rStyle w:val="FootnoteReference"/>
          <w:u w:val="single"/>
        </w:rPr>
        <w:footnoteReference w:id="35"/>
      </w:r>
    </w:p>
    <w:p w14:paraId="62E629BF" w14:textId="77777777" w:rsidR="008853B1" w:rsidRPr="00F22A05" w:rsidRDefault="008853B1" w:rsidP="00676698">
      <w:pPr>
        <w:spacing w:after="240"/>
        <w:rPr>
          <w:rStyle w:val="Heading2Char"/>
          <w:bCs/>
        </w:rPr>
      </w:pPr>
    </w:p>
    <w:bookmarkEnd w:id="125"/>
    <w:p w14:paraId="3A054F2D" w14:textId="675C81A3" w:rsidR="00464872" w:rsidRPr="00F22A05" w:rsidRDefault="00464872" w:rsidP="00676698">
      <w:pPr>
        <w:spacing w:after="240"/>
        <w:rPr>
          <w:rStyle w:val="Heading2Char"/>
          <w:b w:val="0"/>
        </w:rPr>
      </w:pPr>
      <w:r w:rsidRPr="00F22A05">
        <w:rPr>
          <w:rStyle w:val="Heading2Char"/>
          <w:bCs/>
        </w:rPr>
        <w:t xml:space="preserve">7.3.  Labeling. </w:t>
      </w:r>
      <w:r w:rsidRPr="00F22A05">
        <w:t xml:space="preserve">Energy Rating labels shall, at a minimum, contain the information specified by Sections </w:t>
      </w:r>
      <w:r w:rsidRPr="00F22A05">
        <w:fldChar w:fldCharType="begin"/>
      </w:r>
      <w:r w:rsidRPr="00F22A05">
        <w:instrText xml:space="preserve"> REF _Ref495407387 \r \h  \* MERGEFORMAT </w:instrText>
      </w:r>
      <w:r w:rsidRPr="00F22A05">
        <w:fldChar w:fldCharType="separate"/>
      </w:r>
      <w:r w:rsidRPr="00F22A05">
        <w:t>7.3.1</w:t>
      </w:r>
      <w:r w:rsidRPr="00F22A05">
        <w:fldChar w:fldCharType="end"/>
      </w:r>
      <w:r w:rsidRPr="00F22A05">
        <w:t xml:space="preserve"> through </w:t>
      </w:r>
      <w:r w:rsidRPr="00F22A05">
        <w:fldChar w:fldCharType="begin"/>
      </w:r>
      <w:r w:rsidRPr="00F22A05">
        <w:instrText xml:space="preserve"> REF _Ref495407395 \r \h  \* MERGEFORMAT </w:instrText>
      </w:r>
      <w:r w:rsidRPr="00F22A05">
        <w:fldChar w:fldCharType="separate"/>
      </w:r>
      <w:r w:rsidRPr="00F22A05">
        <w:t>7.3.</w:t>
      </w:r>
      <w:r w:rsidRPr="00F22A05">
        <w:fldChar w:fldCharType="end"/>
      </w:r>
      <w:r w:rsidRPr="00F22A05">
        <w:t>8.</w:t>
      </w:r>
    </w:p>
    <w:p w14:paraId="42157B12" w14:textId="3BA866B8" w:rsidR="00464872" w:rsidRPr="00F22A05" w:rsidRDefault="00464872" w:rsidP="00676698">
      <w:pPr>
        <w:pStyle w:val="three"/>
        <w:numPr>
          <w:ilvl w:val="0"/>
          <w:numId w:val="0"/>
        </w:numPr>
        <w:spacing w:after="240"/>
      </w:pPr>
      <w:bookmarkStart w:id="128" w:name="_Ref495407387"/>
      <w:r w:rsidRPr="00F22A05">
        <w:rPr>
          <w:b/>
          <w:bCs w:val="0"/>
        </w:rPr>
        <w:t xml:space="preserve">7.3.1.  </w:t>
      </w:r>
      <w:r w:rsidRPr="00F22A05">
        <w:t>Real property physical address of the home, including city and state or territory</w:t>
      </w:r>
      <w:bookmarkEnd w:id="128"/>
      <w:r w:rsidRPr="00F22A05">
        <w:t>.</w:t>
      </w:r>
    </w:p>
    <w:p w14:paraId="409D9C46" w14:textId="7663ADDE" w:rsidR="00464872" w:rsidRPr="00F22A05" w:rsidRDefault="00464872" w:rsidP="00464872">
      <w:pPr>
        <w:pStyle w:val="three"/>
        <w:numPr>
          <w:ilvl w:val="0"/>
          <w:numId w:val="0"/>
        </w:numPr>
      </w:pPr>
      <w:r w:rsidRPr="00F22A05">
        <w:rPr>
          <w:b/>
          <w:bCs w:val="0"/>
        </w:rPr>
        <w:t xml:space="preserve">7.3.2.  </w:t>
      </w:r>
      <w:r w:rsidRPr="00F22A05">
        <w:t>Energy Rating Index of the home.</w:t>
      </w:r>
    </w:p>
    <w:p w14:paraId="66CBAFB3" w14:textId="0902039D" w:rsidR="00464872" w:rsidRPr="00F22A05" w:rsidRDefault="00464872" w:rsidP="00464872">
      <w:pPr>
        <w:pStyle w:val="three"/>
        <w:numPr>
          <w:ilvl w:val="0"/>
          <w:numId w:val="0"/>
        </w:numPr>
      </w:pPr>
      <w:proofErr w:type="gramStart"/>
      <w:r w:rsidRPr="00F22A05">
        <w:rPr>
          <w:b/>
          <w:bCs w:val="0"/>
        </w:rPr>
        <w:t xml:space="preserve">7.3.3  </w:t>
      </w:r>
      <w:r w:rsidRPr="00F22A05">
        <w:t>CO</w:t>
      </w:r>
      <w:proofErr w:type="gramEnd"/>
      <w:r w:rsidRPr="00F22A05">
        <w:rPr>
          <w:vertAlign w:val="subscript"/>
        </w:rPr>
        <w:t>2</w:t>
      </w:r>
      <w:r w:rsidR="005560B0" w:rsidRPr="00F22A05">
        <w:rPr>
          <w:u w:val="single"/>
        </w:rPr>
        <w:t>e</w:t>
      </w:r>
      <w:r w:rsidRPr="00F22A05">
        <w:t xml:space="preserve"> </w:t>
      </w:r>
      <w:r w:rsidR="005560B0" w:rsidRPr="00F22A05">
        <w:rPr>
          <w:u w:val="single"/>
        </w:rPr>
        <w:t xml:space="preserve">Rating </w:t>
      </w:r>
      <w:r w:rsidRPr="00F22A05">
        <w:t>Index for the home, calculated in accordance with Section 6.</w:t>
      </w:r>
      <w:r w:rsidR="00676698" w:rsidRPr="00F22A05">
        <w:rPr>
          <w:rStyle w:val="FootnoteReference"/>
          <w:u w:val="single"/>
        </w:rPr>
        <w:footnoteReference w:id="36"/>
      </w:r>
      <w:r w:rsidRPr="00F22A05">
        <w:t xml:space="preserve"> </w:t>
      </w:r>
    </w:p>
    <w:p w14:paraId="071BCCD6" w14:textId="1EB67ED5" w:rsidR="00464872" w:rsidRPr="00F22A05" w:rsidRDefault="00464872" w:rsidP="00676698">
      <w:pPr>
        <w:pStyle w:val="three"/>
        <w:numPr>
          <w:ilvl w:val="0"/>
          <w:numId w:val="0"/>
        </w:numPr>
      </w:pPr>
      <w:proofErr w:type="gramStart"/>
      <w:r w:rsidRPr="00F22A05">
        <w:rPr>
          <w:b/>
          <w:bCs w:val="0"/>
        </w:rPr>
        <w:t xml:space="preserve">7.3.4  </w:t>
      </w:r>
      <w:r w:rsidRPr="00F22A05">
        <w:t>Projected</w:t>
      </w:r>
      <w:proofErr w:type="gramEnd"/>
      <w:r w:rsidRPr="00F22A05">
        <w:t xml:space="preserve"> CO</w:t>
      </w:r>
      <w:r w:rsidRPr="00F22A05">
        <w:rPr>
          <w:vertAlign w:val="subscript"/>
        </w:rPr>
        <w:t>2</w:t>
      </w:r>
      <w:r w:rsidR="005560B0" w:rsidRPr="00F22A05">
        <w:rPr>
          <w:u w:val="single"/>
        </w:rPr>
        <w:t>e</w:t>
      </w:r>
      <w:r w:rsidRPr="00F22A05">
        <w:t xml:space="preserve"> emissions for the home, calculated in accordance with Sections 5.1.2.2.1.1 and 5.1.2.2.1.1.</w:t>
      </w:r>
    </w:p>
    <w:p w14:paraId="6E39B0AF" w14:textId="6BA55C44" w:rsidR="00464872" w:rsidRPr="00F22A05" w:rsidRDefault="00464872" w:rsidP="00676698">
      <w:pPr>
        <w:pStyle w:val="three"/>
        <w:numPr>
          <w:ilvl w:val="0"/>
          <w:numId w:val="0"/>
        </w:numPr>
      </w:pPr>
      <w:r w:rsidRPr="00F22A05">
        <w:rPr>
          <w:b/>
          <w:bCs w:val="0"/>
        </w:rPr>
        <w:t xml:space="preserve">7.3.5.  </w:t>
      </w:r>
      <w:r w:rsidRPr="00F22A05">
        <w:t>Projected annual site energy use of the home by fuel type.</w:t>
      </w:r>
    </w:p>
    <w:p w14:paraId="3D6C056B" w14:textId="4246EB41" w:rsidR="00464872" w:rsidRPr="00F22A05" w:rsidRDefault="00464872" w:rsidP="00676698">
      <w:pPr>
        <w:pStyle w:val="three"/>
        <w:numPr>
          <w:ilvl w:val="0"/>
          <w:numId w:val="0"/>
        </w:numPr>
      </w:pPr>
      <w:r w:rsidRPr="00F22A05">
        <w:rPr>
          <w:b/>
          <w:bCs w:val="0"/>
        </w:rPr>
        <w:t xml:space="preserve">7.3.6.  </w:t>
      </w:r>
      <w:r w:rsidRPr="00F22A05">
        <w:t>Projected annual energy cost of the home,</w:t>
      </w:r>
      <w:r w:rsidRPr="00F22A05">
        <w:rPr>
          <w:rStyle w:val="FootnoteReference"/>
        </w:rPr>
        <w:footnoteReference w:id="37"/>
      </w:r>
      <w:r w:rsidRPr="00F22A05">
        <w:t xml:space="preserve"> calculated in accordance with energy price rate provisions of Section </w:t>
      </w:r>
      <w:r w:rsidRPr="00F22A05">
        <w:fldChar w:fldCharType="begin"/>
      </w:r>
      <w:r w:rsidRPr="00F22A05">
        <w:instrText xml:space="preserve"> REF _Ref495406613 \r \h  \* MERGEFORMAT </w:instrText>
      </w:r>
      <w:r w:rsidRPr="00F22A05">
        <w:fldChar w:fldCharType="separate"/>
      </w:r>
      <w:r w:rsidRPr="00F22A05">
        <w:t>7.1.2.1.1</w:t>
      </w:r>
      <w:r w:rsidRPr="00F22A05">
        <w:fldChar w:fldCharType="end"/>
      </w:r>
      <w:r w:rsidRPr="00F22A05">
        <w:t>.</w:t>
      </w:r>
    </w:p>
    <w:p w14:paraId="73A1B40D" w14:textId="10E43A0A" w:rsidR="00464872" w:rsidRPr="00F22A05" w:rsidRDefault="00464872" w:rsidP="00676698">
      <w:pPr>
        <w:pStyle w:val="three"/>
        <w:numPr>
          <w:ilvl w:val="0"/>
          <w:numId w:val="0"/>
        </w:numPr>
      </w:pPr>
      <w:r w:rsidRPr="00F22A05">
        <w:rPr>
          <w:b/>
          <w:bCs w:val="0"/>
        </w:rPr>
        <w:t xml:space="preserve">7.3.7.  </w:t>
      </w:r>
      <w:r w:rsidRPr="00F22A05">
        <w:t>Name and address of the Approved Rating Provider.</w:t>
      </w:r>
    </w:p>
    <w:p w14:paraId="1D8559C6" w14:textId="77777777" w:rsidR="00464872" w:rsidRPr="00F22A05" w:rsidRDefault="00464872" w:rsidP="00464872">
      <w:pPr>
        <w:pStyle w:val="three"/>
        <w:numPr>
          <w:ilvl w:val="0"/>
          <w:numId w:val="0"/>
        </w:numPr>
      </w:pPr>
      <w:bookmarkStart w:id="129" w:name="_Ref495407395"/>
      <w:r w:rsidRPr="00F22A05">
        <w:rPr>
          <w:b/>
          <w:bCs w:val="0"/>
        </w:rPr>
        <w:t xml:space="preserve">7.3.8.  </w:t>
      </w:r>
      <w:r w:rsidRPr="00F22A05">
        <w:t>Date of the Energy Rating</w:t>
      </w:r>
      <w:bookmarkEnd w:id="129"/>
      <w:r w:rsidRPr="00F22A05">
        <w:t>.</w:t>
      </w:r>
    </w:p>
    <w:p w14:paraId="1FD1CEEF" w14:textId="77777777" w:rsidR="00464872" w:rsidRPr="00F22A05" w:rsidRDefault="00464872" w:rsidP="00464872">
      <w:pPr>
        <w:rPr>
          <w:rFonts w:eastAsiaTheme="majorEastAsia"/>
          <w:szCs w:val="28"/>
        </w:rPr>
      </w:pPr>
    </w:p>
    <w:p w14:paraId="28EFB181" w14:textId="77777777" w:rsidR="00464872" w:rsidRPr="00F22A05" w:rsidRDefault="00464872" w:rsidP="00371118">
      <w:pPr>
        <w:pStyle w:val="four"/>
        <w:numPr>
          <w:ilvl w:val="0"/>
          <w:numId w:val="0"/>
        </w:numPr>
        <w:ind w:left="360"/>
        <w:rPr>
          <w:b/>
          <w:bCs w:val="0"/>
        </w:rPr>
      </w:pPr>
    </w:p>
    <w:p w14:paraId="2795BFBA" w14:textId="77777777" w:rsidR="008F1DC1" w:rsidRPr="00FA69E8" w:rsidRDefault="008F1DC1" w:rsidP="008F1DC1">
      <w:pPr>
        <w:rPr>
          <w:rStyle w:val="Heading1Char1"/>
        </w:rPr>
      </w:pPr>
    </w:p>
    <w:p w14:paraId="420C8D3E" w14:textId="77777777" w:rsidR="00102B95" w:rsidRPr="00102B95" w:rsidRDefault="00102B95" w:rsidP="00A91EAB">
      <w:pPr>
        <w:spacing w:line="204" w:lineRule="auto"/>
        <w:contextualSpacing/>
        <w:rPr>
          <w:u w:val="single"/>
        </w:rPr>
      </w:pPr>
    </w:p>
    <w:p w14:paraId="60558900" w14:textId="77777777" w:rsidR="00B61199" w:rsidRPr="00FA69E8" w:rsidRDefault="00B61199" w:rsidP="00076EDE">
      <w:pPr>
        <w:spacing w:line="204" w:lineRule="auto"/>
        <w:ind w:left="720" w:hanging="720"/>
        <w:contextualSpacing/>
        <w:rPr>
          <w:u w:val="single"/>
        </w:rPr>
      </w:pPr>
    </w:p>
    <w:p w14:paraId="421CC466" w14:textId="40ECA299" w:rsidR="00683E2A" w:rsidRPr="00DA2D00" w:rsidRDefault="00683E2A" w:rsidP="00683E2A">
      <w:pPr>
        <w:rPr>
          <w:b/>
        </w:rPr>
      </w:pPr>
      <w:bookmarkStart w:id="130" w:name="_Hlk161055571"/>
      <w:r>
        <w:rPr>
          <w:rStyle w:val="Heading1Char1"/>
        </w:rPr>
        <w:t xml:space="preserve"> </w:t>
      </w:r>
      <w:r w:rsidRPr="00DA2D00">
        <w:rPr>
          <w:rStyle w:val="Heading1Char1"/>
        </w:rPr>
        <w:t>9.   Normative References</w:t>
      </w:r>
      <w:r w:rsidRPr="00DA2D00">
        <w:rPr>
          <w:b/>
        </w:rPr>
        <w:t>.</w:t>
      </w:r>
    </w:p>
    <w:p w14:paraId="77B959AD" w14:textId="1A32B3F0" w:rsidR="006D1BBE" w:rsidRPr="00DA2D00" w:rsidRDefault="002E7BE9" w:rsidP="008F1DC1">
      <w:pPr>
        <w:pStyle w:val="FootnoteText"/>
        <w:spacing w:before="180"/>
        <w:ind w:left="720" w:hanging="720"/>
        <w:rPr>
          <w:sz w:val="24"/>
          <w:szCs w:val="24"/>
          <w:u w:val="single"/>
        </w:rPr>
      </w:pPr>
      <w:r w:rsidRPr="00DA2D00">
        <w:rPr>
          <w:color w:val="FF0000"/>
          <w:sz w:val="24"/>
          <w:szCs w:val="24"/>
          <w:u w:val="single"/>
        </w:rPr>
        <w:t>AHRI 210/240-2023 (2020) “Performance Rating of Unitary Airconditioning &amp; Air-source Heat Pump Equipment</w:t>
      </w:r>
      <w:r w:rsidR="00C82050" w:rsidRPr="00DA2D00">
        <w:rPr>
          <w:color w:val="FF0000"/>
          <w:sz w:val="24"/>
          <w:szCs w:val="24"/>
          <w:u w:val="single"/>
        </w:rPr>
        <w:t>.</w:t>
      </w:r>
      <w:r w:rsidRPr="00DA2D00">
        <w:rPr>
          <w:color w:val="FF0000"/>
          <w:sz w:val="24"/>
          <w:szCs w:val="24"/>
          <w:u w:val="single"/>
        </w:rPr>
        <w:t>” Air</w:t>
      </w:r>
      <w:r w:rsidR="00C82050" w:rsidRPr="00DA2D00">
        <w:rPr>
          <w:color w:val="FF0000"/>
          <w:sz w:val="24"/>
          <w:szCs w:val="24"/>
          <w:u w:val="single"/>
        </w:rPr>
        <w:t xml:space="preserve"> C</w:t>
      </w:r>
      <w:r w:rsidRPr="00DA2D00">
        <w:rPr>
          <w:color w:val="FF0000"/>
          <w:sz w:val="24"/>
          <w:szCs w:val="24"/>
          <w:u w:val="single"/>
        </w:rPr>
        <w:t>onditioning</w:t>
      </w:r>
      <w:r w:rsidR="007D33B4" w:rsidRPr="00DA2D00">
        <w:rPr>
          <w:color w:val="FF0000"/>
          <w:sz w:val="24"/>
          <w:szCs w:val="24"/>
          <w:u w:val="single"/>
        </w:rPr>
        <w:t xml:space="preserve"> </w:t>
      </w:r>
      <w:r w:rsidR="00C82050" w:rsidRPr="00DA2D00">
        <w:rPr>
          <w:color w:val="FF0000"/>
          <w:sz w:val="24"/>
          <w:szCs w:val="24"/>
          <w:u w:val="single"/>
        </w:rPr>
        <w:t>and Refrigeration Institute, Arlington, VA.</w:t>
      </w:r>
    </w:p>
    <w:p w14:paraId="43C32462" w14:textId="77777777" w:rsidR="00C82050" w:rsidRPr="00683E2A" w:rsidRDefault="00C82050" w:rsidP="008F1DC1">
      <w:pPr>
        <w:pStyle w:val="FootnoteText"/>
        <w:spacing w:before="180"/>
        <w:ind w:left="720" w:hanging="720"/>
        <w:rPr>
          <w:sz w:val="24"/>
          <w:szCs w:val="24"/>
          <w:highlight w:val="yellow"/>
        </w:rPr>
      </w:pPr>
    </w:p>
    <w:bookmarkEnd w:id="130"/>
    <w:p w14:paraId="42F6A843" w14:textId="0B2613F9" w:rsidR="00BC4450" w:rsidRPr="00683E2A" w:rsidRDefault="002E7BE9">
      <w:pPr>
        <w:spacing w:after="200" w:line="276" w:lineRule="auto"/>
        <w:rPr>
          <w:rFonts w:eastAsiaTheme="majorEastAsia"/>
          <w:szCs w:val="28"/>
        </w:rPr>
        <w:sectPr w:rsidR="00BC4450" w:rsidRPr="00683E2A" w:rsidSect="00AA542C">
          <w:footerReference w:type="even" r:id="rId13"/>
          <w:footerReference w:type="default" r:id="rId14"/>
          <w:pgSz w:w="12242" w:h="15842" w:code="266"/>
          <w:pgMar w:top="1440" w:right="1442" w:bottom="1440" w:left="1440" w:header="720" w:footer="720" w:gutter="0"/>
          <w:pgNumType w:start="1" w:chapStyle="1"/>
          <w:cols w:space="720"/>
          <w:docGrid w:linePitch="360"/>
        </w:sectPr>
      </w:pPr>
      <w:r>
        <w:rPr>
          <w:highlight w:val="yellow"/>
        </w:rPr>
        <w:t xml:space="preserve"> </w:t>
      </w:r>
      <w:r>
        <w:t xml:space="preserve">  </w:t>
      </w:r>
    </w:p>
    <w:p w14:paraId="1CB22E7F" w14:textId="3DDA94CB" w:rsidR="00DD6AD8" w:rsidRPr="00FA69E8" w:rsidRDefault="00DD6AD8">
      <w:pPr>
        <w:spacing w:after="200" w:line="276" w:lineRule="auto"/>
        <w:rPr>
          <w:rFonts w:eastAsiaTheme="majorEastAsia"/>
          <w:b/>
          <w:bCs/>
          <w:szCs w:val="28"/>
        </w:rPr>
      </w:pPr>
    </w:p>
    <w:p w14:paraId="6CF80FFD" w14:textId="77777777" w:rsidR="006B3C99" w:rsidRPr="00FA69E8" w:rsidRDefault="006B3C99" w:rsidP="00E45002">
      <w:pPr>
        <w:pStyle w:val="Heading1"/>
        <w:numPr>
          <w:ilvl w:val="0"/>
          <w:numId w:val="9"/>
        </w:numPr>
        <w:rPr>
          <w:sz w:val="28"/>
        </w:rPr>
      </w:pPr>
      <w:bookmarkStart w:id="131" w:name="_Toc505772480"/>
      <w:bookmarkStart w:id="132" w:name="_Hlk161055666"/>
      <w:r w:rsidRPr="00FA69E8">
        <w:rPr>
          <w:sz w:val="28"/>
        </w:rPr>
        <w:t>Normative Appendix B</w:t>
      </w:r>
      <w:bookmarkEnd w:id="131"/>
      <w:r w:rsidRPr="00FA69E8">
        <w:rPr>
          <w:sz w:val="28"/>
        </w:rPr>
        <w:br/>
      </w:r>
    </w:p>
    <w:p w14:paraId="4119D8ED" w14:textId="6171A9C0" w:rsidR="006B3C99" w:rsidRPr="00FA69E8" w:rsidRDefault="006B3C99" w:rsidP="006B3C99">
      <w:pPr>
        <w:spacing w:after="200" w:line="276" w:lineRule="auto"/>
        <w:jc w:val="center"/>
        <w:rPr>
          <w:b/>
          <w:bCs/>
          <w:sz w:val="28"/>
          <w:szCs w:val="28"/>
        </w:rPr>
      </w:pPr>
      <w:r w:rsidRPr="00FA69E8">
        <w:rPr>
          <w:b/>
          <w:bCs/>
          <w:sz w:val="28"/>
          <w:szCs w:val="28"/>
        </w:rPr>
        <w:t>Inspection Procedures for Minimum Rated Features</w:t>
      </w:r>
      <w:bookmarkEnd w:id="132"/>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F22A05" w:rsidRPr="00F22A05" w14:paraId="5DCEB83A" w14:textId="77777777" w:rsidTr="00723B0E">
        <w:tc>
          <w:tcPr>
            <w:tcW w:w="9344" w:type="dxa"/>
            <w:tcBorders>
              <w:top w:val="single" w:sz="6" w:space="0" w:color="000000"/>
              <w:left w:val="single" w:sz="6" w:space="0" w:color="000000"/>
              <w:bottom w:val="single" w:sz="6" w:space="0" w:color="000000"/>
              <w:right w:val="single" w:sz="6" w:space="0" w:color="000000"/>
            </w:tcBorders>
            <w:shd w:val="clear" w:color="auto" w:fill="auto"/>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9"/>
              <w:gridCol w:w="1619"/>
              <w:gridCol w:w="6297"/>
              <w:gridCol w:w="8"/>
            </w:tblGrid>
            <w:tr w:rsidR="00F22A05" w:rsidRPr="00F22A05" w14:paraId="3220974E" w14:textId="77777777" w:rsidTr="00723B0E">
              <w:trPr>
                <w:gridAfter w:val="1"/>
                <w:wAfter w:w="31" w:type="dxa"/>
                <w:trHeight w:val="300"/>
              </w:trPr>
              <w:tc>
                <w:tcPr>
                  <w:tcW w:w="13020"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8E05B6F" w14:textId="77777777" w:rsidR="003A08A0" w:rsidRPr="00F22A05" w:rsidRDefault="003A08A0" w:rsidP="003A08A0">
                  <w:pPr>
                    <w:pStyle w:val="paragraph"/>
                    <w:jc w:val="center"/>
                    <w:textAlignment w:val="baseline"/>
                    <w:rPr>
                      <w:b/>
                      <w:bCs/>
                    </w:rPr>
                  </w:pPr>
                  <w:bookmarkStart w:id="133" w:name="_Hlk161055743"/>
                  <w:r w:rsidRPr="00F22A05">
                    <w:rPr>
                      <w:rStyle w:val="normaltextrun"/>
                      <w:b/>
                      <w:bCs/>
                    </w:rPr>
                    <w:t>Building Element: Wall Assembly</w:t>
                  </w:r>
                  <w:r w:rsidRPr="00F22A05">
                    <w:rPr>
                      <w:rStyle w:val="eop"/>
                      <w:b/>
                      <w:bCs/>
                    </w:rPr>
                    <w:t> </w:t>
                  </w:r>
                </w:p>
              </w:tc>
            </w:tr>
            <w:tr w:rsidR="00F22A05" w:rsidRPr="00F22A05" w14:paraId="40EC1BC4" w14:textId="77777777" w:rsidTr="00723B0E">
              <w:trPr>
                <w:gridAfter w:val="1"/>
                <w:wAfter w:w="31" w:type="dxa"/>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75946FB" w14:textId="77777777" w:rsidR="003A08A0" w:rsidRPr="00F22A05" w:rsidRDefault="003A08A0" w:rsidP="003A08A0">
                  <w:pPr>
                    <w:pStyle w:val="paragraph"/>
                    <w:textAlignment w:val="baseline"/>
                  </w:pPr>
                  <w:r w:rsidRPr="00F22A05">
                    <w:rPr>
                      <w:rStyle w:val="normaltextrun"/>
                      <w:b/>
                      <w:bCs/>
                    </w:rPr>
                    <w:t>Rated Feature </w:t>
                  </w:r>
                  <w:r w:rsidRPr="00F22A05">
                    <w:rPr>
                      <w:rStyle w:val="eop"/>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704D524" w14:textId="77777777" w:rsidR="003A08A0" w:rsidRPr="00F22A05" w:rsidRDefault="003A08A0" w:rsidP="003A08A0">
                  <w:pPr>
                    <w:pStyle w:val="paragraph"/>
                    <w:textAlignment w:val="baseline"/>
                  </w:pPr>
                  <w:r w:rsidRPr="00F22A05">
                    <w:rPr>
                      <w:rStyle w:val="normaltextrun"/>
                      <w:b/>
                      <w:bCs/>
                    </w:rPr>
                    <w:t>Task </w:t>
                  </w:r>
                  <w:r w:rsidRPr="00F22A05">
                    <w:rPr>
                      <w:rStyle w:val="eop"/>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F718444" w14:textId="77777777" w:rsidR="003A08A0" w:rsidRPr="00F22A05" w:rsidRDefault="003A08A0" w:rsidP="003A08A0">
                  <w:pPr>
                    <w:pStyle w:val="paragraph"/>
                    <w:textAlignment w:val="baseline"/>
                  </w:pPr>
                  <w:r w:rsidRPr="00F22A05">
                    <w:rPr>
                      <w:rStyle w:val="normaltextrun"/>
                      <w:b/>
                      <w:bCs/>
                    </w:rPr>
                    <w:t>On-Site Inspection Protocol </w:t>
                  </w:r>
                  <w:r w:rsidRPr="00F22A05">
                    <w:rPr>
                      <w:rStyle w:val="eop"/>
                    </w:rPr>
                    <w:t> </w:t>
                  </w:r>
                </w:p>
              </w:tc>
            </w:tr>
            <w:bookmarkEnd w:id="133"/>
            <w:tr w:rsidR="00F22A05" w:rsidRPr="00F22A05" w14:paraId="04EB8DC2" w14:textId="77777777" w:rsidTr="00723B0E">
              <w:trPr>
                <w:gridAfter w:val="1"/>
                <w:wAfter w:w="31" w:type="dxa"/>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CF1F9CE" w14:textId="77777777" w:rsidR="003A08A0" w:rsidRPr="00F22A05" w:rsidRDefault="003A08A0" w:rsidP="003A08A0">
                  <w:pPr>
                    <w:pStyle w:val="paragraph"/>
                    <w:textAlignment w:val="baseline"/>
                  </w:pPr>
                  <w:r w:rsidRPr="00F22A05">
                    <w:rPr>
                      <w:rStyle w:val="normaltextrun"/>
                    </w:rPr>
                    <w:t>Gross Area</w:t>
                  </w:r>
                  <w:r w:rsidRPr="00F22A05">
                    <w:rPr>
                      <w:rStyle w:val="eop"/>
                    </w:rPr>
                    <w:t> </w:t>
                  </w:r>
                </w:p>
                <w:p w14:paraId="2A09383E" w14:textId="77777777" w:rsidR="003A08A0" w:rsidRPr="00F22A05" w:rsidRDefault="003A08A0" w:rsidP="003A08A0">
                  <w:pPr>
                    <w:pStyle w:val="paragraph"/>
                    <w:textAlignment w:val="baseline"/>
                  </w:pPr>
                  <w:r w:rsidRPr="00F22A05">
                    <w:rPr>
                      <w:rStyle w:val="eop"/>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EBF6549" w14:textId="77777777" w:rsidR="003A08A0" w:rsidRPr="00F22A05" w:rsidRDefault="003A08A0" w:rsidP="003A08A0">
                  <w:pPr>
                    <w:pStyle w:val="paragraph"/>
                    <w:textAlignment w:val="baseline"/>
                  </w:pPr>
                  <w:r w:rsidRPr="00F22A05">
                    <w:rPr>
                      <w:rStyle w:val="normaltextrun"/>
                    </w:rPr>
                    <w:t>Determine and record surface area of all walls.</w:t>
                  </w:r>
                  <w:r w:rsidRPr="00F22A05">
                    <w:rPr>
                      <w:rStyle w:val="eop"/>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F9D754A" w14:textId="77777777" w:rsidR="003A08A0" w:rsidRPr="00F22A05" w:rsidRDefault="003A08A0" w:rsidP="003A08A0">
                  <w:pPr>
                    <w:pStyle w:val="paragraph"/>
                    <w:textAlignment w:val="baseline"/>
                  </w:pPr>
                  <w:r w:rsidRPr="00F22A05">
                    <w:rPr>
                      <w:rStyle w:val="normaltextrun"/>
                    </w:rPr>
                    <w:t>Measure linear perimeter of the walls and round to the nearest foot. Measure the interior wall height of the walls and round to the nearest foot. Use these measurements to calculate surface area and round to the nearest square foot.</w:t>
                  </w:r>
                  <w:r w:rsidRPr="00F22A05">
                    <w:rPr>
                      <w:rStyle w:val="eop"/>
                    </w:rPr>
                    <w:t> </w:t>
                  </w:r>
                </w:p>
                <w:p w14:paraId="66A97491" w14:textId="77777777" w:rsidR="003A08A0" w:rsidRPr="00F22A05" w:rsidRDefault="003A08A0" w:rsidP="003A08A0">
                  <w:pPr>
                    <w:pStyle w:val="paragraph"/>
                    <w:textAlignment w:val="baseline"/>
                  </w:pPr>
                  <w:r w:rsidRPr="00F22A05">
                    <w:rPr>
                      <w:rStyle w:val="eop"/>
                    </w:rPr>
                    <w:t> </w:t>
                  </w:r>
                </w:p>
                <w:p w14:paraId="0DE9D2F8" w14:textId="77777777" w:rsidR="003A08A0" w:rsidRPr="00F22A05" w:rsidRDefault="003A08A0" w:rsidP="003A08A0">
                  <w:pPr>
                    <w:pStyle w:val="paragraph"/>
                    <w:textAlignment w:val="baseline"/>
                  </w:pPr>
                  <w:r w:rsidRPr="00F22A05">
                    <w:rPr>
                      <w:rStyle w:val="normaltextrun"/>
                    </w:rPr>
                    <w:t>Each unique wall exposure, construction type and R-Value combination shall be calculated separately. </w:t>
                  </w:r>
                  <w:r w:rsidRPr="00F22A05">
                    <w:rPr>
                      <w:rStyle w:val="eop"/>
                    </w:rPr>
                    <w:t> </w:t>
                  </w:r>
                </w:p>
                <w:p w14:paraId="5E4F23F9" w14:textId="77777777" w:rsidR="003A08A0" w:rsidRPr="00F22A05" w:rsidRDefault="003A08A0" w:rsidP="003A08A0">
                  <w:pPr>
                    <w:pStyle w:val="paragraph"/>
                    <w:textAlignment w:val="baseline"/>
                  </w:pPr>
                  <w:r w:rsidRPr="00F22A05">
                    <w:rPr>
                      <w:rStyle w:val="eop"/>
                    </w:rPr>
                    <w:t> </w:t>
                  </w:r>
                </w:p>
                <w:p w14:paraId="1D23E3EC" w14:textId="77777777" w:rsidR="003A08A0" w:rsidRPr="00F22A05" w:rsidRDefault="003A08A0" w:rsidP="003A08A0">
                  <w:pPr>
                    <w:pStyle w:val="paragraph"/>
                    <w:textAlignment w:val="baseline"/>
                  </w:pPr>
                  <w:r w:rsidRPr="00F22A05">
                    <w:rPr>
                      <w:rStyle w:val="normaltextrun"/>
                    </w:rPr>
                    <w:t>Where the portion of the wall assembly is occupied by through-wall AC sleeves, PTAC, or PTHP penetrations, that portion of the wall shall be modeled separately, using an R-value of 2 or less.</w:t>
                  </w:r>
                  <w:r w:rsidRPr="00F22A05">
                    <w:rPr>
                      <w:rStyle w:val="eop"/>
                    </w:rPr>
                    <w:t> </w:t>
                  </w:r>
                </w:p>
              </w:tc>
            </w:tr>
            <w:tr w:rsidR="00F22A05" w:rsidRPr="00F22A05" w14:paraId="0A46C574" w14:textId="77777777" w:rsidTr="00723B0E">
              <w:trPr>
                <w:gridAfter w:val="1"/>
                <w:wAfter w:w="31" w:type="dxa"/>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BAA07B8" w14:textId="77777777" w:rsidR="003A08A0" w:rsidRPr="00F22A05" w:rsidRDefault="003A08A0" w:rsidP="003A08A0">
                  <w:pPr>
                    <w:pStyle w:val="paragraph"/>
                    <w:textAlignment w:val="baseline"/>
                  </w:pPr>
                  <w:r w:rsidRPr="00F22A05">
                    <w:rPr>
                      <w:rStyle w:val="normaltextrun"/>
                    </w:rPr>
                    <w:t>Wall exposure</w:t>
                  </w:r>
                  <w:r w:rsidRPr="00F22A05">
                    <w:rPr>
                      <w:rStyle w:val="eop"/>
                    </w:rPr>
                    <w:t> </w:t>
                  </w:r>
                </w:p>
                <w:p w14:paraId="24F6F92F" w14:textId="77777777" w:rsidR="003A08A0" w:rsidRPr="00F22A05" w:rsidRDefault="003A08A0" w:rsidP="003A08A0">
                  <w:pPr>
                    <w:pStyle w:val="paragraph"/>
                    <w:textAlignment w:val="baseline"/>
                  </w:pPr>
                  <w:r w:rsidRPr="00F22A05">
                    <w:rPr>
                      <w:rStyle w:val="eop"/>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1C243A9" w14:textId="77777777" w:rsidR="003A08A0" w:rsidRPr="00F22A05" w:rsidRDefault="003A08A0" w:rsidP="003A08A0">
                  <w:pPr>
                    <w:pStyle w:val="paragraph"/>
                    <w:textAlignment w:val="baseline"/>
                  </w:pPr>
                  <w:r w:rsidRPr="00F22A05">
                    <w:rPr>
                      <w:rStyle w:val="normaltextrun"/>
                    </w:rPr>
                    <w:t>Determine and record whether walls border Exterior, Unconditioned Space Volume, Multifamily Buffer Boundary, Unrated Conditioned Space, Unrated Heated Space, Non-Freezing Space or Adjacent Building. </w:t>
                  </w:r>
                  <w:r w:rsidRPr="00F22A05">
                    <w:rPr>
                      <w:rStyle w:val="eop"/>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4AA7E18" w14:textId="77777777" w:rsidR="003A08A0" w:rsidRPr="00F22A05" w:rsidRDefault="003A08A0" w:rsidP="003A08A0">
                  <w:pPr>
                    <w:pStyle w:val="paragraph"/>
                    <w:numPr>
                      <w:ilvl w:val="0"/>
                      <w:numId w:val="29"/>
                    </w:numPr>
                    <w:ind w:left="1080" w:firstLine="0"/>
                    <w:textAlignment w:val="baseline"/>
                    <w:rPr>
                      <w:rFonts w:ascii="Calibri" w:hAnsi="Calibri" w:cs="Calibri"/>
                    </w:rPr>
                  </w:pPr>
                  <w:r w:rsidRPr="00F22A05">
                    <w:rPr>
                      <w:rStyle w:val="normaltextrun"/>
                      <w:i/>
                      <w:iCs/>
                    </w:rPr>
                    <w:t xml:space="preserve">Wall to Exterior – </w:t>
                  </w:r>
                  <w:r w:rsidRPr="00F22A05">
                    <w:rPr>
                      <w:rStyle w:val="normaltextrun"/>
                    </w:rPr>
                    <w:t>Walls border exterior space.</w:t>
                  </w:r>
                  <w:r w:rsidRPr="00F22A05">
                    <w:rPr>
                      <w:rStyle w:val="eop"/>
                    </w:rPr>
                    <w:t> </w:t>
                  </w:r>
                </w:p>
                <w:p w14:paraId="1BB40E13" w14:textId="12C213B3" w:rsidR="003A08A0" w:rsidRPr="00F22A05" w:rsidRDefault="003A08A0" w:rsidP="003A08A0">
                  <w:pPr>
                    <w:pStyle w:val="paragraph"/>
                    <w:jc w:val="center"/>
                    <w:textAlignment w:val="baseline"/>
                  </w:pPr>
                  <w:r w:rsidRPr="00F22A05">
                    <w:rPr>
                      <w:b/>
                      <w:bCs/>
                      <w:noProof/>
                    </w:rPr>
                    <w:drawing>
                      <wp:inline distT="0" distB="0" distL="0" distR="0" wp14:anchorId="29CCA100" wp14:editId="5C0DA6BA">
                        <wp:extent cx="2209800" cy="982980"/>
                        <wp:effectExtent l="0" t="0" r="0" b="7620"/>
                        <wp:docPr id="334177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982980"/>
                                </a:xfrm>
                                <a:prstGeom prst="rect">
                                  <a:avLst/>
                                </a:prstGeom>
                                <a:noFill/>
                                <a:ln>
                                  <a:noFill/>
                                </a:ln>
                              </pic:spPr>
                            </pic:pic>
                          </a:graphicData>
                        </a:graphic>
                      </wp:inline>
                    </w:drawing>
                  </w:r>
                  <w:r w:rsidRPr="00F22A05">
                    <w:rPr>
                      <w:rStyle w:val="eop"/>
                    </w:rPr>
                    <w:t> </w:t>
                  </w:r>
                </w:p>
                <w:p w14:paraId="658CC0F2" w14:textId="77777777" w:rsidR="003A08A0" w:rsidRDefault="003A08A0" w:rsidP="003A08A0">
                  <w:pPr>
                    <w:pStyle w:val="paragraph"/>
                    <w:textAlignment w:val="baseline"/>
                    <w:rPr>
                      <w:rStyle w:val="eop"/>
                    </w:rPr>
                  </w:pPr>
                  <w:r w:rsidRPr="00F22A05">
                    <w:rPr>
                      <w:rStyle w:val="eop"/>
                    </w:rPr>
                    <w:t> </w:t>
                  </w:r>
                </w:p>
                <w:p w14:paraId="6C54425B" w14:textId="77777777" w:rsidR="0028203D" w:rsidRDefault="0028203D" w:rsidP="003A08A0">
                  <w:pPr>
                    <w:pStyle w:val="paragraph"/>
                    <w:textAlignment w:val="baseline"/>
                    <w:rPr>
                      <w:rStyle w:val="eop"/>
                    </w:rPr>
                  </w:pPr>
                </w:p>
                <w:p w14:paraId="65C44885" w14:textId="77777777" w:rsidR="0028203D" w:rsidRDefault="0028203D" w:rsidP="003A08A0">
                  <w:pPr>
                    <w:pStyle w:val="paragraph"/>
                    <w:textAlignment w:val="baseline"/>
                    <w:rPr>
                      <w:rStyle w:val="eop"/>
                    </w:rPr>
                  </w:pPr>
                </w:p>
                <w:p w14:paraId="5F6B181C" w14:textId="77777777" w:rsidR="0028203D" w:rsidRDefault="0028203D" w:rsidP="003A08A0">
                  <w:pPr>
                    <w:pStyle w:val="paragraph"/>
                    <w:textAlignment w:val="baseline"/>
                    <w:rPr>
                      <w:rStyle w:val="eop"/>
                    </w:rPr>
                  </w:pPr>
                </w:p>
                <w:p w14:paraId="5FC84B3D" w14:textId="77777777" w:rsidR="0028203D" w:rsidRDefault="0028203D" w:rsidP="003A08A0">
                  <w:pPr>
                    <w:pStyle w:val="paragraph"/>
                    <w:textAlignment w:val="baseline"/>
                    <w:rPr>
                      <w:rStyle w:val="eop"/>
                    </w:rPr>
                  </w:pPr>
                </w:p>
                <w:p w14:paraId="3F62AF08" w14:textId="77777777" w:rsidR="0028203D" w:rsidRPr="00F22A05" w:rsidRDefault="0028203D" w:rsidP="003A08A0">
                  <w:pPr>
                    <w:pStyle w:val="paragraph"/>
                    <w:textAlignment w:val="baseline"/>
                  </w:pPr>
                </w:p>
                <w:p w14:paraId="63D30025" w14:textId="77777777" w:rsidR="003A08A0" w:rsidRPr="00F22A05" w:rsidRDefault="003A08A0" w:rsidP="003A08A0">
                  <w:pPr>
                    <w:pStyle w:val="paragraph"/>
                    <w:numPr>
                      <w:ilvl w:val="0"/>
                      <w:numId w:val="30"/>
                    </w:numPr>
                    <w:ind w:left="1080" w:firstLine="0"/>
                    <w:textAlignment w:val="baseline"/>
                    <w:rPr>
                      <w:rFonts w:ascii="Calibri" w:hAnsi="Calibri" w:cs="Calibri"/>
                    </w:rPr>
                  </w:pPr>
                  <w:r w:rsidRPr="00F22A05">
                    <w:rPr>
                      <w:rStyle w:val="normaltextrun"/>
                      <w:i/>
                      <w:iCs/>
                    </w:rPr>
                    <w:t xml:space="preserve">Wall to Unconditioned Space Volume – </w:t>
                  </w:r>
                  <w:r w:rsidRPr="00F22A05">
                    <w:rPr>
                      <w:rStyle w:val="normaltextrun"/>
                    </w:rPr>
                    <w:t>Walls border Unconditioned Space Volume as defined in Section 3. </w:t>
                  </w:r>
                  <w:r w:rsidRPr="00F22A05">
                    <w:rPr>
                      <w:rStyle w:val="eop"/>
                    </w:rPr>
                    <w:t> </w:t>
                  </w:r>
                </w:p>
                <w:p w14:paraId="30B96B6D" w14:textId="309286D7" w:rsidR="003A08A0" w:rsidRPr="00F22A05" w:rsidRDefault="003A08A0" w:rsidP="003A08A0">
                  <w:pPr>
                    <w:pStyle w:val="paragraph"/>
                    <w:textAlignment w:val="baseline"/>
                  </w:pPr>
                  <w:r w:rsidRPr="00723B0E">
                    <w:rPr>
                      <w:b/>
                      <w:bCs/>
                      <w:noProof/>
                      <w:shd w:val="clear" w:color="auto" w:fill="FFFFFF" w:themeFill="background1"/>
                    </w:rPr>
                    <w:drawing>
                      <wp:inline distT="0" distB="0" distL="0" distR="0" wp14:anchorId="2A494B74" wp14:editId="7892BE11">
                        <wp:extent cx="3810000" cy="1242060"/>
                        <wp:effectExtent l="0" t="0" r="0" b="0"/>
                        <wp:docPr id="106638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242060"/>
                                </a:xfrm>
                                <a:prstGeom prst="rect">
                                  <a:avLst/>
                                </a:prstGeom>
                                <a:noFill/>
                                <a:ln>
                                  <a:noFill/>
                                </a:ln>
                              </pic:spPr>
                            </pic:pic>
                          </a:graphicData>
                        </a:graphic>
                      </wp:inline>
                    </w:drawing>
                  </w:r>
                  <w:r w:rsidRPr="00F22A05">
                    <w:rPr>
                      <w:rStyle w:val="eop"/>
                    </w:rPr>
                    <w:t> </w:t>
                  </w:r>
                </w:p>
                <w:p w14:paraId="42712571" w14:textId="3DB2F396" w:rsidR="003A08A0" w:rsidRPr="00F22A05" w:rsidRDefault="003A08A0" w:rsidP="003A08A0">
                  <w:pPr>
                    <w:pStyle w:val="paragraph"/>
                    <w:textAlignment w:val="baseline"/>
                  </w:pPr>
                </w:p>
                <w:p w14:paraId="466C1815" w14:textId="77777777" w:rsidR="003A08A0" w:rsidRPr="00F22A05" w:rsidRDefault="003A08A0" w:rsidP="003A08A0">
                  <w:pPr>
                    <w:pStyle w:val="paragraph"/>
                    <w:numPr>
                      <w:ilvl w:val="0"/>
                      <w:numId w:val="31"/>
                    </w:numPr>
                    <w:ind w:left="1080" w:firstLine="0"/>
                    <w:textAlignment w:val="baseline"/>
                    <w:rPr>
                      <w:rFonts w:ascii="Calibri" w:hAnsi="Calibri" w:cs="Calibri"/>
                    </w:rPr>
                  </w:pPr>
                  <w:r w:rsidRPr="00F22A05">
                    <w:rPr>
                      <w:rStyle w:val="normaltextrun"/>
                      <w:i/>
                      <w:iCs/>
                    </w:rPr>
                    <w:t xml:space="preserve">Wall to Multifamily Buffer Boundary – </w:t>
                  </w:r>
                  <w:r w:rsidRPr="00F22A05">
                    <w:rPr>
                      <w:rStyle w:val="normaltextrun"/>
                    </w:rPr>
                    <w:t>The space adjacent to the Dwelling Unit wall has no heating or cooling system or the space is not designed to maintain space conditions at</w:t>
                  </w:r>
                  <w:r w:rsidRPr="00F22A05">
                    <w:rPr>
                      <w:rStyle w:val="normaltextrun"/>
                      <w:i/>
                      <w:iCs/>
                    </w:rPr>
                    <w:t xml:space="preserve"> </w:t>
                  </w:r>
                  <w:r w:rsidRPr="00F22A05">
                    <w:rPr>
                      <w:rStyle w:val="normaltextrun"/>
                    </w:rPr>
                    <w:t>78 °F (26 °C) ± 5°F for cooling and 68 °F (20 °C) ± 5°F for heating.  </w:t>
                  </w:r>
                  <w:r w:rsidRPr="00F22A05">
                    <w:rPr>
                      <w:rStyle w:val="eop"/>
                    </w:rPr>
                    <w:t> </w:t>
                  </w:r>
                </w:p>
                <w:p w14:paraId="3BE4B213" w14:textId="77777777" w:rsidR="003A08A0" w:rsidRPr="00F22A05" w:rsidRDefault="003A08A0" w:rsidP="003A08A0">
                  <w:pPr>
                    <w:pStyle w:val="paragraph"/>
                    <w:textAlignment w:val="baseline"/>
                  </w:pPr>
                  <w:r w:rsidRPr="00F22A05">
                    <w:rPr>
                      <w:rStyle w:val="eop"/>
                    </w:rPr>
                    <w:t> </w:t>
                  </w:r>
                </w:p>
                <w:p w14:paraId="4F905194" w14:textId="77777777" w:rsidR="003A08A0" w:rsidRPr="00F22A05" w:rsidRDefault="003A08A0" w:rsidP="003A08A0">
                  <w:pPr>
                    <w:pStyle w:val="paragraph"/>
                    <w:numPr>
                      <w:ilvl w:val="0"/>
                      <w:numId w:val="32"/>
                    </w:numPr>
                    <w:ind w:left="1080" w:firstLine="0"/>
                    <w:textAlignment w:val="baseline"/>
                    <w:rPr>
                      <w:rFonts w:ascii="Calibri" w:hAnsi="Calibri" w:cs="Calibri"/>
                    </w:rPr>
                  </w:pPr>
                  <w:r w:rsidRPr="00F22A05">
                    <w:rPr>
                      <w:rStyle w:val="normaltextrun"/>
                      <w:i/>
                      <w:iCs/>
                    </w:rPr>
                    <w:t xml:space="preserve">Wall to Unrated Conditioned Space Volume – </w:t>
                  </w:r>
                  <w:r w:rsidRPr="00F22A05">
                    <w:rPr>
                      <w:rStyle w:val="normaltextrun"/>
                    </w:rPr>
                    <w:t>The space adjacent to the Dwelling Unit wall is serviced by a heating or cooling system designed to maintain space conditions at 78 °F (26 °C) ± 5°F for cooling and 68 °F (20 °C) ± 5°F for heating.  </w:t>
                  </w:r>
                  <w:r w:rsidRPr="00F22A05">
                    <w:rPr>
                      <w:rStyle w:val="eop"/>
                    </w:rPr>
                    <w:t> </w:t>
                  </w:r>
                </w:p>
                <w:p w14:paraId="6E9669F6" w14:textId="77777777" w:rsidR="003A08A0" w:rsidRPr="00F22A05" w:rsidRDefault="003A08A0" w:rsidP="003A08A0">
                  <w:pPr>
                    <w:pStyle w:val="paragraph"/>
                    <w:ind w:left="360"/>
                    <w:textAlignment w:val="baseline"/>
                  </w:pPr>
                  <w:r w:rsidRPr="00F22A05">
                    <w:rPr>
                      <w:rStyle w:val="eop"/>
                    </w:rPr>
                    <w:t> </w:t>
                  </w:r>
                </w:p>
                <w:p w14:paraId="1B6C0259" w14:textId="77777777" w:rsidR="003A08A0" w:rsidRPr="00F22A05" w:rsidRDefault="003A08A0" w:rsidP="003A08A0">
                  <w:pPr>
                    <w:pStyle w:val="paragraph"/>
                    <w:numPr>
                      <w:ilvl w:val="0"/>
                      <w:numId w:val="33"/>
                    </w:numPr>
                    <w:ind w:left="1080" w:firstLine="0"/>
                    <w:textAlignment w:val="baseline"/>
                    <w:rPr>
                      <w:rFonts w:ascii="Calibri" w:hAnsi="Calibri" w:cs="Calibri"/>
                    </w:rPr>
                  </w:pPr>
                  <w:r w:rsidRPr="00F22A05">
                    <w:rPr>
                      <w:rStyle w:val="normaltextrun"/>
                      <w:i/>
                      <w:iCs/>
                    </w:rPr>
                    <w:t>Wall to Unrated Heated Space</w:t>
                  </w:r>
                  <w:r w:rsidRPr="00F22A05">
                    <w:rPr>
                      <w:rStyle w:val="normaltextrun"/>
                    </w:rPr>
                    <w:t xml:space="preserve"> – The space adjacent to the Dwelling Unit wall is outside of the Conditioned Space Volume and only interacts with the Rated Home via the shared services located within. This space is not cooled.</w:t>
                  </w:r>
                  <w:r w:rsidRPr="00F22A05">
                    <w:rPr>
                      <w:rStyle w:val="eop"/>
                    </w:rPr>
                    <w:t> </w:t>
                  </w:r>
                </w:p>
                <w:p w14:paraId="19A2CD1A" w14:textId="77777777" w:rsidR="003A08A0" w:rsidRPr="00F22A05" w:rsidRDefault="003A08A0" w:rsidP="003A08A0">
                  <w:pPr>
                    <w:pStyle w:val="paragraph"/>
                    <w:textAlignment w:val="baseline"/>
                  </w:pPr>
                  <w:r w:rsidRPr="00F22A05">
                    <w:rPr>
                      <w:rStyle w:val="eop"/>
                    </w:rPr>
                    <w:t> </w:t>
                  </w:r>
                </w:p>
                <w:p w14:paraId="15A31DD6" w14:textId="77777777" w:rsidR="003A08A0" w:rsidRPr="00F22A05" w:rsidRDefault="003A08A0" w:rsidP="003A08A0">
                  <w:pPr>
                    <w:pStyle w:val="paragraph"/>
                    <w:numPr>
                      <w:ilvl w:val="0"/>
                      <w:numId w:val="34"/>
                    </w:numPr>
                    <w:ind w:left="1080" w:firstLine="0"/>
                    <w:textAlignment w:val="baseline"/>
                    <w:rPr>
                      <w:rFonts w:ascii="Calibri" w:hAnsi="Calibri" w:cs="Calibri"/>
                    </w:rPr>
                  </w:pPr>
                  <w:r w:rsidRPr="00F22A05">
                    <w:rPr>
                      <w:rStyle w:val="normaltextrun"/>
                      <w:i/>
                      <w:iCs/>
                    </w:rPr>
                    <w:t>Wall to Non-Freezing Space</w:t>
                  </w:r>
                  <w:r w:rsidRPr="00F22A05">
                    <w:rPr>
                      <w:rStyle w:val="normaltextrun"/>
                    </w:rPr>
                    <w:t xml:space="preserve"> – The temperature of the space directly adjacent to the Dwelling Unit wall varies with outside temperature but is heated as necessary to stay at or above 40°F.</w:t>
                  </w:r>
                  <w:r w:rsidRPr="00F22A05">
                    <w:rPr>
                      <w:rStyle w:val="eop"/>
                    </w:rPr>
                    <w:t> </w:t>
                  </w:r>
                </w:p>
                <w:p w14:paraId="2DBC67D8" w14:textId="77777777" w:rsidR="003A08A0" w:rsidRPr="00F22A05" w:rsidRDefault="003A08A0" w:rsidP="003A08A0">
                  <w:pPr>
                    <w:pStyle w:val="paragraph"/>
                    <w:textAlignment w:val="baseline"/>
                  </w:pPr>
                  <w:r w:rsidRPr="00F22A05">
                    <w:rPr>
                      <w:rStyle w:val="eop"/>
                    </w:rPr>
                    <w:lastRenderedPageBreak/>
                    <w:t> </w:t>
                  </w:r>
                </w:p>
                <w:p w14:paraId="2FE89FCA" w14:textId="77777777" w:rsidR="003A08A0" w:rsidRPr="00F22A05" w:rsidRDefault="003A08A0" w:rsidP="003A08A0">
                  <w:pPr>
                    <w:pStyle w:val="paragraph"/>
                    <w:numPr>
                      <w:ilvl w:val="0"/>
                      <w:numId w:val="35"/>
                    </w:numPr>
                    <w:ind w:left="1080" w:firstLine="0"/>
                    <w:textAlignment w:val="baseline"/>
                    <w:rPr>
                      <w:rFonts w:ascii="Calibri" w:hAnsi="Calibri" w:cs="Calibri"/>
                    </w:rPr>
                  </w:pPr>
                  <w:r w:rsidRPr="00F22A05">
                    <w:rPr>
                      <w:rStyle w:val="normaltextrun"/>
                      <w:i/>
                      <w:iCs/>
                    </w:rPr>
                    <w:t xml:space="preserve">Wall to Adjacent Building – </w:t>
                  </w:r>
                  <w:r w:rsidRPr="00F22A05">
                    <w:rPr>
                      <w:rStyle w:val="normaltextrun"/>
                    </w:rPr>
                    <w:t>When a Dwelling Unit is directly adjacent to another building, the walls adjacent to that other building shall be considered exterior walls. However, if there is no air space present between the two buildings and the building that is adjacent is inspected and determined to meet the definition of Conditioned Space Volume, then the wall shall be considered adiabatic.</w:t>
                  </w:r>
                  <w:r w:rsidRPr="00F22A05">
                    <w:rPr>
                      <w:rStyle w:val="eop"/>
                    </w:rPr>
                    <w:t> </w:t>
                  </w:r>
                </w:p>
              </w:tc>
            </w:tr>
            <w:tr w:rsidR="00F22A05" w:rsidRPr="00F22A05" w14:paraId="3C8515FE" w14:textId="77777777" w:rsidTr="00723B0E">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A137560" w14:textId="77777777" w:rsidR="003A08A0" w:rsidRPr="00F22A05" w:rsidRDefault="003A08A0" w:rsidP="003A08A0">
                  <w:pPr>
                    <w:pStyle w:val="paragraph"/>
                    <w:textAlignment w:val="baseline"/>
                  </w:pPr>
                  <w:r w:rsidRPr="00F22A05">
                    <w:rPr>
                      <w:rStyle w:val="normaltextrun"/>
                    </w:rPr>
                    <w:lastRenderedPageBreak/>
                    <w:t>Construction type</w:t>
                  </w:r>
                  <w:r w:rsidRPr="00F22A05">
                    <w:rPr>
                      <w:rStyle w:val="eop"/>
                    </w:rPr>
                    <w:t> </w:t>
                  </w:r>
                </w:p>
                <w:p w14:paraId="578AD89D" w14:textId="77777777" w:rsidR="003A08A0" w:rsidRPr="00F22A05" w:rsidRDefault="003A08A0" w:rsidP="003A08A0">
                  <w:pPr>
                    <w:pStyle w:val="paragraph"/>
                    <w:textAlignment w:val="baseline"/>
                  </w:pPr>
                  <w:r w:rsidRPr="00F22A05">
                    <w:rPr>
                      <w:rStyle w:val="eop"/>
                    </w:rPr>
                    <w:t> </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4A4D8E1" w14:textId="77777777" w:rsidR="003A08A0" w:rsidRPr="00F22A05" w:rsidRDefault="003A08A0" w:rsidP="003A08A0">
                  <w:pPr>
                    <w:pStyle w:val="paragraph"/>
                    <w:textAlignment w:val="baseline"/>
                  </w:pPr>
                  <w:r w:rsidRPr="00F22A05">
                    <w:rPr>
                      <w:rStyle w:val="normaltextrun"/>
                    </w:rPr>
                    <w:t>Determine and record the structural system of walls. </w:t>
                  </w:r>
                  <w:r w:rsidRPr="00F22A05">
                    <w:rPr>
                      <w:rStyle w:val="eop"/>
                    </w:rPr>
                    <w:t> </w:t>
                  </w:r>
                </w:p>
              </w:tc>
              <w:tc>
                <w:tcPr>
                  <w:tcW w:w="541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320DB0C" w14:textId="77777777" w:rsidR="003A08A0" w:rsidRPr="00F22A05" w:rsidRDefault="003A08A0" w:rsidP="003A08A0">
                  <w:pPr>
                    <w:pStyle w:val="paragraph"/>
                    <w:textAlignment w:val="baseline"/>
                  </w:pPr>
                  <w:r w:rsidRPr="00F22A05">
                    <w:rPr>
                      <w:rStyle w:val="normaltextrun"/>
                      <w:i/>
                      <w:iCs/>
                    </w:rPr>
                    <w:t xml:space="preserve">Framed walls – </w:t>
                  </w:r>
                  <w:r w:rsidRPr="00F22A05">
                    <w:rPr>
                      <w:rStyle w:val="normaltextrun"/>
                    </w:rPr>
                    <w:t>Wood studs are typically located at 16" or 24" on center along the wall.  Measure and record the predominant on-center spacing of the studs.</w:t>
                  </w:r>
                  <w:r w:rsidRPr="00F22A05">
                    <w:rPr>
                      <w:rStyle w:val="eop"/>
                    </w:rPr>
                    <w:t> </w:t>
                  </w:r>
                </w:p>
                <w:p w14:paraId="5E8034BF" w14:textId="77777777" w:rsidR="003A08A0" w:rsidRPr="00F22A05" w:rsidRDefault="003A08A0" w:rsidP="003A08A0">
                  <w:pPr>
                    <w:pStyle w:val="paragraph"/>
                    <w:textAlignment w:val="baseline"/>
                  </w:pPr>
                  <w:r w:rsidRPr="00F22A05">
                    <w:rPr>
                      <w:rStyle w:val="eop"/>
                    </w:rPr>
                    <w:t> </w:t>
                  </w:r>
                </w:p>
                <w:p w14:paraId="777477F9" w14:textId="77777777" w:rsidR="003A08A0" w:rsidRPr="00F22A05" w:rsidRDefault="003A08A0" w:rsidP="003A08A0">
                  <w:pPr>
                    <w:pStyle w:val="paragraph"/>
                    <w:textAlignment w:val="baseline"/>
                  </w:pPr>
                  <w:r w:rsidRPr="00F22A05">
                    <w:rPr>
                      <w:rStyle w:val="normaltextrun"/>
                      <w:i/>
                      <w:iCs/>
                    </w:rPr>
                    <w:t xml:space="preserve">Masonry walls </w:t>
                  </w:r>
                  <w:r w:rsidRPr="00F22A05">
                    <w:rPr>
                      <w:rStyle w:val="normaltextrun"/>
                    </w:rPr>
                    <w:t>– Masonry walls are load-bearing walls constructed of concrete brick or block. A wood framed wall with brick veneer is not a masonry wall.   Also record the siding or finish material on the exterior of the wall. If interior framing is present, record whether it is wood or metal. </w:t>
                  </w:r>
                  <w:r w:rsidRPr="00F22A05">
                    <w:rPr>
                      <w:rStyle w:val="eop"/>
                    </w:rPr>
                    <w:t> </w:t>
                  </w:r>
                </w:p>
                <w:p w14:paraId="4A2B7D93" w14:textId="77777777" w:rsidR="003A08A0" w:rsidRPr="00F22A05" w:rsidRDefault="003A08A0" w:rsidP="003A08A0">
                  <w:pPr>
                    <w:pStyle w:val="paragraph"/>
                    <w:textAlignment w:val="baseline"/>
                  </w:pPr>
                  <w:r w:rsidRPr="00F22A05">
                    <w:rPr>
                      <w:rStyle w:val="eop"/>
                    </w:rPr>
                    <w:t> </w:t>
                  </w:r>
                </w:p>
                <w:p w14:paraId="017D3C75" w14:textId="77777777" w:rsidR="003A08A0" w:rsidRPr="00F22A05" w:rsidRDefault="003A08A0" w:rsidP="003A08A0">
                  <w:pPr>
                    <w:pStyle w:val="paragraph"/>
                    <w:textAlignment w:val="baseline"/>
                  </w:pPr>
                  <w:r w:rsidRPr="00F22A05">
                    <w:rPr>
                      <w:rStyle w:val="normaltextrun"/>
                      <w:i/>
                      <w:iCs/>
                    </w:rPr>
                    <w:t>Foam core walls (SIP)</w:t>
                  </w:r>
                  <w:r w:rsidRPr="00F22A05">
                    <w:rPr>
                      <w:rStyle w:val="normaltextrun"/>
                    </w:rPr>
                    <w:t xml:space="preserve"> – Foam core walls are a sandwich panel consisting of a foam center with outer layers of structural sheathing, gypsum board or outer finish materials. Foam core panels may be structural or nonstructural. Structural panels are also known as structural insulated panels (SIPs).  Nonstructural panels are frequently used in post and beam construction. </w:t>
                  </w:r>
                  <w:r w:rsidRPr="00F22A05">
                    <w:rPr>
                      <w:rStyle w:val="eop"/>
                    </w:rPr>
                    <w:t> </w:t>
                  </w:r>
                </w:p>
              </w:tc>
            </w:tr>
          </w:tbl>
          <w:p w14:paraId="58A981AC" w14:textId="12F87532" w:rsidR="003A08A0" w:rsidRPr="00F22A05" w:rsidRDefault="003A08A0" w:rsidP="00723B0E">
            <w:pPr>
              <w:pStyle w:val="paragraph"/>
              <w:shd w:val="clear" w:color="auto" w:fill="FFFFFF" w:themeFill="background1"/>
              <w:textAlignment w:val="baseline"/>
            </w:pPr>
          </w:p>
          <w:tbl>
            <w:tblPr>
              <w:tblW w:w="0" w:type="auto"/>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17"/>
              <w:gridCol w:w="1620"/>
              <w:gridCol w:w="6276"/>
            </w:tblGrid>
            <w:tr w:rsidR="00F22A05" w:rsidRPr="00F22A05" w14:paraId="19497AE8" w14:textId="77777777" w:rsidTr="00723B0E">
              <w:trPr>
                <w:trHeight w:val="300"/>
              </w:trPr>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9E084F6" w14:textId="77777777" w:rsidR="003A08A0" w:rsidRPr="00F22A05" w:rsidRDefault="003A08A0" w:rsidP="00723B0E">
                  <w:pPr>
                    <w:pStyle w:val="paragraph"/>
                    <w:shd w:val="clear" w:color="auto" w:fill="FFFFFF" w:themeFill="background1"/>
                    <w:textAlignment w:val="baseline"/>
                  </w:pPr>
                  <w:r w:rsidRPr="00F22A05">
                    <w:rPr>
                      <w:rStyle w:val="eop"/>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559DDA2" w14:textId="77777777" w:rsidR="003A08A0" w:rsidRPr="00F22A05" w:rsidRDefault="003A08A0" w:rsidP="00723B0E">
                  <w:pPr>
                    <w:pStyle w:val="paragraph"/>
                    <w:shd w:val="clear" w:color="auto" w:fill="FFFFFF" w:themeFill="background1"/>
                    <w:textAlignment w:val="baseline"/>
                  </w:pPr>
                  <w:r w:rsidRPr="00F22A05">
                    <w:rPr>
                      <w:rStyle w:val="eop"/>
                    </w:rPr>
                    <w:t> </w:t>
                  </w:r>
                </w:p>
              </w:tc>
              <w:tc>
                <w:tcPr>
                  <w:tcW w:w="6276"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3986AE3" w14:textId="77777777" w:rsidR="003A08A0" w:rsidRPr="00F22A05" w:rsidRDefault="003A08A0" w:rsidP="00723B0E">
                  <w:pPr>
                    <w:pStyle w:val="paragraph"/>
                    <w:shd w:val="clear" w:color="auto" w:fill="FFFFFF" w:themeFill="background1"/>
                    <w:textAlignment w:val="baseline"/>
                  </w:pPr>
                  <w:r w:rsidRPr="00F22A05">
                    <w:rPr>
                      <w:rStyle w:val="normaltextrun"/>
                      <w:i/>
                      <w:iCs/>
                    </w:rPr>
                    <w:t>Log walls</w:t>
                  </w:r>
                  <w:r w:rsidRPr="00F22A05">
                    <w:rPr>
                      <w:rStyle w:val="normaltextrun"/>
                    </w:rPr>
                    <w:t xml:space="preserve"> – Log walls are solid wood walls, using either milled or rough logs or solid timbers. Some homes have the appearance of solid log walls yet are </w:t>
                  </w:r>
                  <w:proofErr w:type="gramStart"/>
                  <w:r w:rsidRPr="00F22A05">
                    <w:rPr>
                      <w:rStyle w:val="normaltextrun"/>
                    </w:rPr>
                    <w:t>actually wood</w:t>
                  </w:r>
                  <w:proofErr w:type="gramEnd"/>
                  <w:r w:rsidRPr="00F22A05">
                    <w:rPr>
                      <w:rStyle w:val="normaltextrun"/>
                    </w:rPr>
                    <w:t xml:space="preserve"> frame walls with siding that looks like solid logs inside and out. Some log walls are manufactured with insulated cores. Assume no added insulation exists in a log wall unless manufacturer's data sheet and/or a visual inspection confirms insulation type and thickness.</w:t>
                  </w:r>
                  <w:r w:rsidRPr="00F22A05">
                    <w:rPr>
                      <w:rStyle w:val="eop"/>
                    </w:rPr>
                    <w:t> </w:t>
                  </w:r>
                </w:p>
              </w:tc>
            </w:tr>
            <w:tr w:rsidR="00F22A05" w:rsidRPr="00F22A05" w14:paraId="7CC5F85E" w14:textId="77777777" w:rsidTr="00723B0E">
              <w:trPr>
                <w:trHeight w:val="300"/>
              </w:trPr>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2FCD419" w14:textId="77777777" w:rsidR="003A08A0" w:rsidRPr="00F22A05" w:rsidRDefault="003A08A0" w:rsidP="003A08A0">
                  <w:pPr>
                    <w:pStyle w:val="paragraph"/>
                    <w:textAlignment w:val="baseline"/>
                    <w:rPr>
                      <w:u w:val="single"/>
                    </w:rPr>
                  </w:pPr>
                  <w:bookmarkStart w:id="134" w:name="_Hlk161055647"/>
                  <w:r w:rsidRPr="00F22A05">
                    <w:rPr>
                      <w:rStyle w:val="normaltextrun"/>
                      <w:u w:val="single"/>
                    </w:rPr>
                    <w:t>Orientation</w:t>
                  </w:r>
                  <w:r w:rsidRPr="00F22A05">
                    <w:rPr>
                      <w:rStyle w:val="eop"/>
                      <w:u w:val="single"/>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861974E" w14:textId="77777777" w:rsidR="003A08A0" w:rsidRPr="00F22A05" w:rsidRDefault="003A08A0" w:rsidP="003A08A0">
                  <w:pPr>
                    <w:pStyle w:val="paragraph"/>
                    <w:textAlignment w:val="baseline"/>
                    <w:rPr>
                      <w:u w:val="single"/>
                    </w:rPr>
                  </w:pPr>
                  <w:r w:rsidRPr="00F22A05">
                    <w:rPr>
                      <w:rStyle w:val="normaltextrun"/>
                      <w:u w:val="single"/>
                    </w:rPr>
                    <w:t>Determine and record orientation of exterior walls.</w:t>
                  </w:r>
                  <w:r w:rsidRPr="00F22A05">
                    <w:rPr>
                      <w:rStyle w:val="eop"/>
                      <w:u w:val="single"/>
                    </w:rPr>
                    <w:t> </w:t>
                  </w:r>
                </w:p>
              </w:tc>
              <w:tc>
                <w:tcPr>
                  <w:tcW w:w="6276"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7AF4BF9" w14:textId="77777777" w:rsidR="00A50D7C" w:rsidRDefault="003A08A0" w:rsidP="003A08A0">
                  <w:pPr>
                    <w:pStyle w:val="paragraph"/>
                    <w:textAlignment w:val="baseline"/>
                    <w:rPr>
                      <w:rStyle w:val="normaltextrun"/>
                      <w:u w:val="single"/>
                    </w:rPr>
                  </w:pPr>
                  <w:r w:rsidRPr="00F22A05">
                    <w:rPr>
                      <w:rStyle w:val="normaltextrun"/>
                      <w:u w:val="single"/>
                    </w:rPr>
                    <w:t xml:space="preserve">Determine </w:t>
                  </w:r>
                  <w:r w:rsidR="00B85122" w:rsidRPr="00F22A05">
                    <w:rPr>
                      <w:rStyle w:val="normaltextrun"/>
                      <w:u w:val="single"/>
                    </w:rPr>
                    <w:t xml:space="preserve">orientation of at least one exterior wall </w:t>
                  </w:r>
                  <w:r w:rsidRPr="00F22A05">
                    <w:rPr>
                      <w:rStyle w:val="normaltextrun"/>
                      <w:u w:val="single"/>
                    </w:rPr>
                    <w:t>and record orientation</w:t>
                  </w:r>
                  <w:r w:rsidR="00B85122" w:rsidRPr="00F22A05">
                    <w:rPr>
                      <w:rStyle w:val="normaltextrun"/>
                      <w:u w:val="single"/>
                    </w:rPr>
                    <w:t>s</w:t>
                  </w:r>
                  <w:r w:rsidRPr="00F22A05">
                    <w:rPr>
                      <w:rStyle w:val="normaltextrun"/>
                      <w:u w:val="single"/>
                    </w:rPr>
                    <w:t xml:space="preserve"> of all exterior walls to the nearest cardinal/ordinal points.  </w:t>
                  </w:r>
                </w:p>
                <w:p w14:paraId="42F6451B" w14:textId="7E06B80D" w:rsidR="003A08A0" w:rsidRPr="00F22A05" w:rsidRDefault="003F2244" w:rsidP="00A50D7C">
                  <w:pPr>
                    <w:pStyle w:val="paragraph"/>
                    <w:textAlignment w:val="baseline"/>
                    <w:rPr>
                      <w:u w:val="single"/>
                    </w:rPr>
                  </w:pPr>
                  <w:r w:rsidRPr="00DE3417">
                    <w:rPr>
                      <w:rStyle w:val="normaltextrun"/>
                      <w:color w:val="FF0000"/>
                      <w:u w:val="single"/>
                    </w:rPr>
                    <w:lastRenderedPageBreak/>
                    <w:t>When</w:t>
                  </w:r>
                  <w:r w:rsidR="00A50D7C" w:rsidRPr="00DE3417">
                    <w:rPr>
                      <w:rStyle w:val="normaltextrun"/>
                      <w:color w:val="FF0000"/>
                      <w:u w:val="single"/>
                    </w:rPr>
                    <w:t xml:space="preserve"> using a compass, </w:t>
                  </w:r>
                  <w:r w:rsidR="00B85122" w:rsidRPr="00DE3417">
                    <w:rPr>
                      <w:rStyle w:val="normaltextrun"/>
                      <w:strike/>
                      <w:color w:val="FF0000"/>
                      <w:u w:val="single"/>
                    </w:rPr>
                    <w:t xml:space="preserve">First </w:t>
                  </w:r>
                  <w:proofErr w:type="spellStart"/>
                  <w:r w:rsidR="00A50D7C" w:rsidRPr="00DE3417">
                    <w:rPr>
                      <w:rStyle w:val="normaltextrun"/>
                      <w:color w:val="FF0000"/>
                      <w:u w:val="single"/>
                    </w:rPr>
                    <w:t>first</w:t>
                  </w:r>
                  <w:proofErr w:type="spellEnd"/>
                  <w:r w:rsidR="00A50D7C" w:rsidRPr="00DE3417">
                    <w:rPr>
                      <w:rStyle w:val="normaltextrun"/>
                      <w:color w:val="FF0000"/>
                      <w:u w:val="single"/>
                    </w:rPr>
                    <w:t xml:space="preserve"> </w:t>
                  </w:r>
                  <w:r w:rsidR="00B85122" w:rsidRPr="00F22A05">
                    <w:rPr>
                      <w:rStyle w:val="normaltextrun"/>
                      <w:u w:val="single"/>
                    </w:rPr>
                    <w:t xml:space="preserve">make sure the compass is not noticeably affected by steel members or electric current in the place you are standing. </w:t>
                  </w:r>
                  <w:r w:rsidR="00A50D7C" w:rsidRPr="00CF5B2F">
                    <w:rPr>
                      <w:rStyle w:val="normaltextrun"/>
                      <w:color w:val="FF0000"/>
                      <w:u w:val="single"/>
                    </w:rPr>
                    <w:t xml:space="preserve">Then </w:t>
                  </w:r>
                  <w:proofErr w:type="gramStart"/>
                  <w:r w:rsidR="00B85122" w:rsidRPr="00CF5B2F">
                    <w:rPr>
                      <w:rStyle w:val="normaltextrun"/>
                      <w:strike/>
                      <w:color w:val="FF0000"/>
                      <w:u w:val="single"/>
                    </w:rPr>
                    <w:t>W</w:t>
                  </w:r>
                  <w:r w:rsidR="003A08A0" w:rsidRPr="00CF5B2F">
                    <w:rPr>
                      <w:rStyle w:val="normaltextrun"/>
                      <w:strike/>
                      <w:color w:val="FF0000"/>
                      <w:u w:val="single"/>
                    </w:rPr>
                    <w:t>hile</w:t>
                  </w:r>
                  <w:proofErr w:type="gramEnd"/>
                  <w:r w:rsidR="003A08A0" w:rsidRPr="00CF5B2F">
                    <w:rPr>
                      <w:rStyle w:val="normaltextrun"/>
                      <w:strike/>
                      <w:color w:val="FF0000"/>
                      <w:u w:val="single"/>
                    </w:rPr>
                    <w:t xml:space="preserve"> </w:t>
                  </w:r>
                  <w:proofErr w:type="spellStart"/>
                  <w:r w:rsidR="00A50D7C" w:rsidRPr="00CF5B2F">
                    <w:rPr>
                      <w:rStyle w:val="normaltextrun"/>
                      <w:color w:val="FF0000"/>
                      <w:u w:val="single"/>
                    </w:rPr>
                    <w:t>while</w:t>
                  </w:r>
                  <w:proofErr w:type="spellEnd"/>
                  <w:r w:rsidR="00A50D7C" w:rsidRPr="00CF5B2F">
                    <w:rPr>
                      <w:rStyle w:val="normaltextrun"/>
                      <w:color w:val="FF0000"/>
                      <w:u w:val="single"/>
                    </w:rPr>
                    <w:t xml:space="preserve"> </w:t>
                  </w:r>
                  <w:r w:rsidR="003A08A0" w:rsidRPr="00F22A05">
                    <w:rPr>
                      <w:rStyle w:val="normaltextrun"/>
                      <w:u w:val="single"/>
                    </w:rPr>
                    <w:t>standing in front of an exterior wall inside the Dwelling Unit, record orientation while facing the exterior. When using a compass while standing outside the Dwelling Unit, record orientation while standing with back to the exterior wall.</w:t>
                  </w:r>
                  <w:r w:rsidR="003A08A0" w:rsidRPr="00F22A05">
                    <w:rPr>
                      <w:rStyle w:val="eop"/>
                      <w:u w:val="single"/>
                    </w:rPr>
                    <w:t> </w:t>
                  </w:r>
                </w:p>
              </w:tc>
            </w:tr>
            <w:bookmarkEnd w:id="134"/>
            <w:tr w:rsidR="00F22A05" w:rsidRPr="00F22A05" w14:paraId="4010BA27" w14:textId="77777777" w:rsidTr="00723B0E">
              <w:trPr>
                <w:trHeight w:val="300"/>
              </w:trPr>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1D62D00" w14:textId="77777777" w:rsidR="003A08A0" w:rsidRPr="00F22A05" w:rsidRDefault="003A08A0" w:rsidP="003A08A0">
                  <w:pPr>
                    <w:pStyle w:val="paragraph"/>
                    <w:textAlignment w:val="baseline"/>
                  </w:pPr>
                  <w:r w:rsidRPr="00F22A05">
                    <w:rPr>
                      <w:rStyle w:val="normaltextrun"/>
                    </w:rPr>
                    <w:lastRenderedPageBreak/>
                    <w:t>Framing members </w:t>
                  </w:r>
                  <w:r w:rsidRPr="00F22A05">
                    <w:rPr>
                      <w:rStyle w:val="eop"/>
                    </w:rPr>
                    <w:t> </w:t>
                  </w:r>
                </w:p>
                <w:p w14:paraId="208946C6" w14:textId="77777777" w:rsidR="003A08A0" w:rsidRPr="00F22A05" w:rsidRDefault="003A08A0" w:rsidP="003A08A0">
                  <w:pPr>
                    <w:pStyle w:val="paragraph"/>
                    <w:textAlignment w:val="baseline"/>
                  </w:pPr>
                  <w:r w:rsidRPr="00F22A05">
                    <w:rPr>
                      <w:rStyle w:val="eop"/>
                    </w:rPr>
                    <w:t> </w:t>
                  </w:r>
                </w:p>
                <w:p w14:paraId="4D6CD160" w14:textId="77777777" w:rsidR="003A08A0" w:rsidRPr="00F22A05" w:rsidRDefault="003A08A0" w:rsidP="003A08A0">
                  <w:pPr>
                    <w:pStyle w:val="paragraph"/>
                    <w:textAlignment w:val="baseline"/>
                  </w:pPr>
                  <w:r w:rsidRPr="00F22A05">
                    <w:rPr>
                      <w:rStyle w:val="eop"/>
                    </w:rPr>
                    <w:t> </w:t>
                  </w:r>
                </w:p>
                <w:p w14:paraId="62A93999" w14:textId="77777777" w:rsidR="003A08A0" w:rsidRPr="00F22A05" w:rsidRDefault="003A08A0" w:rsidP="003A08A0">
                  <w:pPr>
                    <w:pStyle w:val="paragraph"/>
                    <w:textAlignment w:val="baseline"/>
                  </w:pPr>
                  <w:r w:rsidRPr="00F22A05">
                    <w:rPr>
                      <w:rStyle w:val="eop"/>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11387BD" w14:textId="77777777" w:rsidR="003A08A0" w:rsidRPr="00F22A05" w:rsidRDefault="003A08A0" w:rsidP="003A08A0">
                  <w:pPr>
                    <w:pStyle w:val="paragraph"/>
                    <w:textAlignment w:val="baseline"/>
                  </w:pPr>
                  <w:r w:rsidRPr="00F22A05">
                    <w:rPr>
                      <w:rStyle w:val="normaltextrun"/>
                    </w:rPr>
                    <w:t>Determine and record the framing size spacing and type of all framed wall segments that separate one space type from another or from the exterior</w:t>
                  </w:r>
                  <w:r w:rsidRPr="00F22A05">
                    <w:rPr>
                      <w:rStyle w:val="eop"/>
                    </w:rPr>
                    <w:t> </w:t>
                  </w:r>
                </w:p>
              </w:tc>
              <w:tc>
                <w:tcPr>
                  <w:tcW w:w="6276"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54B1961" w14:textId="77777777" w:rsidR="003A08A0" w:rsidRPr="00F22A05" w:rsidRDefault="003A08A0" w:rsidP="003A08A0">
                  <w:pPr>
                    <w:pStyle w:val="paragraph"/>
                    <w:textAlignment w:val="baseline"/>
                  </w:pPr>
                  <w:r w:rsidRPr="00F22A05">
                    <w:rPr>
                      <w:rStyle w:val="normaltextrun"/>
                    </w:rPr>
                    <w:t>Determine the framing member size, spacing (either 16” or 24” on-center), and framing type of each applicable framed wall segment through visual observation.</w:t>
                  </w:r>
                  <w:r w:rsidRPr="00F22A05">
                    <w:rPr>
                      <w:rStyle w:val="eop"/>
                    </w:rPr>
                    <w:t> </w:t>
                  </w:r>
                </w:p>
                <w:p w14:paraId="1D196F2A" w14:textId="77777777" w:rsidR="003A08A0" w:rsidRPr="00F22A05" w:rsidRDefault="003A08A0" w:rsidP="003A08A0">
                  <w:pPr>
                    <w:pStyle w:val="paragraph"/>
                    <w:textAlignment w:val="baseline"/>
                  </w:pPr>
                  <w:r w:rsidRPr="00F22A05">
                    <w:rPr>
                      <w:rStyle w:val="eop"/>
                    </w:rPr>
                    <w:t> </w:t>
                  </w:r>
                </w:p>
                <w:p w14:paraId="73CA5853" w14:textId="77777777" w:rsidR="003A08A0" w:rsidRPr="00F22A05" w:rsidRDefault="003A08A0" w:rsidP="003A08A0">
                  <w:pPr>
                    <w:pStyle w:val="paragraph"/>
                    <w:textAlignment w:val="baseline"/>
                  </w:pPr>
                  <w:r w:rsidRPr="00F22A05">
                    <w:rPr>
                      <w:rStyle w:val="normaltextrun"/>
                    </w:rPr>
                    <w:t>To determine framing member size:</w:t>
                  </w:r>
                  <w:r w:rsidRPr="00F22A05">
                    <w:rPr>
                      <w:rStyle w:val="eop"/>
                    </w:rPr>
                    <w:t> </w:t>
                  </w:r>
                </w:p>
                <w:p w14:paraId="34AB5F97" w14:textId="77777777" w:rsidR="003A08A0" w:rsidRPr="00F22A05" w:rsidRDefault="003A08A0" w:rsidP="003A08A0">
                  <w:pPr>
                    <w:pStyle w:val="paragraph"/>
                    <w:numPr>
                      <w:ilvl w:val="0"/>
                      <w:numId w:val="36"/>
                    </w:numPr>
                    <w:ind w:left="1080" w:firstLine="0"/>
                    <w:textAlignment w:val="baseline"/>
                  </w:pPr>
                  <w:r w:rsidRPr="00F22A05">
                    <w:rPr>
                      <w:rStyle w:val="normaltextrun"/>
                    </w:rPr>
                    <w:t>Where framing is visible: If insulation is in place, carefully probe depth using tape measure, wire probe, or foam insulation depth gauge while disturbing as little of the assembly as possible.</w:t>
                  </w:r>
                  <w:r w:rsidRPr="00F22A05">
                    <w:rPr>
                      <w:rStyle w:val="eop"/>
                    </w:rPr>
                    <w:t> </w:t>
                  </w:r>
                </w:p>
                <w:p w14:paraId="2D7EEC03" w14:textId="77777777" w:rsidR="003A08A0" w:rsidRPr="00F22A05" w:rsidRDefault="003A08A0" w:rsidP="003A08A0">
                  <w:pPr>
                    <w:pStyle w:val="paragraph"/>
                    <w:ind w:left="720"/>
                    <w:textAlignment w:val="baseline"/>
                  </w:pPr>
                  <w:r w:rsidRPr="00F22A05">
                    <w:rPr>
                      <w:rStyle w:val="eop"/>
                    </w:rPr>
                    <w:t> </w:t>
                  </w:r>
                </w:p>
                <w:p w14:paraId="793105DB" w14:textId="77777777" w:rsidR="003A08A0" w:rsidRPr="00F22A05" w:rsidRDefault="003A08A0" w:rsidP="003A08A0">
                  <w:pPr>
                    <w:pStyle w:val="paragraph"/>
                    <w:numPr>
                      <w:ilvl w:val="0"/>
                      <w:numId w:val="37"/>
                    </w:numPr>
                    <w:ind w:left="1080" w:firstLine="0"/>
                    <w:textAlignment w:val="baseline"/>
                  </w:pPr>
                  <w:r w:rsidRPr="00F22A05">
                    <w:rPr>
                      <w:rStyle w:val="normaltextrun"/>
                    </w:rPr>
                    <w:t>Where framing is not visible: </w:t>
                  </w:r>
                  <w:r w:rsidRPr="00F22A05">
                    <w:rPr>
                      <w:rStyle w:val="eop"/>
                    </w:rPr>
                    <w:t> </w:t>
                  </w:r>
                </w:p>
                <w:p w14:paraId="68BA896F" w14:textId="77777777" w:rsidR="003A08A0" w:rsidRPr="00F22A05" w:rsidRDefault="003A08A0" w:rsidP="003A08A0">
                  <w:pPr>
                    <w:pStyle w:val="paragraph"/>
                    <w:ind w:left="750"/>
                    <w:textAlignment w:val="baseline"/>
                  </w:pPr>
                  <w:r w:rsidRPr="00F22A05">
                    <w:rPr>
                      <w:rStyle w:val="normaltextrun"/>
                    </w:rPr>
                    <w:t>Measure the width of the window or door jambs; Subtract the widths of the wall coverings and sheathing materials;</w:t>
                  </w:r>
                  <w:proofErr w:type="gramStart"/>
                  <w:r w:rsidRPr="00F22A05">
                    <w:rPr>
                      <w:rStyle w:val="superscript"/>
                      <w:rFonts w:ascii="Calibri" w:hAnsi="Calibri" w:cs="Calibri"/>
                      <w:sz w:val="19"/>
                      <w:szCs w:val="19"/>
                      <w:vertAlign w:val="superscript"/>
                    </w:rPr>
                    <w:t>117</w:t>
                  </w:r>
                  <w:proofErr w:type="gramEnd"/>
                  <w:r w:rsidRPr="00F22A05">
                    <w:rPr>
                      <w:rStyle w:val="normaltextrun"/>
                    </w:rPr>
                    <w:t> </w:t>
                  </w:r>
                  <w:r w:rsidRPr="00F22A05">
                    <w:rPr>
                      <w:rStyle w:val="eop"/>
                    </w:rPr>
                    <w:t> </w:t>
                  </w:r>
                </w:p>
                <w:p w14:paraId="5737504C" w14:textId="77777777" w:rsidR="003A08A0" w:rsidRPr="00F22A05" w:rsidRDefault="003A08A0" w:rsidP="003A08A0">
                  <w:pPr>
                    <w:pStyle w:val="paragraph"/>
                    <w:ind w:left="750"/>
                    <w:textAlignment w:val="baseline"/>
                  </w:pPr>
                  <w:r w:rsidRPr="00F22A05">
                    <w:rPr>
                      <w:rStyle w:val="eop"/>
                      <w:rFonts w:ascii="Calibri" w:hAnsi="Calibri" w:cs="Calibri"/>
                    </w:rPr>
                    <w:t> </w:t>
                  </w:r>
                </w:p>
                <w:p w14:paraId="00105FCF" w14:textId="77777777" w:rsidR="003A08A0" w:rsidRPr="00F22A05" w:rsidRDefault="003A08A0" w:rsidP="003A08A0">
                  <w:pPr>
                    <w:pStyle w:val="paragraph"/>
                    <w:ind w:left="750"/>
                    <w:textAlignment w:val="baseline"/>
                  </w:pPr>
                  <w:r w:rsidRPr="00F22A05">
                    <w:rPr>
                      <w:rStyle w:val="normaltextrun"/>
                    </w:rPr>
                    <w:t xml:space="preserve">Compare the remaining width to 3.5" for a 2x4 wall or 5.5" for a 2x6 </w:t>
                  </w:r>
                  <w:proofErr w:type="gramStart"/>
                  <w:r w:rsidRPr="00F22A05">
                    <w:rPr>
                      <w:rStyle w:val="normaltextrun"/>
                    </w:rPr>
                    <w:t>wall;</w:t>
                  </w:r>
                  <w:proofErr w:type="gramEnd"/>
                  <w:r w:rsidRPr="00F22A05">
                    <w:rPr>
                      <w:rStyle w:val="normaltextrun"/>
                    </w:rPr>
                    <w:t> </w:t>
                  </w:r>
                  <w:r w:rsidRPr="00F22A05">
                    <w:rPr>
                      <w:rStyle w:val="eop"/>
                    </w:rPr>
                    <w:t> </w:t>
                  </w:r>
                </w:p>
                <w:p w14:paraId="0F3846C5" w14:textId="77777777" w:rsidR="003A08A0" w:rsidRPr="00F22A05" w:rsidRDefault="003A08A0" w:rsidP="003A08A0">
                  <w:pPr>
                    <w:pStyle w:val="paragraph"/>
                    <w:ind w:left="720"/>
                    <w:textAlignment w:val="baseline"/>
                  </w:pPr>
                  <w:r w:rsidRPr="00F22A05">
                    <w:rPr>
                      <w:rStyle w:val="eop"/>
                    </w:rPr>
                    <w:t> </w:t>
                  </w:r>
                </w:p>
                <w:p w14:paraId="7CFF9A61" w14:textId="77777777" w:rsidR="003A08A0" w:rsidRPr="00F22A05" w:rsidRDefault="003A08A0" w:rsidP="003A08A0">
                  <w:pPr>
                    <w:pStyle w:val="paragraph"/>
                    <w:ind w:left="720"/>
                    <w:textAlignment w:val="baseline"/>
                  </w:pPr>
                  <w:r w:rsidRPr="00F22A05">
                    <w:rPr>
                      <w:rStyle w:val="normaltextrun"/>
                    </w:rPr>
                    <w:t>Where exposed garage walls exist, examine them for reference although they will not always</w:t>
                  </w:r>
                  <w:r w:rsidRPr="00F22A05">
                    <w:rPr>
                      <w:rStyle w:val="normaltextrun"/>
                      <w:i/>
                      <w:iCs/>
                    </w:rPr>
                    <w:t xml:space="preserve"> </w:t>
                  </w:r>
                  <w:r w:rsidRPr="00F22A05">
                    <w:rPr>
                      <w:rStyle w:val="normaltextrun"/>
                    </w:rPr>
                    <w:t xml:space="preserve">be the same as other </w:t>
                  </w:r>
                  <w:proofErr w:type="gramStart"/>
                  <w:r w:rsidRPr="00F22A05">
                    <w:rPr>
                      <w:rStyle w:val="normaltextrun"/>
                    </w:rPr>
                    <w:t>walls;</w:t>
                  </w:r>
                  <w:proofErr w:type="gramEnd"/>
                  <w:r w:rsidRPr="00F22A05">
                    <w:rPr>
                      <w:rStyle w:val="normaltextrun"/>
                    </w:rPr>
                    <w:t> </w:t>
                  </w:r>
                  <w:r w:rsidRPr="00F22A05">
                    <w:rPr>
                      <w:rStyle w:val="eop"/>
                    </w:rPr>
                    <w:t> </w:t>
                  </w:r>
                </w:p>
                <w:p w14:paraId="74D2662D" w14:textId="77777777" w:rsidR="003A08A0" w:rsidRPr="00F22A05" w:rsidRDefault="003A08A0" w:rsidP="003A08A0">
                  <w:pPr>
                    <w:pStyle w:val="paragraph"/>
                    <w:ind w:left="720"/>
                    <w:textAlignment w:val="baseline"/>
                  </w:pPr>
                  <w:r w:rsidRPr="00F22A05">
                    <w:rPr>
                      <w:rStyle w:val="eop"/>
                    </w:rPr>
                    <w:t> </w:t>
                  </w:r>
                </w:p>
                <w:p w14:paraId="08020EF9" w14:textId="0F5BEBC5" w:rsidR="003A08A0" w:rsidRPr="00F22A05" w:rsidRDefault="003A08A0" w:rsidP="00A50D7C">
                  <w:pPr>
                    <w:pStyle w:val="paragraph"/>
                    <w:ind w:left="720"/>
                    <w:textAlignment w:val="baseline"/>
                  </w:pPr>
                  <w:r w:rsidRPr="00F22A05">
                    <w:rPr>
                      <w:rStyle w:val="normaltextrun"/>
                    </w:rPr>
                    <w:t xml:space="preserve">Where a wall does not come close to the framing width of a 2x4 or 2x6, inspect for continuous insulation on the inside or outside of the walls or look for “double stud” or “strapped” walls or other factors that account for a thickness greater than 5.5". For brick veneer walls, </w:t>
                  </w:r>
                  <w:r w:rsidRPr="00F22A05">
                    <w:rPr>
                      <w:rStyle w:val="normaltextrun"/>
                    </w:rPr>
                    <w:lastRenderedPageBreak/>
                    <w:t xml:space="preserve">assume 4.5" - 5" for brick, </w:t>
                  </w:r>
                  <w:proofErr w:type="gramStart"/>
                  <w:r w:rsidRPr="00F22A05">
                    <w:rPr>
                      <w:rStyle w:val="normaltextrun"/>
                    </w:rPr>
                    <w:t>airspace</w:t>
                  </w:r>
                  <w:proofErr w:type="gramEnd"/>
                  <w:r w:rsidRPr="00F22A05">
                    <w:rPr>
                      <w:rStyle w:val="normaltextrun"/>
                    </w:rPr>
                    <w:t xml:space="preserve"> and sheathing material. </w:t>
                  </w:r>
                  <w:r w:rsidRPr="00F22A05">
                    <w:rPr>
                      <w:rStyle w:val="eop"/>
                    </w:rPr>
                    <w:t> </w:t>
                  </w:r>
                </w:p>
                <w:p w14:paraId="52052073" w14:textId="77777777" w:rsidR="003A08A0" w:rsidRPr="00F22A05" w:rsidRDefault="003A08A0" w:rsidP="003A08A0">
                  <w:pPr>
                    <w:pStyle w:val="paragraph"/>
                    <w:textAlignment w:val="baseline"/>
                  </w:pPr>
                  <w:r w:rsidRPr="00F22A05">
                    <w:rPr>
                      <w:rStyle w:val="normaltextrun"/>
                    </w:rPr>
                    <w:t>To determine framing member spacing:</w:t>
                  </w:r>
                  <w:r w:rsidRPr="00F22A05">
                    <w:rPr>
                      <w:rStyle w:val="eop"/>
                    </w:rPr>
                    <w:t> </w:t>
                  </w:r>
                </w:p>
                <w:p w14:paraId="7E3A5903" w14:textId="36676ADF" w:rsidR="003A08A0" w:rsidRPr="00F22A05" w:rsidRDefault="003A08A0" w:rsidP="003A08A0">
                  <w:pPr>
                    <w:pStyle w:val="paragraph"/>
                    <w:textAlignment w:val="baseline"/>
                  </w:pPr>
                  <w:r w:rsidRPr="00F22A05">
                    <w:rPr>
                      <w:rStyle w:val="normaltextrun"/>
                    </w:rPr>
                    <w:t>Use visual observation.</w:t>
                  </w:r>
                  <w:r w:rsidRPr="00F22A05">
                    <w:rPr>
                      <w:rStyle w:val="superscript"/>
                      <w:rFonts w:ascii="Calibri" w:hAnsi="Calibri" w:cs="Calibri"/>
                      <w:sz w:val="19"/>
                      <w:szCs w:val="19"/>
                      <w:vertAlign w:val="superscript"/>
                    </w:rPr>
                    <w:t>118</w:t>
                  </w:r>
                  <w:r w:rsidRPr="00F22A05">
                    <w:rPr>
                      <w:rStyle w:val="normaltextrun"/>
                    </w:rPr>
                    <w:t> </w:t>
                  </w:r>
                  <w:r w:rsidRPr="00F22A05">
                    <w:rPr>
                      <w:rStyle w:val="eop"/>
                    </w:rPr>
                    <w:t> </w:t>
                  </w:r>
                </w:p>
                <w:p w14:paraId="1F75B6E9" w14:textId="77777777" w:rsidR="003A08A0" w:rsidRPr="00F22A05" w:rsidRDefault="003A08A0" w:rsidP="003A08A0">
                  <w:pPr>
                    <w:pStyle w:val="paragraph"/>
                    <w:textAlignment w:val="baseline"/>
                  </w:pPr>
                  <w:r w:rsidRPr="00F22A05">
                    <w:rPr>
                      <w:rStyle w:val="normaltextrun"/>
                    </w:rPr>
                    <w:t>To determine framing member type:</w:t>
                  </w:r>
                  <w:r w:rsidRPr="00F22A05">
                    <w:rPr>
                      <w:rStyle w:val="eop"/>
                    </w:rPr>
                    <w:t> </w:t>
                  </w:r>
                </w:p>
                <w:p w14:paraId="755617FF" w14:textId="2C21D1FA" w:rsidR="003A08A0" w:rsidRPr="00F22A05" w:rsidRDefault="003A08A0" w:rsidP="003A08A0">
                  <w:pPr>
                    <w:pStyle w:val="paragraph"/>
                    <w:textAlignment w:val="baseline"/>
                  </w:pPr>
                  <w:r w:rsidRPr="00F22A05">
                    <w:rPr>
                      <w:rStyle w:val="normaltextrun"/>
                    </w:rPr>
                    <w:t xml:space="preserve">Designate the type as Advanced if, through visual observation, the segment meets </w:t>
                  </w:r>
                  <w:proofErr w:type="gramStart"/>
                  <w:r w:rsidRPr="00F22A05">
                    <w:rPr>
                      <w:rStyle w:val="normaltextrun"/>
                    </w:rPr>
                    <w:t>all of</w:t>
                  </w:r>
                  <w:proofErr w:type="gramEnd"/>
                  <w:r w:rsidRPr="00F22A05">
                    <w:rPr>
                      <w:rStyle w:val="normaltextrun"/>
                    </w:rPr>
                    <w:t xml:space="preserve"> the requirements for the Advanced framing type defined in Section 4.2.2.1.1. Designate the type as Structural Insulated Panel if it meets the definition contained within this standard. If not, or if the framing cannot be observed, then designate the type as Standard.</w:t>
                  </w:r>
                  <w:r w:rsidRPr="00F22A05">
                    <w:rPr>
                      <w:rStyle w:val="eop"/>
                    </w:rPr>
                    <w:t> </w:t>
                  </w:r>
                </w:p>
                <w:p w14:paraId="6B7C3A86" w14:textId="0DB04579" w:rsidR="003A08A0" w:rsidRPr="00F22A05" w:rsidRDefault="003A08A0" w:rsidP="003A08A0">
                  <w:pPr>
                    <w:pStyle w:val="paragraph"/>
                    <w:textAlignment w:val="baseline"/>
                  </w:pPr>
                  <w:r w:rsidRPr="00F22A05">
                    <w:rPr>
                      <w:rStyle w:val="normaltextrun"/>
                    </w:rPr>
                    <w:t>Use the framing spacing and framing type to determine the default framing fraction per Table 4.2.2(5). </w:t>
                  </w:r>
                  <w:r w:rsidRPr="00F22A05">
                    <w:rPr>
                      <w:rStyle w:val="eop"/>
                    </w:rPr>
                    <w:t> </w:t>
                  </w:r>
                </w:p>
                <w:p w14:paraId="17DE23D1" w14:textId="77777777" w:rsidR="003A08A0" w:rsidRPr="00F22A05" w:rsidRDefault="003A08A0" w:rsidP="003A08A0">
                  <w:pPr>
                    <w:pStyle w:val="paragraph"/>
                    <w:textAlignment w:val="baseline"/>
                  </w:pPr>
                  <w:r w:rsidRPr="00F22A05">
                    <w:rPr>
                      <w:rStyle w:val="normaltextrun"/>
                    </w:rPr>
                    <w:t>As an alternative to determining the framing spacing and framing member type, if a framing plan with the design framing fraction and a professional engineer’s stamp has been obtained, then verify through visual observation that the actual assembly in field matches the framing plan. If it does match, then the design framing fraction may be used, per Section 4.2.2.1.2.</w:t>
                  </w:r>
                  <w:r w:rsidRPr="00F22A05">
                    <w:rPr>
                      <w:rStyle w:val="eop"/>
                    </w:rPr>
                    <w:t> </w:t>
                  </w:r>
                </w:p>
              </w:tc>
            </w:tr>
          </w:tbl>
          <w:p w14:paraId="081D0ED5" w14:textId="77777777" w:rsidR="003A08A0" w:rsidRPr="00F22A05" w:rsidRDefault="003A08A0" w:rsidP="00F3759E">
            <w:pPr>
              <w:jc w:val="center"/>
              <w:textAlignment w:val="baseline"/>
              <w:rPr>
                <w:b/>
                <w:bCs/>
              </w:rPr>
            </w:pPr>
          </w:p>
        </w:tc>
      </w:tr>
    </w:tbl>
    <w:p w14:paraId="5FB7A187" w14:textId="77777777" w:rsidR="00017D9A" w:rsidRDefault="00017D9A"/>
    <w:p w14:paraId="108A1C67" w14:textId="77777777" w:rsidR="004802CA" w:rsidRDefault="004802CA" w:rsidP="004802CA">
      <w:pPr>
        <w:spacing w:after="200" w:line="276" w:lineRule="auto"/>
      </w:pPr>
    </w:p>
    <w:p w14:paraId="56321572" w14:textId="77777777" w:rsidR="004802CA" w:rsidRDefault="004802CA" w:rsidP="004802CA">
      <w:pPr>
        <w:spacing w:after="200" w:line="276" w:lineRule="auto"/>
      </w:pPr>
    </w:p>
    <w:p w14:paraId="3B8859A7" w14:textId="77777777" w:rsidR="004802CA" w:rsidRDefault="004802CA" w:rsidP="004802CA">
      <w:pPr>
        <w:spacing w:after="200" w:line="276" w:lineRule="auto"/>
      </w:pPr>
    </w:p>
    <w:p w14:paraId="6455FFDF" w14:textId="77777777" w:rsidR="004802CA" w:rsidRDefault="004802CA" w:rsidP="004802CA">
      <w:pPr>
        <w:spacing w:after="200" w:line="276" w:lineRule="auto"/>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7"/>
        <w:gridCol w:w="1629"/>
        <w:gridCol w:w="6310"/>
      </w:tblGrid>
      <w:tr w:rsidR="004802CA" w:rsidRPr="00F22A05" w14:paraId="7B6F57C1" w14:textId="77777777" w:rsidTr="00355D21">
        <w:trPr>
          <w:trHeight w:val="300"/>
        </w:trPr>
        <w:tc>
          <w:tcPr>
            <w:tcW w:w="9336"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D706214" w14:textId="77777777" w:rsidR="004802CA" w:rsidRPr="00F22A05" w:rsidRDefault="004802CA" w:rsidP="00355D21">
            <w:pPr>
              <w:pStyle w:val="paragraph"/>
              <w:jc w:val="center"/>
              <w:textAlignment w:val="baseline"/>
              <w:rPr>
                <w:b/>
                <w:bCs/>
              </w:rPr>
            </w:pPr>
            <w:r w:rsidRPr="00F22A05">
              <w:rPr>
                <w:rStyle w:val="normaltextrun"/>
                <w:b/>
                <w:bCs/>
              </w:rPr>
              <w:t>Building Element: W</w:t>
            </w:r>
            <w:r>
              <w:rPr>
                <w:rStyle w:val="normaltextrun"/>
                <w:b/>
                <w:bCs/>
              </w:rPr>
              <w:t>indows</w:t>
            </w:r>
          </w:p>
        </w:tc>
      </w:tr>
      <w:tr w:rsidR="004802CA" w:rsidRPr="00F22A05" w14:paraId="31775CD2" w14:textId="77777777" w:rsidTr="00355D21">
        <w:trPr>
          <w:trHeight w:val="300"/>
        </w:trPr>
        <w:tc>
          <w:tcPr>
            <w:tcW w:w="139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98673AE" w14:textId="77777777" w:rsidR="004802CA" w:rsidRPr="00F22A05" w:rsidRDefault="004802CA" w:rsidP="00355D21">
            <w:pPr>
              <w:pStyle w:val="paragraph"/>
              <w:textAlignment w:val="baseline"/>
            </w:pPr>
            <w:r w:rsidRPr="00F22A05">
              <w:rPr>
                <w:rStyle w:val="normaltextrun"/>
                <w:b/>
                <w:bCs/>
              </w:rPr>
              <w:t>Rated Feature </w:t>
            </w:r>
            <w:r w:rsidRPr="00F22A05">
              <w:rPr>
                <w:rStyle w:val="eop"/>
              </w:rPr>
              <w:t> </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610E20F" w14:textId="77777777" w:rsidR="004802CA" w:rsidRPr="00F22A05" w:rsidRDefault="004802CA" w:rsidP="00355D21">
            <w:pPr>
              <w:pStyle w:val="paragraph"/>
              <w:textAlignment w:val="baseline"/>
            </w:pPr>
            <w:r w:rsidRPr="00F22A05">
              <w:rPr>
                <w:rStyle w:val="normaltextrun"/>
                <w:b/>
                <w:bCs/>
              </w:rPr>
              <w:t>Task </w:t>
            </w:r>
            <w:r w:rsidRPr="00F22A05">
              <w:rPr>
                <w:rStyle w:val="eop"/>
              </w:rPr>
              <w:t> </w:t>
            </w:r>
          </w:p>
        </w:tc>
        <w:tc>
          <w:tcPr>
            <w:tcW w:w="631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0BD1910" w14:textId="77777777" w:rsidR="004802CA" w:rsidRPr="00F22A05" w:rsidRDefault="004802CA" w:rsidP="00355D21">
            <w:pPr>
              <w:pStyle w:val="paragraph"/>
              <w:textAlignment w:val="baseline"/>
            </w:pPr>
            <w:r w:rsidRPr="00F22A05">
              <w:rPr>
                <w:rStyle w:val="normaltextrun"/>
                <w:b/>
                <w:bCs/>
              </w:rPr>
              <w:t>On-Site Inspection Protocol </w:t>
            </w:r>
            <w:r w:rsidRPr="00F22A05">
              <w:rPr>
                <w:rStyle w:val="eop"/>
              </w:rPr>
              <w:t> </w:t>
            </w:r>
          </w:p>
        </w:tc>
      </w:tr>
      <w:tr w:rsidR="004802CA" w:rsidRPr="0081321A" w14:paraId="68AB4F42" w14:textId="77777777" w:rsidTr="00355D21">
        <w:trPr>
          <w:trHeight w:val="300"/>
        </w:trPr>
        <w:tc>
          <w:tcPr>
            <w:tcW w:w="139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30AE3E" w14:textId="77777777" w:rsidR="004802CA" w:rsidRPr="0081321A" w:rsidRDefault="004802CA" w:rsidP="00355D21">
            <w:pPr>
              <w:pStyle w:val="paragraph"/>
              <w:textAlignment w:val="baseline"/>
              <w:rPr>
                <w:rStyle w:val="normaltextrun"/>
              </w:rPr>
            </w:pPr>
            <w:r w:rsidRPr="0081321A">
              <w:rPr>
                <w:rStyle w:val="normaltextrun"/>
              </w:rPr>
              <w:t>Orientation</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5996514" w14:textId="77777777" w:rsidR="004802CA" w:rsidRPr="0081321A" w:rsidRDefault="004802CA" w:rsidP="00355D21">
            <w:pPr>
              <w:pStyle w:val="paragraph"/>
              <w:textAlignment w:val="baseline"/>
              <w:rPr>
                <w:rStyle w:val="normaltextrun"/>
              </w:rPr>
            </w:pPr>
            <w:r w:rsidRPr="0081321A">
              <w:rPr>
                <w:rStyle w:val="normaltextrun"/>
              </w:rPr>
              <w:t>Determine and record orientation of all windows.</w:t>
            </w:r>
          </w:p>
        </w:tc>
        <w:tc>
          <w:tcPr>
            <w:tcW w:w="63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C780F8" w14:textId="77777777" w:rsidR="004802CA" w:rsidRPr="0081321A" w:rsidRDefault="004802CA" w:rsidP="00355D21">
            <w:pPr>
              <w:pStyle w:val="paragraph"/>
              <w:textAlignment w:val="baseline"/>
              <w:rPr>
                <w:rStyle w:val="normaltextrun"/>
              </w:rPr>
            </w:pPr>
            <w:r w:rsidRPr="0081321A">
              <w:rPr>
                <w:rStyle w:val="normaltextrun"/>
              </w:rPr>
              <w:t>Determine and record orientation of all windows and record orientation to the nearest cardinal/ordinal points.  When using a compass while standing in front of a window inside the Dwelling Unit, record orientation while facing the exterior. When using a compass while standing outside the Dwelling Unit, record orientation while standing with back to the window.</w:t>
            </w:r>
          </w:p>
        </w:tc>
      </w:tr>
    </w:tbl>
    <w:p w14:paraId="0F0C746A" w14:textId="77777777" w:rsidR="004802CA" w:rsidRPr="0081321A" w:rsidRDefault="004802CA" w:rsidP="004802CA">
      <w:pPr>
        <w:spacing w:after="200" w:line="276" w:lineRule="auto"/>
      </w:pPr>
    </w:p>
    <w:p w14:paraId="056943C8" w14:textId="405285F8" w:rsidR="0028203D" w:rsidRDefault="0028203D">
      <w:pPr>
        <w:spacing w:after="200" w:line="276" w:lineRule="auto"/>
      </w:pPr>
    </w:p>
    <w:p w14:paraId="41E684A5" w14:textId="77777777" w:rsidR="0028203D" w:rsidRDefault="0028203D"/>
    <w:tbl>
      <w:tblPr>
        <w:tblW w:w="9355"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9"/>
        <w:gridCol w:w="2504"/>
        <w:gridCol w:w="441"/>
        <w:gridCol w:w="4085"/>
        <w:gridCol w:w="16"/>
      </w:tblGrid>
      <w:tr w:rsidR="00FA69E8" w:rsidRPr="00FA69E8" w14:paraId="5E1F6B16" w14:textId="77777777" w:rsidTr="0028203D">
        <w:trPr>
          <w:gridAfter w:val="1"/>
          <w:wAfter w:w="8" w:type="dxa"/>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4710025" w14:textId="77777777" w:rsidR="009B3E2E" w:rsidRPr="00FA69E8" w:rsidRDefault="009B3E2E" w:rsidP="00F3759E">
            <w:pPr>
              <w:jc w:val="center"/>
              <w:textAlignment w:val="baseline"/>
              <w:rPr>
                <w:rFonts w:ascii="Segoe UI" w:hAnsi="Segoe UI" w:cs="Segoe UI"/>
                <w:b/>
                <w:bCs/>
                <w:sz w:val="18"/>
                <w:szCs w:val="18"/>
              </w:rPr>
            </w:pPr>
            <w:r w:rsidRPr="00FA69E8">
              <w:rPr>
                <w:b/>
                <w:bCs/>
              </w:rPr>
              <w:t>Building Element:  Dwelling Unit Mechanical Ventilation System(s) </w:t>
            </w:r>
          </w:p>
        </w:tc>
      </w:tr>
      <w:tr w:rsidR="00FA69E8" w:rsidRPr="00FA69E8" w14:paraId="6A10318C" w14:textId="77777777" w:rsidTr="0028203D">
        <w:trPr>
          <w:gridAfter w:val="1"/>
          <w:wAfter w:w="8" w:type="dxa"/>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765C12D7" w14:textId="77777777" w:rsidR="009B3E2E" w:rsidRPr="00FA69E8" w:rsidRDefault="009B3E2E" w:rsidP="00F3759E">
            <w:pPr>
              <w:textAlignment w:val="baseline"/>
              <w:rPr>
                <w:rFonts w:ascii="Segoe UI" w:hAnsi="Segoe UI" w:cs="Segoe UI"/>
                <w:sz w:val="18"/>
                <w:szCs w:val="18"/>
              </w:rPr>
            </w:pPr>
            <w:r w:rsidRPr="00FA69E8">
              <w:rPr>
                <w:b/>
                <w:bCs/>
              </w:rPr>
              <w:t>Rated Feature </w:t>
            </w:r>
            <w:r w:rsidRPr="00FA69E8">
              <w:t>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454BB8DE" w14:textId="77777777" w:rsidR="009B3E2E" w:rsidRPr="00FA69E8" w:rsidRDefault="009B3E2E" w:rsidP="00F3759E">
            <w:pPr>
              <w:textAlignment w:val="baseline"/>
              <w:rPr>
                <w:rFonts w:ascii="Segoe UI" w:hAnsi="Segoe UI" w:cs="Segoe UI"/>
                <w:sz w:val="18"/>
                <w:szCs w:val="18"/>
              </w:rPr>
            </w:pPr>
            <w:r w:rsidRPr="00FA69E8">
              <w:rPr>
                <w:b/>
                <w:bCs/>
              </w:rPr>
              <w:t>Task </w:t>
            </w:r>
            <w:r w:rsidRPr="00FA69E8">
              <w:t> </w:t>
            </w: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FFF2BF" w14:textId="77777777" w:rsidR="009B3E2E" w:rsidRPr="00FA69E8" w:rsidRDefault="009B3E2E" w:rsidP="00F3759E">
            <w:pPr>
              <w:textAlignment w:val="baseline"/>
              <w:rPr>
                <w:rFonts w:ascii="Segoe UI" w:hAnsi="Segoe UI" w:cs="Segoe UI"/>
                <w:sz w:val="18"/>
                <w:szCs w:val="18"/>
              </w:rPr>
            </w:pPr>
            <w:r w:rsidRPr="00FA69E8">
              <w:rPr>
                <w:b/>
                <w:bCs/>
              </w:rPr>
              <w:t>On-Site Inspection Protocol </w:t>
            </w:r>
            <w:r w:rsidRPr="00FA69E8">
              <w:t> </w:t>
            </w:r>
          </w:p>
        </w:tc>
      </w:tr>
      <w:tr w:rsidR="00FA69E8" w:rsidRPr="00FA69E8" w14:paraId="1D4E5F26" w14:textId="77777777" w:rsidTr="0028203D">
        <w:trPr>
          <w:gridAfter w:val="1"/>
          <w:wAfter w:w="8" w:type="dxa"/>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0A49AF7D" w14:textId="77777777" w:rsidR="009B3E2E" w:rsidRPr="00FA69E8" w:rsidRDefault="009B3E2E" w:rsidP="00F3759E">
            <w:pPr>
              <w:textAlignment w:val="baseline"/>
              <w:rPr>
                <w:rFonts w:ascii="Segoe UI" w:hAnsi="Segoe UI" w:cs="Segoe UI"/>
                <w:sz w:val="18"/>
                <w:szCs w:val="18"/>
              </w:rPr>
            </w:pPr>
            <w:r w:rsidRPr="00FA69E8">
              <w:t>Centralized system equipment type </w:t>
            </w:r>
          </w:p>
          <w:p w14:paraId="47DE09E7" w14:textId="77777777" w:rsidR="009B3E2E" w:rsidRPr="00FA69E8" w:rsidRDefault="009B3E2E" w:rsidP="00F3759E">
            <w:pPr>
              <w:textAlignment w:val="baseline"/>
              <w:rPr>
                <w:rFonts w:ascii="Segoe UI" w:hAnsi="Segoe UI" w:cs="Segoe UI"/>
                <w:sz w:val="18"/>
                <w:szCs w:val="18"/>
              </w:rPr>
            </w:pPr>
            <w:r w:rsidRPr="00FA69E8">
              <w:t>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2C2EC54D" w14:textId="77777777" w:rsidR="009B3E2E" w:rsidRPr="00FA69E8" w:rsidRDefault="009B3E2E" w:rsidP="00F3759E">
            <w:pPr>
              <w:textAlignment w:val="baseline"/>
              <w:rPr>
                <w:rFonts w:ascii="Segoe UI" w:hAnsi="Segoe UI" w:cs="Segoe UI"/>
                <w:sz w:val="18"/>
                <w:szCs w:val="18"/>
              </w:rPr>
            </w:pPr>
            <w:r w:rsidRPr="00FA69E8">
              <w:t>Data collection for centralized Dwelling Unit Mechanical Ventilation systems that serve more than one Dwelling Unit </w:t>
            </w: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53E168" w14:textId="77777777" w:rsidR="009B3E2E" w:rsidRPr="00FA69E8" w:rsidRDefault="009B3E2E" w:rsidP="00F3759E">
            <w:pPr>
              <w:textAlignment w:val="baseline"/>
              <w:rPr>
                <w:rFonts w:ascii="Segoe UI" w:hAnsi="Segoe UI" w:cs="Segoe UI"/>
                <w:sz w:val="18"/>
                <w:szCs w:val="18"/>
              </w:rPr>
            </w:pPr>
            <w:r w:rsidRPr="00FA69E8">
              <w:rPr>
                <w:i/>
                <w:iCs/>
              </w:rPr>
              <w:t xml:space="preserve">Centralized exhaust fans – </w:t>
            </w:r>
            <w:r w:rsidRPr="00FA69E8">
              <w:t>Record the model number from the nameplate data of each fan being utilized to provide Dwelling Unit Mechanical Ventilation.  Use the fan model number to determine and record the fan cfm and wattage or horsepower from the manufacturer’s data sheet.  </w:t>
            </w:r>
          </w:p>
          <w:p w14:paraId="41FB22BB" w14:textId="77777777" w:rsidR="009B3E2E" w:rsidRPr="00FA69E8" w:rsidRDefault="009B3E2E" w:rsidP="00F3759E">
            <w:pPr>
              <w:textAlignment w:val="baseline"/>
              <w:rPr>
                <w:rFonts w:ascii="Segoe UI" w:hAnsi="Segoe UI" w:cs="Segoe UI"/>
                <w:sz w:val="18"/>
                <w:szCs w:val="18"/>
              </w:rPr>
            </w:pPr>
            <w:r w:rsidRPr="00FA69E8">
              <w:t> </w:t>
            </w:r>
          </w:p>
          <w:p w14:paraId="5A703281" w14:textId="77777777" w:rsidR="009B3E2E" w:rsidRPr="00FA69E8" w:rsidRDefault="009B3E2E" w:rsidP="00F3759E">
            <w:pPr>
              <w:textAlignment w:val="baseline"/>
              <w:rPr>
                <w:rFonts w:ascii="Segoe UI" w:hAnsi="Segoe UI" w:cs="Segoe UI"/>
                <w:sz w:val="18"/>
                <w:szCs w:val="18"/>
              </w:rPr>
            </w:pPr>
            <w:r w:rsidRPr="00FA69E8">
              <w:rPr>
                <w:i/>
                <w:iCs/>
              </w:rPr>
              <w:t xml:space="preserve">Centralized supply or balanced system fans – </w:t>
            </w:r>
            <w:r w:rsidRPr="00FA69E8">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and record the fan cfm and wattage or horsepower from the manufacturer’s data sheet.  For balanced systems, also record the sensible recovery efficiency and total recovery efficiency. </w:t>
            </w:r>
          </w:p>
        </w:tc>
      </w:tr>
      <w:tr w:rsidR="00FA69E8" w:rsidRPr="00FA69E8" w14:paraId="53150423" w14:textId="77777777" w:rsidTr="0028203D">
        <w:trPr>
          <w:gridAfter w:val="1"/>
          <w:wAfter w:w="8" w:type="dxa"/>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2A4F7F0" w14:textId="77777777" w:rsidR="009B3E2E" w:rsidRPr="00FA69E8" w:rsidRDefault="009B3E2E" w:rsidP="00F3759E">
            <w:pPr>
              <w:textAlignment w:val="baseline"/>
              <w:rPr>
                <w:rFonts w:ascii="Segoe UI" w:hAnsi="Segoe UI" w:cs="Segoe UI"/>
                <w:sz w:val="18"/>
                <w:szCs w:val="18"/>
              </w:rPr>
            </w:pPr>
            <w:r w:rsidRPr="00FA69E8">
              <w:t>Individual system equipment type </w:t>
            </w:r>
          </w:p>
          <w:p w14:paraId="6DC8A8CC" w14:textId="77777777" w:rsidR="009B3E2E" w:rsidRPr="00FA69E8" w:rsidRDefault="009B3E2E" w:rsidP="00F3759E">
            <w:pPr>
              <w:textAlignment w:val="baseline"/>
              <w:rPr>
                <w:rFonts w:ascii="Segoe UI" w:hAnsi="Segoe UI" w:cs="Segoe UI"/>
                <w:sz w:val="18"/>
                <w:szCs w:val="18"/>
              </w:rPr>
            </w:pPr>
            <w:r w:rsidRPr="00FA69E8">
              <w:t>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4600888E" w14:textId="77777777" w:rsidR="009B3E2E" w:rsidRPr="00FA69E8" w:rsidRDefault="009B3E2E" w:rsidP="00F3759E">
            <w:pPr>
              <w:textAlignment w:val="baseline"/>
              <w:rPr>
                <w:rFonts w:ascii="Segoe UI" w:hAnsi="Segoe UI" w:cs="Segoe UI"/>
                <w:sz w:val="18"/>
                <w:szCs w:val="18"/>
              </w:rPr>
            </w:pPr>
            <w:r w:rsidRPr="00FA69E8">
              <w:t>Data collection for individual Dwelling Unit Mechanical Ventilation systems that serve a single Dwelling Unit </w:t>
            </w: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C07D57" w14:textId="42827D8F" w:rsidR="009B3E2E" w:rsidRPr="00FA69E8" w:rsidRDefault="009B3E2E" w:rsidP="00F3759E">
            <w:pPr>
              <w:textAlignment w:val="baseline"/>
              <w:rPr>
                <w:rFonts w:ascii="Segoe UI" w:hAnsi="Segoe UI" w:cs="Segoe UI"/>
                <w:sz w:val="18"/>
                <w:szCs w:val="18"/>
              </w:rPr>
            </w:pPr>
            <w:r w:rsidRPr="00FA69E8">
              <w:rPr>
                <w:i/>
                <w:iCs/>
              </w:rPr>
              <w:t xml:space="preserve">Individual exhaust fans – </w:t>
            </w:r>
            <w:r w:rsidRPr="00FA69E8">
              <w:t>Determine and record the fan wattage and model number from the nameplate data of the exhaust fan being utilized to provide Dwelling Unit Mechanical 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In Attached Dwelling Units, determined and recorded whether there is supply air provided to the Dwelling Unit, directly or indirectly from adjacent corridor.  See Corridor Ventilation section for guidance.   </w:t>
            </w:r>
          </w:p>
          <w:p w14:paraId="5A99B7F6" w14:textId="11472D07" w:rsidR="009B3E2E" w:rsidRPr="00FA69E8" w:rsidRDefault="009B3E2E" w:rsidP="00F3759E">
            <w:pPr>
              <w:textAlignment w:val="baseline"/>
              <w:rPr>
                <w:rFonts w:ascii="Segoe UI" w:hAnsi="Segoe UI" w:cs="Segoe UI"/>
                <w:sz w:val="18"/>
                <w:szCs w:val="18"/>
              </w:rPr>
            </w:pPr>
            <w:r w:rsidRPr="00FA69E8">
              <w:rPr>
                <w:i/>
                <w:iCs/>
              </w:rPr>
              <w:t xml:space="preserve">Individual supply fans - </w:t>
            </w:r>
            <w:r w:rsidRPr="00FA69E8">
              <w:t xml:space="preserve">Record the fan wattage and model number from the nameplate data of the supply fan being utilized </w:t>
            </w:r>
            <w:r w:rsidRPr="00FA69E8">
              <w:lastRenderedPageBreak/>
              <w:t>to provide Dwelling Unit Mechanical 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Record whether the supply fan is separate or integrated with the space conditioning system.   </w:t>
            </w:r>
          </w:p>
          <w:p w14:paraId="0969BB45" w14:textId="6FCF2901" w:rsidR="009B3E2E" w:rsidRPr="00FA69E8" w:rsidRDefault="009B3E2E" w:rsidP="00F3759E">
            <w:pPr>
              <w:textAlignment w:val="baseline"/>
              <w:rPr>
                <w:rFonts w:ascii="Segoe UI" w:hAnsi="Segoe UI" w:cs="Segoe UI"/>
                <w:sz w:val="18"/>
                <w:szCs w:val="18"/>
              </w:rPr>
            </w:pPr>
            <w:r w:rsidRPr="00FA69E8">
              <w:rPr>
                <w:i/>
                <w:iCs/>
              </w:rPr>
              <w:t xml:space="preserve">Individual Balanced Ventilation Fans – </w:t>
            </w:r>
            <w:r w:rsidRPr="00FA69E8">
              <w:t>These are commonly known as energy recovery ventilators (ERV) or heat recovery ventilators (HRV).  Record model number from the nameplate data of the ERV/HRV. Use the model number to determine and record the fan wattage, sensible recovery efficiency and total recovery efficiency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w:t>
            </w:r>
          </w:p>
          <w:p w14:paraId="4162A1FE" w14:textId="12624AB0" w:rsidR="009B3E2E" w:rsidRPr="00FA69E8" w:rsidRDefault="00E07056" w:rsidP="00F3759E">
            <w:pPr>
              <w:textAlignment w:val="baseline"/>
              <w:rPr>
                <w:rFonts w:ascii="Segoe UI" w:hAnsi="Segoe UI" w:cs="Segoe UI"/>
                <w:sz w:val="18"/>
                <w:szCs w:val="18"/>
              </w:rPr>
            </w:pPr>
            <w:r w:rsidRPr="00FA69E8">
              <w:rPr>
                <w:i/>
                <w:iCs/>
              </w:rPr>
              <w:t xml:space="preserve">Central Fan Integrated Supply (CFIS) Ventilation System – </w:t>
            </w:r>
            <w:r w:rsidRPr="00FA69E8">
              <w:t xml:space="preserve">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determine and record the fan cfm and either horsepower or wattage from the manufacturer’s data sheet.  Where fan wattage is not provided, use (HP x 746)/0.90 to calculate fan wattage. Where the fan has multiple speeds, use values associated with the </w:t>
            </w:r>
            <w:r w:rsidRPr="00FA69E8">
              <w:lastRenderedPageBreak/>
              <w:t>high-speed setting to select or calculate the fan wattage.</w:t>
            </w:r>
            <w:r w:rsidR="009B3E2E" w:rsidRPr="00FA69E8">
              <w:t> </w:t>
            </w:r>
          </w:p>
          <w:p w14:paraId="7FED7100" w14:textId="77777777" w:rsidR="009B3E2E" w:rsidRPr="00FA69E8" w:rsidRDefault="009B3E2E" w:rsidP="00F3759E">
            <w:pPr>
              <w:textAlignment w:val="baseline"/>
              <w:rPr>
                <w:rFonts w:ascii="Segoe UI" w:hAnsi="Segoe UI" w:cs="Segoe UI"/>
                <w:sz w:val="18"/>
                <w:szCs w:val="18"/>
              </w:rPr>
            </w:pPr>
            <w:r w:rsidRPr="00FA69E8">
              <w:rPr>
                <w:i/>
                <w:iCs/>
              </w:rPr>
              <w:t>Unit ventilator</w:t>
            </w:r>
            <w:r w:rsidRPr="00FA69E8">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r w:rsidR="009B3E2E" w:rsidRPr="00FA69E8" w14:paraId="71E6D6E8" w14:textId="77777777" w:rsidTr="0028203D">
        <w:trPr>
          <w:gridAfter w:val="1"/>
          <w:wAfter w:w="8" w:type="dxa"/>
        </w:trPr>
        <w:tc>
          <w:tcPr>
            <w:tcW w:w="2310" w:type="dxa"/>
            <w:tcBorders>
              <w:top w:val="single" w:sz="6" w:space="0" w:color="000000"/>
              <w:left w:val="single" w:sz="6" w:space="0" w:color="000000"/>
              <w:bottom w:val="single" w:sz="6" w:space="0" w:color="000000"/>
              <w:right w:val="single" w:sz="6" w:space="0" w:color="000000"/>
            </w:tcBorders>
            <w:shd w:val="clear" w:color="auto" w:fill="auto"/>
            <w:hideMark/>
          </w:tcPr>
          <w:p w14:paraId="684C855C" w14:textId="77777777" w:rsidR="009B3E2E" w:rsidRPr="00FA69E8" w:rsidRDefault="009B3E2E" w:rsidP="00F3759E">
            <w:pPr>
              <w:textAlignment w:val="baseline"/>
              <w:rPr>
                <w:rFonts w:ascii="Segoe UI" w:hAnsi="Segoe UI" w:cs="Segoe UI"/>
                <w:sz w:val="18"/>
                <w:szCs w:val="18"/>
              </w:rPr>
            </w:pPr>
            <w:r w:rsidRPr="00FA69E8">
              <w:lastRenderedPageBreak/>
              <w:t>Dwelling Unit Mechanical Ventilation rate </w:t>
            </w:r>
          </w:p>
        </w:tc>
        <w:tc>
          <w:tcPr>
            <w:tcW w:w="2506" w:type="dxa"/>
            <w:tcBorders>
              <w:top w:val="single" w:sz="6" w:space="0" w:color="000000"/>
              <w:left w:val="single" w:sz="6" w:space="0" w:color="000000"/>
              <w:bottom w:val="single" w:sz="6" w:space="0" w:color="000000"/>
              <w:right w:val="single" w:sz="6" w:space="0" w:color="000000"/>
            </w:tcBorders>
            <w:shd w:val="clear" w:color="auto" w:fill="auto"/>
            <w:hideMark/>
          </w:tcPr>
          <w:p w14:paraId="5AA501AC" w14:textId="77777777" w:rsidR="009B3E2E" w:rsidRPr="00FA69E8" w:rsidRDefault="009B3E2E" w:rsidP="00F3759E">
            <w:pPr>
              <w:textAlignment w:val="baseline"/>
              <w:rPr>
                <w:rFonts w:ascii="Segoe UI" w:hAnsi="Segoe UI" w:cs="Segoe UI"/>
                <w:sz w:val="18"/>
                <w:szCs w:val="18"/>
              </w:rPr>
            </w:pPr>
            <w:r w:rsidRPr="00FA69E8">
              <w:t>Measure exhaust and supply airflow </w:t>
            </w: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3E08DE" w14:textId="77777777" w:rsidR="009B3E2E" w:rsidRPr="00FA69E8" w:rsidRDefault="009B3E2E" w:rsidP="00F3759E">
            <w:pPr>
              <w:textAlignment w:val="baseline"/>
              <w:rPr>
                <w:rFonts w:ascii="Segoe UI" w:hAnsi="Segoe UI" w:cs="Segoe UI"/>
                <w:sz w:val="18"/>
                <w:szCs w:val="18"/>
              </w:rPr>
            </w:pPr>
            <w:r w:rsidRPr="00FA69E8">
              <w:t>Ventilation airflows in the Dwelling Unit shall be measured following the procedures in ANSI/RESNET/ICC 380. </w:t>
            </w:r>
          </w:p>
        </w:tc>
      </w:tr>
      <w:tr w:rsidR="0028203D" w:rsidRPr="00FA69E8" w14:paraId="561A2E99" w14:textId="77777777" w:rsidTr="0028203D">
        <w:trPr>
          <w:gridAfter w:val="1"/>
          <w:wAfter w:w="8" w:type="dxa"/>
        </w:trPr>
        <w:tc>
          <w:tcPr>
            <w:tcW w:w="2310" w:type="dxa"/>
            <w:tcBorders>
              <w:top w:val="single" w:sz="6" w:space="0" w:color="000000"/>
              <w:left w:val="single" w:sz="6" w:space="0" w:color="000000"/>
              <w:bottom w:val="single" w:sz="6" w:space="0" w:color="000000"/>
              <w:right w:val="single" w:sz="6" w:space="0" w:color="000000"/>
            </w:tcBorders>
            <w:shd w:val="clear" w:color="auto" w:fill="auto"/>
          </w:tcPr>
          <w:p w14:paraId="6E50D2FD" w14:textId="77777777" w:rsidR="0028203D" w:rsidRPr="00FA69E8" w:rsidRDefault="0028203D" w:rsidP="00F3759E">
            <w:pPr>
              <w:textAlignment w:val="baseline"/>
            </w:pPr>
          </w:p>
        </w:tc>
        <w:tc>
          <w:tcPr>
            <w:tcW w:w="2506" w:type="dxa"/>
            <w:tcBorders>
              <w:top w:val="single" w:sz="6" w:space="0" w:color="000000"/>
              <w:left w:val="single" w:sz="6" w:space="0" w:color="000000"/>
              <w:bottom w:val="single" w:sz="6" w:space="0" w:color="000000"/>
              <w:right w:val="single" w:sz="6" w:space="0" w:color="000000"/>
            </w:tcBorders>
            <w:shd w:val="clear" w:color="auto" w:fill="auto"/>
          </w:tcPr>
          <w:p w14:paraId="2DBB36E3" w14:textId="77777777" w:rsidR="0028203D" w:rsidRPr="00FA69E8" w:rsidRDefault="0028203D" w:rsidP="00F3759E">
            <w:pPr>
              <w:textAlignment w:val="baseline"/>
            </w:pP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auto"/>
          </w:tcPr>
          <w:p w14:paraId="0235696D" w14:textId="77777777" w:rsidR="0028203D" w:rsidRPr="00FA69E8" w:rsidRDefault="0028203D" w:rsidP="00F3759E">
            <w:pPr>
              <w:textAlignment w:val="baseline"/>
            </w:pPr>
          </w:p>
        </w:tc>
      </w:tr>
      <w:tr w:rsidR="00FA69E8" w:rsidRPr="00FA69E8" w14:paraId="7EF8C717" w14:textId="77777777" w:rsidTr="00282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20" w:firstRow="1" w:lastRow="0" w:firstColumn="0" w:lastColumn="0" w:noHBand="0" w:noVBand="0"/>
        </w:tblPrEx>
        <w:trPr>
          <w:tblHeader/>
        </w:trPr>
        <w:tc>
          <w:tcPr>
            <w:tcW w:w="9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75C44E" w14:textId="77777777" w:rsidR="00E929BB" w:rsidRPr="00FA69E8" w:rsidRDefault="00E929BB" w:rsidP="00F3759E">
            <w:pPr>
              <w:jc w:val="center"/>
              <w:rPr>
                <w:b/>
                <w:i/>
              </w:rPr>
            </w:pPr>
            <w:r w:rsidRPr="00FA69E8">
              <w:rPr>
                <w:b/>
              </w:rPr>
              <w:t>Building Element: Heating and Cooling Distribution System</w:t>
            </w:r>
          </w:p>
        </w:tc>
      </w:tr>
      <w:tr w:rsidR="00F22A05" w:rsidRPr="00F22A05" w14:paraId="7516333C" w14:textId="77777777" w:rsidTr="00282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20" w:firstRow="1" w:lastRow="0" w:firstColumn="0" w:lastColumn="0" w:noHBand="0" w:noVBand="0"/>
        </w:tblPrEx>
        <w:trPr>
          <w:tblHeader/>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AA6A2" w14:textId="77777777" w:rsidR="00E929BB" w:rsidRPr="00F22A05" w:rsidRDefault="00E929BB" w:rsidP="00F3759E">
            <w:r w:rsidRPr="00F22A05">
              <w:rPr>
                <w:b/>
              </w:rPr>
              <w:t xml:space="preserve">Rated Feature </w:t>
            </w:r>
          </w:p>
        </w:tc>
        <w:tc>
          <w:tcPr>
            <w:tcW w:w="2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75045" w14:textId="77777777" w:rsidR="00E929BB" w:rsidRPr="00F22A05" w:rsidRDefault="00E929BB" w:rsidP="00F3759E">
            <w:r w:rsidRPr="00F22A05">
              <w:rPr>
                <w:b/>
              </w:rPr>
              <w:t xml:space="preserve">Task </w:t>
            </w:r>
          </w:p>
        </w:tc>
        <w:tc>
          <w:tcPr>
            <w:tcW w:w="4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427C" w14:textId="77777777" w:rsidR="00E929BB" w:rsidRPr="00F22A05" w:rsidRDefault="00E929BB" w:rsidP="00F3759E">
            <w:pPr>
              <w:rPr>
                <w:i/>
              </w:rPr>
            </w:pPr>
            <w:r w:rsidRPr="00F22A05">
              <w:rPr>
                <w:b/>
              </w:rPr>
              <w:t xml:space="preserve">On-Site Inspection Protocol </w:t>
            </w:r>
          </w:p>
        </w:tc>
      </w:tr>
      <w:tr w:rsidR="00F22A05" w:rsidRPr="00F22A05" w14:paraId="233E0F50" w14:textId="77777777" w:rsidTr="00282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20" w:firstRow="1" w:lastRow="0" w:firstColumn="0" w:lastColumn="0" w:noHBand="0" w:noVBand="0"/>
        </w:tblPrEx>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EEE78" w14:textId="77777777" w:rsidR="00E929BB" w:rsidRPr="00F22A05" w:rsidRDefault="00E929BB" w:rsidP="00F3759E">
            <w:r w:rsidRPr="00F22A05">
              <w:t xml:space="preserve">Location of air ducts </w:t>
            </w:r>
          </w:p>
          <w:p w14:paraId="774F40A4" w14:textId="77777777" w:rsidR="00E929BB" w:rsidRPr="00F22A05" w:rsidRDefault="00E929BB" w:rsidP="00F3759E"/>
        </w:tc>
        <w:tc>
          <w:tcPr>
            <w:tcW w:w="2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C59F" w14:textId="77777777" w:rsidR="00E929BB" w:rsidRPr="00F22A05" w:rsidRDefault="00E929BB" w:rsidP="00F3759E">
            <w:r w:rsidRPr="00F22A05">
              <w:t xml:space="preserve">Determine and record the location of ducts </w:t>
            </w:r>
          </w:p>
        </w:tc>
        <w:tc>
          <w:tcPr>
            <w:tcW w:w="4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29EB" w14:textId="77777777" w:rsidR="00E929BB" w:rsidRPr="00F22A05" w:rsidRDefault="00E929BB" w:rsidP="00F3759E">
            <w:r w:rsidRPr="00F22A05">
              <w:t xml:space="preserve">Locate and differentiate between supply and return ducts. The location of air ducts shall be recorded as in attic space, crawlspace, basement or other conditioned or unconditioned space. Use the definitions in Section 3 to classify the locations as Infiltration Volume, Conditioned Space Volume, Unconditioned Space Volume or Unrated Conditioned Space. Approximate the percentage and square foot surface area of both the supply and return ductwork in each area when supply/return ducts </w:t>
            </w:r>
            <w:proofErr w:type="gramStart"/>
            <w:r w:rsidRPr="00F22A05">
              <w:t>are located in</w:t>
            </w:r>
            <w:proofErr w:type="gramEnd"/>
            <w:r w:rsidRPr="00F22A05">
              <w:t xml:space="preserve"> more than one area.</w:t>
            </w:r>
          </w:p>
        </w:tc>
      </w:tr>
      <w:tr w:rsidR="00F22A05" w:rsidRPr="00F22A05" w14:paraId="584FC964" w14:textId="77777777" w:rsidTr="00282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20" w:firstRow="1" w:lastRow="0" w:firstColumn="0" w:lastColumn="0" w:noHBand="0" w:noVBand="0"/>
        </w:tblPrEx>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E3C1E" w14:textId="77777777" w:rsidR="00E929BB" w:rsidRPr="00F22A05" w:rsidRDefault="00E929BB" w:rsidP="00F3759E">
            <w:r w:rsidRPr="00F22A05">
              <w:t xml:space="preserve">Insulation </w:t>
            </w:r>
          </w:p>
          <w:p w14:paraId="4EB50C63" w14:textId="77777777" w:rsidR="00E929BB" w:rsidRPr="00F22A05" w:rsidRDefault="00E929BB" w:rsidP="00F3759E"/>
        </w:tc>
        <w:tc>
          <w:tcPr>
            <w:tcW w:w="2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025E" w14:textId="77777777" w:rsidR="00E929BB" w:rsidRPr="00F22A05" w:rsidRDefault="00E929BB" w:rsidP="00F3759E">
            <w:r w:rsidRPr="00F22A05">
              <w:t xml:space="preserve">Determine and record the R-Value of distribution system insulation </w:t>
            </w:r>
          </w:p>
        </w:tc>
        <w:tc>
          <w:tcPr>
            <w:tcW w:w="4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C7FCD" w14:textId="77777777" w:rsidR="00E929BB" w:rsidRPr="00F22A05" w:rsidRDefault="00E929BB" w:rsidP="00F3759E">
            <w:r w:rsidRPr="00F22A05">
              <w:t xml:space="preserve">Inspect the ducts or pipes to confirm they are insulated and look for labeling printed on the insulation by the manufacturer. Record R-Value. Where insulation is not marked with the R-Value, identify </w:t>
            </w:r>
            <w:proofErr w:type="gramStart"/>
            <w:r w:rsidRPr="00F22A05">
              <w:t>type</w:t>
            </w:r>
            <w:proofErr w:type="gramEnd"/>
            <w:r w:rsidRPr="00F22A05">
              <w:t xml:space="preserve"> and measure the thickness of the insulation to determine and record R-Value. </w:t>
            </w:r>
          </w:p>
        </w:tc>
      </w:tr>
      <w:tr w:rsidR="007B556A" w:rsidRPr="00F22A05" w14:paraId="065C725E" w14:textId="77777777" w:rsidTr="00282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20" w:firstRow="1" w:lastRow="0" w:firstColumn="0" w:lastColumn="0" w:noHBand="0" w:noVBand="0"/>
        </w:tblPrEx>
        <w:trPr>
          <w:trHeight w:val="917"/>
        </w:trPr>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DED27" w14:textId="77777777" w:rsidR="00E929BB" w:rsidRPr="00F22A05" w:rsidRDefault="00E929BB" w:rsidP="00F3759E">
            <w:r w:rsidRPr="00F22A05">
              <w:t xml:space="preserve">Leakage of air ducts </w:t>
            </w:r>
          </w:p>
          <w:p w14:paraId="4DAFB341" w14:textId="77777777" w:rsidR="00E929BB" w:rsidRPr="00F22A05" w:rsidRDefault="00E929BB" w:rsidP="00F3759E"/>
        </w:tc>
        <w:tc>
          <w:tcPr>
            <w:tcW w:w="2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A664" w14:textId="77777777" w:rsidR="00E929BB" w:rsidRPr="00F22A05" w:rsidRDefault="00E929BB" w:rsidP="00F3759E">
            <w:r w:rsidRPr="00F22A05">
              <w:t xml:space="preserve">Determine and record air leakage from ducts </w:t>
            </w:r>
          </w:p>
        </w:tc>
        <w:tc>
          <w:tcPr>
            <w:tcW w:w="4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4C1B" w14:textId="4F51F272" w:rsidR="00E929BB" w:rsidRPr="00F22A05" w:rsidRDefault="00E929BB" w:rsidP="00F3759E">
            <w:pPr>
              <w:rPr>
                <w:strike/>
              </w:rPr>
            </w:pPr>
            <w:r w:rsidRPr="00F22A05">
              <w:t>Use default estimates as applicable in Table 4.2.2(1) or follow Procedure for Measuring Airtightness of Duct Systems in ANSI/RESNET/ICC 380.</w:t>
            </w:r>
            <w:r w:rsidRPr="00F22A05">
              <w:rPr>
                <w:u w:val="single"/>
              </w:rPr>
              <w:t xml:space="preserve"> The air handler shall be installed prior to testing.</w:t>
            </w:r>
            <w:r w:rsidRPr="00F22A05">
              <w:t xml:space="preserve"> </w:t>
            </w:r>
          </w:p>
        </w:tc>
      </w:tr>
    </w:tbl>
    <w:p w14:paraId="3009B384" w14:textId="619B7021" w:rsidR="009B3E2E" w:rsidRPr="00F22A05" w:rsidRDefault="009B3E2E" w:rsidP="006B3C99">
      <w:pPr>
        <w:spacing w:after="200" w:line="276" w:lineRule="auto"/>
        <w:jc w:val="center"/>
        <w:rPr>
          <w:b/>
          <w:bCs/>
          <w:sz w:val="28"/>
          <w:szCs w:val="28"/>
        </w:rPr>
      </w:pPr>
    </w:p>
    <w:tbl>
      <w:tblPr>
        <w:tblW w:w="9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307"/>
        <w:gridCol w:w="2858"/>
        <w:gridCol w:w="4190"/>
      </w:tblGrid>
      <w:tr w:rsidR="00F22A05" w:rsidRPr="00F22A05" w14:paraId="5598C035" w14:textId="77777777" w:rsidTr="00115D8C">
        <w:trPr>
          <w:tblHeader/>
        </w:trPr>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28AE5A4" w14:textId="77777777" w:rsidR="0049071E" w:rsidRPr="00F22A05" w:rsidRDefault="0049071E" w:rsidP="00B72A8D">
            <w:pPr>
              <w:pStyle w:val="Heading1"/>
            </w:pPr>
            <w:bookmarkStart w:id="135" w:name="_Toc504587198"/>
            <w:r w:rsidRPr="00F22A05">
              <w:t>Building Element: Heating and Cooling Equipment</w:t>
            </w:r>
            <w:bookmarkEnd w:id="135"/>
            <w:r w:rsidRPr="00F22A05">
              <w:t xml:space="preserve"> </w:t>
            </w:r>
          </w:p>
        </w:tc>
      </w:tr>
      <w:tr w:rsidR="00F22A05" w:rsidRPr="00F22A05" w14:paraId="287EBCE1" w14:textId="77777777" w:rsidTr="00115D8C">
        <w:trPr>
          <w:trHeight w:val="378"/>
          <w:tblHeader/>
        </w:trPr>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2A65D" w14:textId="77777777" w:rsidR="0049071E" w:rsidRPr="00F22A05" w:rsidRDefault="0049071E" w:rsidP="00B72A8D">
            <w:r w:rsidRPr="00F22A05">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53A51" w14:textId="77777777" w:rsidR="0049071E" w:rsidRPr="00F22A05" w:rsidRDefault="0049071E" w:rsidP="00B72A8D">
            <w:r w:rsidRPr="00F22A05">
              <w:rPr>
                <w:b/>
              </w:rPr>
              <w:t xml:space="preserve">Task </w:t>
            </w:r>
          </w:p>
        </w:tc>
        <w:tc>
          <w:tcPr>
            <w:tcW w:w="4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0AEC" w14:textId="77777777" w:rsidR="0049071E" w:rsidRPr="00F22A05" w:rsidRDefault="0049071E" w:rsidP="00B72A8D">
            <w:r w:rsidRPr="00F22A05">
              <w:rPr>
                <w:b/>
              </w:rPr>
              <w:t xml:space="preserve">On-Site Inspection Protocol </w:t>
            </w:r>
          </w:p>
        </w:tc>
      </w:tr>
      <w:tr w:rsidR="00F22A05" w:rsidRPr="00F22A05" w14:paraId="6E8E6229" w14:textId="77777777" w:rsidTr="00115D8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0BF9C" w14:textId="77777777" w:rsidR="0049071E" w:rsidRPr="00F22A05" w:rsidRDefault="0049071E" w:rsidP="00B72A8D">
            <w:r w:rsidRPr="00F22A05">
              <w:t xml:space="preserve">Equipment class </w:t>
            </w:r>
          </w:p>
          <w:p w14:paraId="00638A8F" w14:textId="77777777" w:rsidR="0049071E" w:rsidRPr="00F22A05"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73CFC" w14:textId="77777777" w:rsidR="0049071E" w:rsidRPr="00F22A05" w:rsidRDefault="0049071E" w:rsidP="00B72A8D">
            <w:r w:rsidRPr="00F22A05">
              <w:t>Identify Class of equipment for heating and/or cooling</w:t>
            </w:r>
          </w:p>
        </w:tc>
        <w:tc>
          <w:tcPr>
            <w:tcW w:w="4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4965" w14:textId="77777777" w:rsidR="0049071E" w:rsidRPr="00F22A05" w:rsidRDefault="0049071E" w:rsidP="00B72A8D">
            <w:r w:rsidRPr="00F22A05">
              <w:rPr>
                <w:i/>
              </w:rPr>
              <w:t xml:space="preserve">Individual - </w:t>
            </w:r>
            <w:r w:rsidRPr="00F22A05">
              <w:t xml:space="preserve">standalone equipment serving a single Dwelling Unit, often located within the Dwelling Unit.  These units heat or cool the space and, other than electric connections to power the fans, </w:t>
            </w:r>
            <w:proofErr w:type="gramStart"/>
            <w:r w:rsidRPr="00F22A05">
              <w:t>controls</w:t>
            </w:r>
            <w:proofErr w:type="gramEnd"/>
            <w:r w:rsidRPr="00F22A05">
              <w:t xml:space="preserve"> or compressors, are not connected to circulating fluids from a central Boiler or Chiller.  </w:t>
            </w:r>
          </w:p>
          <w:p w14:paraId="5FBB723B" w14:textId="77777777" w:rsidR="0049071E" w:rsidRPr="00F22A05" w:rsidRDefault="0049071E" w:rsidP="00B72A8D"/>
          <w:p w14:paraId="351A2085" w14:textId="77777777" w:rsidR="0049071E" w:rsidRPr="00F22A05" w:rsidRDefault="0049071E" w:rsidP="00B72A8D">
            <w:r w:rsidRPr="00F22A05">
              <w:rPr>
                <w:i/>
              </w:rPr>
              <w:t>Terminal -</w:t>
            </w:r>
            <w:r w:rsidRPr="00F22A05">
              <w:t xml:space="preserve"> In-Dwelling Unit equipment that heats and cools the space and is connected to Boilers, Chillers, Variable Refrigerant Flow Multi-Split Air Conditioning and Heat Pump Equipment or Cooling Towers. Fan coils and Water Loop Heat Pumps often indicate the use of a remote central Boiler or </w:t>
            </w:r>
            <w:r w:rsidRPr="00F22A05">
              <w:rPr>
                <w:i/>
                <w:iCs/>
              </w:rPr>
              <w:t>Chiller</w:t>
            </w:r>
            <w:r w:rsidRPr="00F22A05">
              <w:t xml:space="preserve">. However, some terminal equipment appears </w:t>
            </w:r>
            <w:proofErr w:type="gramStart"/>
            <w:r w:rsidRPr="00F22A05">
              <w:t>similar to</w:t>
            </w:r>
            <w:proofErr w:type="gramEnd"/>
            <w:r w:rsidRPr="00F22A05">
              <w:t xml:space="preserve"> individual equipment and yet relies on a remote energy source to function.  Look for insulated water pipes, refrigerant tubing, or control valves. Confirm that there is no in-unit heating or cooling equipment or equipment in adjacent spaces that solely serves the terminal equipment of the Dwelling Unit that may be outside of the Dwelling Unit. </w:t>
            </w:r>
          </w:p>
          <w:p w14:paraId="465E550C" w14:textId="77777777" w:rsidR="0049071E" w:rsidRPr="00F22A05" w:rsidRDefault="0049071E" w:rsidP="00B72A8D"/>
          <w:p w14:paraId="2BF1992F" w14:textId="77777777" w:rsidR="0049071E" w:rsidRPr="00F22A05" w:rsidRDefault="0049071E" w:rsidP="00B72A8D">
            <w:r w:rsidRPr="00F22A05">
              <w:rPr>
                <w:i/>
              </w:rPr>
              <w:t xml:space="preserve">Central - </w:t>
            </w:r>
            <w:r w:rsidRPr="00F22A05">
              <w:t xml:space="preserve">larger heating or cooling equipment that serves more than one Dwelling Unit and possibly common spaces using a conveyance to deliver and receive a circulating energy transfer medium to heat or cool the Dwelling Units through their terminal equipment. The circulation conveyance may be water piping or refrigerant tubing and likely will be insulated.  Water loops will have circulating pumps.  See Central Equipment below for details.  </w:t>
            </w:r>
          </w:p>
        </w:tc>
      </w:tr>
      <w:tr w:rsidR="00F22A05" w:rsidRPr="00F22A05" w14:paraId="7C82217F" w14:textId="77777777" w:rsidTr="00115D8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8A0AD" w14:textId="77777777" w:rsidR="0049071E" w:rsidRPr="00F22A05" w:rsidRDefault="0049071E" w:rsidP="00B72A8D">
            <w:r w:rsidRPr="00F22A05">
              <w:lastRenderedPageBreak/>
              <w:t xml:space="preserve">Location </w:t>
            </w:r>
          </w:p>
          <w:p w14:paraId="4E18E856" w14:textId="77777777" w:rsidR="0049071E" w:rsidRPr="00F22A05"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5FCC4" w14:textId="77777777" w:rsidR="0049071E" w:rsidRPr="00F22A05" w:rsidRDefault="0049071E" w:rsidP="00B72A8D">
            <w:r w:rsidRPr="00F22A05">
              <w:t xml:space="preserve">Determine and record the location of heating and cooling equipment </w:t>
            </w:r>
          </w:p>
        </w:tc>
        <w:tc>
          <w:tcPr>
            <w:tcW w:w="4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B6A9" w14:textId="77777777" w:rsidR="0049071E" w:rsidRPr="00F22A05" w:rsidRDefault="0049071E" w:rsidP="00B72A8D">
            <w:r w:rsidRPr="00F22A05">
              <w:t xml:space="preserve">Record whether individual, </w:t>
            </w:r>
            <w:proofErr w:type="gramStart"/>
            <w:r w:rsidRPr="00F22A05">
              <w:t>terminal</w:t>
            </w:r>
            <w:proofErr w:type="gramEnd"/>
            <w:r w:rsidRPr="00F22A05">
              <w:t xml:space="preserve"> and central systems are in Conditioned Space Volume, Unrated Conditioned Space, Unrated Heated Space or Unconditioned Space Volume.</w:t>
            </w:r>
          </w:p>
        </w:tc>
      </w:tr>
      <w:tr w:rsidR="00F22A05" w:rsidRPr="00F22A05" w14:paraId="7722E210" w14:textId="77777777" w:rsidTr="00115D8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BF681" w14:textId="77777777" w:rsidR="0049071E" w:rsidRPr="00F22A05" w:rsidRDefault="0049071E" w:rsidP="00B72A8D">
            <w:r w:rsidRPr="00F22A05">
              <w:t xml:space="preserve">Control </w:t>
            </w:r>
            <w:proofErr w:type="gramStart"/>
            <w:r w:rsidRPr="00F22A05">
              <w:t>system</w:t>
            </w:r>
            <w:proofErr w:type="gramEnd"/>
            <w:r w:rsidRPr="00F22A05">
              <w:t xml:space="preserve"> </w:t>
            </w:r>
          </w:p>
          <w:p w14:paraId="283C85F6" w14:textId="77777777" w:rsidR="0049071E" w:rsidRPr="00F22A05"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F2B4" w14:textId="77777777" w:rsidR="0049071E" w:rsidRPr="00F22A05" w:rsidRDefault="0049071E" w:rsidP="00B72A8D">
            <w:r w:rsidRPr="00F22A05">
              <w:t xml:space="preserve">Identify the control system for the heating and cooling system(s) </w:t>
            </w:r>
          </w:p>
        </w:tc>
        <w:tc>
          <w:tcPr>
            <w:tcW w:w="4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AB00A" w14:textId="77777777" w:rsidR="0049071E" w:rsidRPr="00F22A05" w:rsidRDefault="0049071E" w:rsidP="00B72A8D">
            <w:r w:rsidRPr="00F22A05">
              <w:t xml:space="preserve">Determine and record the type of control systems and look for separate controls for the heating and cooling systems. </w:t>
            </w:r>
          </w:p>
          <w:p w14:paraId="2CD068DE" w14:textId="77777777" w:rsidR="0049071E" w:rsidRPr="00F22A05" w:rsidRDefault="0049071E" w:rsidP="00B72A8D"/>
          <w:p w14:paraId="5253E271" w14:textId="77777777" w:rsidR="0049071E" w:rsidRPr="00F22A05" w:rsidRDefault="0049071E" w:rsidP="00B72A8D">
            <w:pPr>
              <w:rPr>
                <w:i/>
                <w:iCs/>
              </w:rPr>
            </w:pPr>
            <w:r w:rsidRPr="00F22A05">
              <w:t>Determine and record whether the Dwelling Unit thermostat controls are programmable, understanding that not all digital thermostats are programmable.</w:t>
            </w:r>
          </w:p>
        </w:tc>
      </w:tr>
      <w:tr w:rsidR="00F22A05" w:rsidRPr="00F22A05" w14:paraId="38163839" w14:textId="77777777" w:rsidTr="00115D8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777ED" w14:textId="77777777" w:rsidR="0049071E" w:rsidRPr="00F22A05" w:rsidRDefault="0049071E" w:rsidP="00B72A8D">
            <w:r w:rsidRPr="00F22A05">
              <w:t xml:space="preserve">Efficiency </w:t>
            </w:r>
          </w:p>
          <w:p w14:paraId="20D0792B" w14:textId="77777777" w:rsidR="0049071E" w:rsidRPr="00F22A05"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37B1" w14:textId="52E7C916" w:rsidR="0049071E" w:rsidRPr="00F22A05" w:rsidRDefault="0049071E" w:rsidP="00B72A8D">
            <w:r w:rsidRPr="00F22A05">
              <w:t>Determine and record the heating and cooling equipment efficiency and capacity</w:t>
            </w:r>
            <w:r w:rsidRPr="00F22A05">
              <w:rPr>
                <w:rStyle w:val="FootnoteReference"/>
                <w:u w:val="single"/>
              </w:rPr>
              <w:footnoteReference w:id="38"/>
            </w:r>
          </w:p>
        </w:tc>
        <w:tc>
          <w:tcPr>
            <w:tcW w:w="4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66FAC" w14:textId="77777777" w:rsidR="0049071E" w:rsidRPr="00F22A05" w:rsidRDefault="0049071E" w:rsidP="00B72A8D">
            <w:r w:rsidRPr="00F22A05">
              <w:t xml:space="preserve">Look for the equipment nameplates and product literature. Record the manufacturer and model number, capacity and, if listed directly on the nameplate, the efficiency rating. If not listed, use the model number to identify the efficiency rating in the AHRI directory. Where the nameplate information is not available or not accessible, use manufacturer’s data sheet, equipment directories or age-based defaults from Section 4.5.2 to determine and record an appropriate efficiency. </w:t>
            </w:r>
          </w:p>
          <w:p w14:paraId="4926E264" w14:textId="77777777" w:rsidR="0049071E" w:rsidRPr="00F22A05" w:rsidRDefault="0049071E" w:rsidP="00B72A8D"/>
          <w:p w14:paraId="73C7E60D" w14:textId="77777777" w:rsidR="0049071E" w:rsidRPr="00F22A05" w:rsidRDefault="0049071E" w:rsidP="00B72A8D">
            <w:r w:rsidRPr="00F22A05">
              <w:t xml:space="preserve">SEER is used to measure the cooling efficiency of central air conditioning and Air Source Heat Pump systems. </w:t>
            </w:r>
          </w:p>
          <w:p w14:paraId="56D164C0" w14:textId="77777777" w:rsidR="0049071E" w:rsidRPr="00F22A05" w:rsidRDefault="0049071E" w:rsidP="00B72A8D"/>
          <w:p w14:paraId="3A130679" w14:textId="77777777" w:rsidR="0049071E" w:rsidRPr="00F22A05" w:rsidRDefault="0049071E" w:rsidP="00B72A8D">
            <w:r w:rsidRPr="00F22A05">
              <w:t>EER is used to determine and record the cooling efficiency of room Air Conditioners, VRF, Water Loop Heat Pumps and Ground Source Heat Pumps. EER can be calculated from the nameplate information by dividing Btu output by Watt input. Chillers are rated in kW/ton.</w:t>
            </w:r>
          </w:p>
          <w:p w14:paraId="06EC18F1" w14:textId="77777777" w:rsidR="0049071E" w:rsidRPr="00F22A05" w:rsidRDefault="0049071E" w:rsidP="00B72A8D"/>
          <w:p w14:paraId="2A8585E2" w14:textId="77777777" w:rsidR="0049071E" w:rsidRPr="00F22A05" w:rsidRDefault="0049071E" w:rsidP="00B72A8D">
            <w:r w:rsidRPr="00F22A05">
              <w:lastRenderedPageBreak/>
              <w:t xml:space="preserve">HSPF or COP is used to measure the heating efficiency of Air Source Heat Pumps, VRF, Water Loop Heat Pumps, and Ground Source Heat Pumps. </w:t>
            </w:r>
          </w:p>
          <w:p w14:paraId="5F6DE8A5" w14:textId="77777777" w:rsidR="0049071E" w:rsidRPr="00F22A05" w:rsidRDefault="0049071E" w:rsidP="00B72A8D"/>
          <w:p w14:paraId="1682EEF7" w14:textId="77777777" w:rsidR="0049071E" w:rsidRPr="00F22A05" w:rsidRDefault="0049071E" w:rsidP="00B72A8D">
            <w:r w:rsidRPr="00F22A05">
              <w:t xml:space="preserve">AFUE or Thermal Efficiency is used to measure the efficiency of Furnaces and Boilers. </w:t>
            </w:r>
          </w:p>
        </w:tc>
      </w:tr>
      <w:tr w:rsidR="007B556A" w:rsidRPr="00F22A05" w14:paraId="54D52651" w14:textId="77777777" w:rsidTr="00115D8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A8EA" w14:textId="77777777" w:rsidR="0049071E" w:rsidRPr="00F22A05" w:rsidRDefault="0049071E" w:rsidP="00B72A8D">
            <w:r w:rsidRPr="00F22A05">
              <w:lastRenderedPageBreak/>
              <w:t>Heating and cooling energy source</w:t>
            </w:r>
          </w:p>
          <w:p w14:paraId="5497FA6A" w14:textId="77777777" w:rsidR="0049071E" w:rsidRPr="00F22A05" w:rsidRDefault="0049071E" w:rsidP="00B72A8D"/>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E9371" w14:textId="77777777" w:rsidR="0049071E" w:rsidRPr="00F22A05" w:rsidRDefault="0049071E" w:rsidP="00B72A8D">
            <w:r w:rsidRPr="00F22A05">
              <w:t>Determine and record fuels used for heating and cooling</w:t>
            </w:r>
          </w:p>
        </w:tc>
        <w:tc>
          <w:tcPr>
            <w:tcW w:w="4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B3535" w14:textId="77777777" w:rsidR="0049071E" w:rsidRPr="00F22A05" w:rsidRDefault="0049071E" w:rsidP="00B72A8D">
            <w:r w:rsidRPr="00F22A05">
              <w:t>Heating systems use natural gas, propane, oil, electricity, or some other fuel. Most cooling systems are driven by electricity; however, some cooling equipment use natural gas or propane.</w:t>
            </w:r>
          </w:p>
        </w:tc>
      </w:tr>
    </w:tbl>
    <w:p w14:paraId="232982DF" w14:textId="77777777" w:rsidR="00E929BB" w:rsidRPr="00F22A05" w:rsidRDefault="00E929BB" w:rsidP="006B3C99">
      <w:pPr>
        <w:spacing w:after="200" w:line="276" w:lineRule="auto"/>
        <w:jc w:val="center"/>
        <w:rPr>
          <w:b/>
          <w:bCs/>
          <w:sz w:val="28"/>
          <w:szCs w:val="28"/>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4153"/>
      </w:tblGrid>
      <w:tr w:rsidR="00F22A05" w:rsidRPr="00F22A05" w14:paraId="4EEC3278" w14:textId="77777777" w:rsidTr="00115D8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CDABF5D" w14:textId="77777777" w:rsidR="006B3C99" w:rsidRPr="00F22A05" w:rsidRDefault="006B3C99" w:rsidP="00F3759E">
            <w:pPr>
              <w:pStyle w:val="Heading1"/>
              <w:rPr>
                <w:u w:val="single"/>
              </w:rPr>
            </w:pPr>
            <w:r w:rsidRPr="00F22A05">
              <w:rPr>
                <w:u w:val="single"/>
              </w:rPr>
              <w:t>Building Element:  On-Site Power Production</w:t>
            </w:r>
          </w:p>
        </w:tc>
      </w:tr>
      <w:tr w:rsidR="00F22A05" w:rsidRPr="00F22A05" w14:paraId="7E1ABC1A" w14:textId="77777777" w:rsidTr="00115D8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8FDB5" w14:textId="77777777" w:rsidR="006B3C99" w:rsidRPr="00F22A05" w:rsidRDefault="006B3C99" w:rsidP="00F3759E">
            <w:r w:rsidRPr="00F22A05">
              <w:rPr>
                <w:b/>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9F9F9" w14:textId="77777777" w:rsidR="006B3C99" w:rsidRPr="00F22A05" w:rsidRDefault="006B3C99" w:rsidP="00F3759E">
            <w:r w:rsidRPr="00F22A05">
              <w:rPr>
                <w:b/>
              </w:rPr>
              <w:t xml:space="preserve">Task </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78A8B" w14:textId="77777777" w:rsidR="006B3C99" w:rsidRPr="00F22A05" w:rsidRDefault="006B3C99" w:rsidP="00F3759E">
            <w:r w:rsidRPr="00F22A05">
              <w:rPr>
                <w:b/>
              </w:rPr>
              <w:t xml:space="preserve">On-Site Inspection Protocol </w:t>
            </w:r>
          </w:p>
        </w:tc>
      </w:tr>
      <w:tr w:rsidR="007B556A" w:rsidRPr="00F22A05" w14:paraId="4E0807F7" w14:textId="77777777" w:rsidTr="00115D8C">
        <w:tc>
          <w:tcPr>
            <w:tcW w:w="2322" w:type="dxa"/>
          </w:tcPr>
          <w:p w14:paraId="62AF27D5" w14:textId="77777777" w:rsidR="006B3C99" w:rsidRPr="00F22A05" w:rsidRDefault="006B3C99" w:rsidP="00F3759E">
            <w:r w:rsidRPr="00F22A05">
              <w:t>Annual electricity generation for On- Site Power Production (OPP) systems</w:t>
            </w:r>
          </w:p>
          <w:p w14:paraId="7497EFEA" w14:textId="77777777" w:rsidR="006B3C99" w:rsidRPr="00F22A05" w:rsidRDefault="006B3C99" w:rsidP="00F3759E"/>
        </w:tc>
        <w:tc>
          <w:tcPr>
            <w:tcW w:w="2880" w:type="dxa"/>
          </w:tcPr>
          <w:p w14:paraId="03DBE689" w14:textId="77777777" w:rsidR="006B3C99" w:rsidRPr="00F22A05" w:rsidRDefault="006B3C99" w:rsidP="00F3759E">
            <w:r w:rsidRPr="00F22A05">
              <w:t>Data collection for On-Site Power Production systems</w:t>
            </w:r>
          </w:p>
        </w:tc>
        <w:tc>
          <w:tcPr>
            <w:tcW w:w="4153" w:type="dxa"/>
          </w:tcPr>
          <w:p w14:paraId="2627D96F" w14:textId="77777777" w:rsidR="006B3C99" w:rsidRPr="00F22A05" w:rsidRDefault="006B3C99" w:rsidP="00F3759E">
            <w:pPr>
              <w:rPr>
                <w:i/>
              </w:rPr>
            </w:pPr>
            <w:r w:rsidRPr="00F22A05">
              <w:rPr>
                <w:i/>
              </w:rPr>
              <w:t xml:space="preserve">On-Site Power Production systems – </w:t>
            </w:r>
            <w:r w:rsidRPr="00F22A05">
              <w:t>Collect documentation that shows the annual kWh/y generated.  For combined heat and power systems, the documentation shall include the annual gas use in addition to kWh/y generated.</w:t>
            </w:r>
            <w:r w:rsidRPr="00F22A05">
              <w:rPr>
                <w:i/>
              </w:rPr>
              <w:t xml:space="preserve"> </w:t>
            </w:r>
          </w:p>
          <w:p w14:paraId="61CD2B9F" w14:textId="77777777" w:rsidR="006B3C99" w:rsidRPr="00F22A05" w:rsidRDefault="006B3C99" w:rsidP="00F3759E">
            <w:pPr>
              <w:rPr>
                <w:i/>
              </w:rPr>
            </w:pPr>
          </w:p>
          <w:p w14:paraId="170F6ABA" w14:textId="77777777" w:rsidR="006B3C99" w:rsidRPr="00F22A05" w:rsidRDefault="006B3C99" w:rsidP="00F3759E">
            <w:r w:rsidRPr="00F22A05">
              <w:rPr>
                <w:i/>
                <w:iCs/>
              </w:rPr>
              <w:t xml:space="preserve">Photovoltaic Systems – </w:t>
            </w:r>
            <w:r w:rsidRPr="00F22A05">
              <w:t>In situations where</w:t>
            </w:r>
            <w:r w:rsidRPr="00F22A05">
              <w:rPr>
                <w:i/>
                <w:iCs/>
              </w:rPr>
              <w:t xml:space="preserve"> </w:t>
            </w:r>
            <w:r w:rsidRPr="00F22A05">
              <w:t>the Approved Software Rating Tool calculates electricity generation from photovoltaic systems, determine and record the following:</w:t>
            </w:r>
          </w:p>
          <w:p w14:paraId="457E0DA1" w14:textId="77777777" w:rsidR="006B3C99" w:rsidRPr="00F22A05" w:rsidRDefault="006B3C99" w:rsidP="00E45002">
            <w:pPr>
              <w:numPr>
                <w:ilvl w:val="0"/>
                <w:numId w:val="10"/>
              </w:numPr>
              <w:pBdr>
                <w:top w:val="nil"/>
                <w:left w:val="nil"/>
                <w:bottom w:val="nil"/>
                <w:right w:val="nil"/>
                <w:between w:val="nil"/>
              </w:pBdr>
            </w:pPr>
            <w:r w:rsidRPr="00F22A05">
              <w:t xml:space="preserve">the orientation of the photovoltaic array to the nearest cardinal/ordinal point, in the direction the array </w:t>
            </w:r>
            <w:proofErr w:type="gramStart"/>
            <w:r w:rsidRPr="00F22A05">
              <w:t>faces;</w:t>
            </w:r>
            <w:proofErr w:type="gramEnd"/>
          </w:p>
          <w:p w14:paraId="0FDDABD6" w14:textId="77777777" w:rsidR="006B3C99" w:rsidRPr="00F22A05" w:rsidRDefault="006B3C99" w:rsidP="00E45002">
            <w:pPr>
              <w:numPr>
                <w:ilvl w:val="0"/>
                <w:numId w:val="10"/>
              </w:numPr>
              <w:pBdr>
                <w:top w:val="nil"/>
                <w:left w:val="nil"/>
                <w:bottom w:val="nil"/>
                <w:right w:val="nil"/>
                <w:between w:val="nil"/>
              </w:pBdr>
            </w:pPr>
            <w:r w:rsidRPr="00F22A05">
              <w:t xml:space="preserve">the tilt of the array. Use an angle finder instrument or geometric </w:t>
            </w:r>
            <w:proofErr w:type="gramStart"/>
            <w:r w:rsidRPr="00F22A05">
              <w:t>calculation;</w:t>
            </w:r>
            <w:proofErr w:type="gramEnd"/>
          </w:p>
          <w:p w14:paraId="4615FC1F" w14:textId="77777777" w:rsidR="006B3C99" w:rsidRPr="00F22A05" w:rsidRDefault="006B3C99" w:rsidP="00E45002">
            <w:pPr>
              <w:numPr>
                <w:ilvl w:val="0"/>
                <w:numId w:val="10"/>
              </w:numPr>
              <w:pBdr>
                <w:top w:val="nil"/>
                <w:left w:val="nil"/>
                <w:bottom w:val="nil"/>
                <w:right w:val="nil"/>
                <w:between w:val="nil"/>
              </w:pBdr>
            </w:pPr>
            <w:r w:rsidRPr="00F22A05">
              <w:t>the area of the array and the peak power using the information on the SRCC label or manufacturer’s data sheet; and</w:t>
            </w:r>
          </w:p>
          <w:p w14:paraId="547600C2" w14:textId="77777777" w:rsidR="006B3C99" w:rsidRPr="00F22A05" w:rsidRDefault="006B3C99" w:rsidP="00E45002">
            <w:pPr>
              <w:numPr>
                <w:ilvl w:val="0"/>
                <w:numId w:val="10"/>
              </w:numPr>
              <w:pBdr>
                <w:top w:val="nil"/>
                <w:left w:val="nil"/>
                <w:bottom w:val="nil"/>
                <w:right w:val="nil"/>
                <w:between w:val="nil"/>
              </w:pBdr>
            </w:pPr>
            <w:r w:rsidRPr="00F22A05">
              <w:t>the efficiency of the inverter using the manufacturer’s data sheet.</w:t>
            </w:r>
          </w:p>
        </w:tc>
      </w:tr>
    </w:tbl>
    <w:p w14:paraId="7D18225C" w14:textId="77777777" w:rsidR="0038487E" w:rsidRPr="00F22A05" w:rsidRDefault="0038487E"/>
    <w:p w14:paraId="51BD45BC" w14:textId="77777777" w:rsidR="0038487E" w:rsidRPr="00F22A05" w:rsidRDefault="0038487E"/>
    <w:p w14:paraId="46DA1F22" w14:textId="77777777" w:rsidR="0038487E" w:rsidRPr="00F22A05" w:rsidRDefault="0038487E"/>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4153"/>
      </w:tblGrid>
      <w:tr w:rsidR="00F22A05" w:rsidRPr="00F22A05" w14:paraId="5A8AA343" w14:textId="77777777" w:rsidTr="00115D8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7AC2A9" w14:textId="77777777" w:rsidR="000C34BF" w:rsidRPr="00F22A05" w:rsidRDefault="000C34BF" w:rsidP="00F3759E">
            <w:pPr>
              <w:pStyle w:val="Heading1"/>
              <w:rPr>
                <w:b w:val="0"/>
                <w:u w:val="single"/>
              </w:rPr>
            </w:pPr>
            <w:bookmarkStart w:id="136" w:name="_Toc504587214"/>
            <w:r w:rsidRPr="00F22A05">
              <w:rPr>
                <w:u w:val="single"/>
              </w:rPr>
              <w:t xml:space="preserve">Building Element:  On-Site </w:t>
            </w:r>
            <w:bookmarkEnd w:id="136"/>
            <w:r w:rsidRPr="00F22A05">
              <w:rPr>
                <w:u w:val="single"/>
              </w:rPr>
              <w:t>Battery Storage</w:t>
            </w:r>
          </w:p>
        </w:tc>
      </w:tr>
      <w:tr w:rsidR="00F22A05" w:rsidRPr="00F22A05" w14:paraId="1B036421" w14:textId="77777777" w:rsidTr="00115D8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62153" w14:textId="77777777" w:rsidR="000C34BF" w:rsidRPr="00F22A05" w:rsidRDefault="000C34BF" w:rsidP="00F3759E">
            <w:pPr>
              <w:rPr>
                <w:u w:val="single"/>
              </w:rPr>
            </w:pPr>
            <w:r w:rsidRPr="00F22A05">
              <w:rPr>
                <w:b/>
                <w:u w:val="single"/>
              </w:rPr>
              <w:t xml:space="preserve">Rated Feature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3AC7" w14:textId="77777777" w:rsidR="000C34BF" w:rsidRPr="00F22A05" w:rsidRDefault="000C34BF" w:rsidP="00F3759E">
            <w:pPr>
              <w:rPr>
                <w:u w:val="single"/>
              </w:rPr>
            </w:pPr>
            <w:r w:rsidRPr="00F22A05">
              <w:rPr>
                <w:b/>
                <w:u w:val="single"/>
              </w:rPr>
              <w:t xml:space="preserve">Task </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C506" w14:textId="77777777" w:rsidR="000C34BF" w:rsidRPr="00F22A05" w:rsidRDefault="000C34BF" w:rsidP="00F3759E">
            <w:pPr>
              <w:rPr>
                <w:u w:val="single"/>
              </w:rPr>
            </w:pPr>
            <w:r w:rsidRPr="00F22A05">
              <w:rPr>
                <w:b/>
                <w:u w:val="single"/>
              </w:rPr>
              <w:t xml:space="preserve">On-Site Inspection Protocol </w:t>
            </w:r>
          </w:p>
        </w:tc>
      </w:tr>
      <w:tr w:rsidR="00FC158B" w:rsidRPr="00F22A05" w14:paraId="433047C7" w14:textId="77777777" w:rsidTr="00115D8C">
        <w:tc>
          <w:tcPr>
            <w:tcW w:w="2322" w:type="dxa"/>
          </w:tcPr>
          <w:p w14:paraId="6C24FD82" w14:textId="77777777" w:rsidR="000C34BF" w:rsidRPr="00F22A05" w:rsidRDefault="000C34BF" w:rsidP="00F3759E">
            <w:pPr>
              <w:rPr>
                <w:u w:val="single"/>
              </w:rPr>
            </w:pPr>
            <w:r w:rsidRPr="00F22A05">
              <w:rPr>
                <w:u w:val="single"/>
              </w:rPr>
              <w:t>On- Site Battery Storage Systems</w:t>
            </w:r>
          </w:p>
          <w:p w14:paraId="621E54EB" w14:textId="77777777" w:rsidR="000C34BF" w:rsidRPr="00F22A05" w:rsidRDefault="000C34BF" w:rsidP="00F3759E">
            <w:pPr>
              <w:rPr>
                <w:u w:val="single"/>
              </w:rPr>
            </w:pPr>
          </w:p>
        </w:tc>
        <w:tc>
          <w:tcPr>
            <w:tcW w:w="2880" w:type="dxa"/>
          </w:tcPr>
          <w:p w14:paraId="40AC9C67" w14:textId="77777777" w:rsidR="000C34BF" w:rsidRPr="00F22A05" w:rsidRDefault="000C34BF" w:rsidP="00F3759E">
            <w:pPr>
              <w:rPr>
                <w:u w:val="single"/>
              </w:rPr>
            </w:pPr>
            <w:r w:rsidRPr="00F22A05">
              <w:rPr>
                <w:u w:val="single"/>
              </w:rPr>
              <w:t>Data collection for On-Site Battery Storage systems</w:t>
            </w:r>
          </w:p>
        </w:tc>
        <w:tc>
          <w:tcPr>
            <w:tcW w:w="4153" w:type="dxa"/>
          </w:tcPr>
          <w:p w14:paraId="38F8FDE0" w14:textId="4CDFDB3C" w:rsidR="000C34BF" w:rsidRPr="00F22A05" w:rsidRDefault="000C34BF" w:rsidP="00F3759E">
            <w:pPr>
              <w:rPr>
                <w:u w:val="single"/>
              </w:rPr>
            </w:pPr>
            <w:r w:rsidRPr="00F22A05">
              <w:rPr>
                <w:i/>
                <w:u w:val="single"/>
              </w:rPr>
              <w:t xml:space="preserve">On-Site Battery Storage systems – </w:t>
            </w:r>
            <w:r w:rsidRPr="00F22A05">
              <w:rPr>
                <w:u w:val="single"/>
              </w:rPr>
              <w:t>Collect documentation that shows the battery storage system type, its maximum kW charge and discharge rates, its usable kWh capacity, and its round-trip efficiency.</w:t>
            </w:r>
          </w:p>
        </w:tc>
      </w:tr>
    </w:tbl>
    <w:p w14:paraId="2C165F7B" w14:textId="77777777" w:rsidR="00E929BB" w:rsidRPr="00F22A05" w:rsidRDefault="00E929BB">
      <w:pPr>
        <w:spacing w:after="200" w:line="276" w:lineRule="auto"/>
        <w:rPr>
          <w:rFonts w:eastAsiaTheme="majorEastAsia"/>
          <w:b/>
          <w:bCs/>
          <w:szCs w:val="28"/>
        </w:rPr>
      </w:pPr>
    </w:p>
    <w:p w14:paraId="6415BAB6" w14:textId="77777777" w:rsidR="00CE52CB" w:rsidRPr="00F22A05" w:rsidRDefault="00CE52CB">
      <w:pPr>
        <w:spacing w:after="200" w:line="276" w:lineRule="auto"/>
        <w:rPr>
          <w:rFonts w:eastAsiaTheme="majorEastAsia"/>
          <w:b/>
          <w:bCs/>
          <w:szCs w:val="28"/>
        </w:rPr>
      </w:pPr>
    </w:p>
    <w:p w14:paraId="565A8C29" w14:textId="77777777" w:rsidR="00CE52CB" w:rsidRPr="00F22A05" w:rsidRDefault="00CE52CB">
      <w:pPr>
        <w:spacing w:after="200" w:line="276" w:lineRule="auto"/>
        <w:rPr>
          <w:rFonts w:eastAsiaTheme="majorEastAsia"/>
          <w:b/>
          <w:bCs/>
          <w:szCs w:val="28"/>
        </w:rPr>
      </w:pPr>
    </w:p>
    <w:p w14:paraId="73F28C9C" w14:textId="77777777" w:rsidR="00CE52CB" w:rsidRPr="00F22A05" w:rsidRDefault="00CE52CB">
      <w:pPr>
        <w:spacing w:after="200" w:line="276" w:lineRule="auto"/>
        <w:rPr>
          <w:rFonts w:eastAsiaTheme="majorEastAsia"/>
          <w:b/>
          <w:bCs/>
          <w:szCs w:val="28"/>
        </w:rPr>
        <w:sectPr w:rsidR="00CE52CB" w:rsidRPr="00F22A05" w:rsidSect="00AA542C">
          <w:headerReference w:type="default" r:id="rId17"/>
          <w:footerReference w:type="even" r:id="rId18"/>
          <w:footerReference w:type="default" r:id="rId19"/>
          <w:pgSz w:w="12240" w:h="15840" w:code="1"/>
          <w:pgMar w:top="1440" w:right="1440" w:bottom="1440" w:left="1440" w:header="720" w:footer="720" w:gutter="0"/>
          <w:pgNumType w:start="1" w:chapStyle="1"/>
          <w:cols w:space="720"/>
          <w:docGrid w:linePitch="360"/>
        </w:sectPr>
      </w:pPr>
    </w:p>
    <w:p w14:paraId="2217624E" w14:textId="6DCC1A6E" w:rsidR="00B55184" w:rsidRPr="00FA69E8" w:rsidRDefault="00B55184" w:rsidP="00B55184">
      <w:bookmarkStart w:id="137" w:name="_Toc443655397"/>
    </w:p>
    <w:p w14:paraId="37CC4856" w14:textId="2BD5E371" w:rsidR="003D55D7" w:rsidRPr="00F22A05" w:rsidRDefault="0084003D" w:rsidP="0084003D">
      <w:pPr>
        <w:pStyle w:val="Heading1"/>
        <w:rPr>
          <w:u w:val="single"/>
        </w:rPr>
      </w:pPr>
      <w:bookmarkStart w:id="138" w:name="_Toc505772481"/>
      <w:r w:rsidRPr="00F22A05">
        <w:rPr>
          <w:u w:val="single"/>
        </w:rPr>
        <w:t xml:space="preserve">Normative Appendix </w:t>
      </w:r>
      <w:r w:rsidR="003D55D7" w:rsidRPr="00F22A05">
        <w:rPr>
          <w:u w:val="single"/>
        </w:rPr>
        <w:t>C</w:t>
      </w:r>
      <w:r w:rsidR="00227E8E" w:rsidRPr="00F22A05">
        <w:rPr>
          <w:u w:val="single"/>
        </w:rPr>
        <w:t xml:space="preserve">: </w:t>
      </w:r>
      <w:r w:rsidR="003D55D7" w:rsidRPr="00F22A05">
        <w:rPr>
          <w:u w:val="single"/>
        </w:rPr>
        <w:t>Modeling Assumptions</w:t>
      </w:r>
    </w:p>
    <w:p w14:paraId="1B111E00" w14:textId="77777777" w:rsidR="00086ED0" w:rsidRPr="00F22A05" w:rsidRDefault="00227E8E" w:rsidP="00086ED0">
      <w:pPr>
        <w:pStyle w:val="AppendixC2"/>
        <w:rPr>
          <w:rFonts w:eastAsiaTheme="majorEastAsia"/>
          <w:u w:val="single"/>
        </w:rPr>
      </w:pPr>
      <w:r w:rsidRPr="00F22A05">
        <w:rPr>
          <w:u w:val="single"/>
        </w:rPr>
        <w:t>Material Thermal Properties.</w:t>
      </w:r>
    </w:p>
    <w:p w14:paraId="5251EDC6" w14:textId="003BDA1F" w:rsidR="0099077B" w:rsidRPr="00F22A05" w:rsidRDefault="0099077B" w:rsidP="0099077B">
      <w:pPr>
        <w:pStyle w:val="AppendixC2"/>
        <w:numPr>
          <w:ilvl w:val="0"/>
          <w:numId w:val="0"/>
        </w:numPr>
        <w:ind w:left="630"/>
        <w:rPr>
          <w:rFonts w:eastAsiaTheme="majorEastAsia"/>
          <w:b w:val="0"/>
          <w:bCs/>
          <w:u w:val="single"/>
        </w:rPr>
      </w:pPr>
      <w:r w:rsidRPr="00F22A05">
        <w:rPr>
          <w:rFonts w:eastAsiaTheme="majorEastAsia"/>
          <w:b w:val="0"/>
          <w:bCs/>
          <w:u w:val="single"/>
        </w:rPr>
        <w:t xml:space="preserve">The following thermal properties shall be applied where the </w:t>
      </w:r>
      <w:r w:rsidR="00C626BF" w:rsidRPr="00F22A05">
        <w:rPr>
          <w:rFonts w:eastAsiaTheme="majorEastAsia"/>
          <w:b w:val="0"/>
          <w:bCs/>
          <w:u w:val="single"/>
        </w:rPr>
        <w:t>respective materials are used in a model:</w:t>
      </w:r>
    </w:p>
    <w:p w14:paraId="30AA33E4" w14:textId="592DE9F6" w:rsidR="005B2D6B" w:rsidRPr="00F22A05" w:rsidRDefault="005B2D6B" w:rsidP="005B2D6B">
      <w:pPr>
        <w:pStyle w:val="ListParagraph"/>
        <w:ind w:left="0"/>
        <w:jc w:val="center"/>
        <w:rPr>
          <w:b/>
          <w:u w:val="single"/>
        </w:rPr>
      </w:pPr>
      <w:r w:rsidRPr="00F22A05">
        <w:rPr>
          <w:b/>
          <w:u w:val="single"/>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F22A05" w:rsidRPr="00F22A05" w14:paraId="62818FF4" w14:textId="77777777" w:rsidTr="24F37E70">
        <w:trPr>
          <w:trHeight w:val="62"/>
          <w:jc w:val="center"/>
        </w:trPr>
        <w:tc>
          <w:tcPr>
            <w:tcW w:w="3090" w:type="pct"/>
          </w:tcPr>
          <w:p w14:paraId="0C957AA9" w14:textId="77777777" w:rsidR="005B2D6B" w:rsidRPr="00F22A05" w:rsidRDefault="005B2D6B">
            <w:pPr>
              <w:rPr>
                <w:b/>
                <w:u w:val="single"/>
              </w:rPr>
            </w:pPr>
            <w:r w:rsidRPr="00F22A05">
              <w:rPr>
                <w:b/>
                <w:u w:val="single"/>
              </w:rPr>
              <w:t>Material</w:t>
            </w:r>
          </w:p>
        </w:tc>
        <w:tc>
          <w:tcPr>
            <w:tcW w:w="1910" w:type="pct"/>
          </w:tcPr>
          <w:p w14:paraId="5D8F6E26" w14:textId="77777777" w:rsidR="005B2D6B" w:rsidRPr="00F22A05" w:rsidRDefault="005B2D6B">
            <w:pPr>
              <w:jc w:val="right"/>
              <w:rPr>
                <w:b/>
                <w:u w:val="single"/>
              </w:rPr>
            </w:pPr>
            <w:r w:rsidRPr="00F22A05">
              <w:rPr>
                <w:b/>
                <w:u w:val="single"/>
              </w:rPr>
              <w:t>Conductivity (Btu/</w:t>
            </w:r>
            <w:proofErr w:type="spellStart"/>
            <w:r w:rsidRPr="00F22A05">
              <w:rPr>
                <w:b/>
                <w:u w:val="single"/>
              </w:rPr>
              <w:t>hr</w:t>
            </w:r>
            <w:proofErr w:type="spellEnd"/>
            <w:r w:rsidRPr="00F22A05">
              <w:rPr>
                <w:b/>
                <w:u w:val="single"/>
              </w:rPr>
              <w:t>-F-ft)</w:t>
            </w:r>
          </w:p>
        </w:tc>
      </w:tr>
      <w:tr w:rsidR="00F22A05" w:rsidRPr="00F22A05" w14:paraId="7CEC828C" w14:textId="77777777" w:rsidTr="24F37E70">
        <w:trPr>
          <w:jc w:val="center"/>
        </w:trPr>
        <w:tc>
          <w:tcPr>
            <w:tcW w:w="3090" w:type="pct"/>
          </w:tcPr>
          <w:p w14:paraId="1F7C6FEA" w14:textId="77777777" w:rsidR="005B2D6B" w:rsidRPr="00F22A05" w:rsidRDefault="005B2D6B">
            <w:pPr>
              <w:rPr>
                <w:u w:val="single"/>
              </w:rPr>
            </w:pPr>
            <w:r w:rsidRPr="00F22A05">
              <w:rPr>
                <w:u w:val="single"/>
              </w:rPr>
              <w:t>Soil (adjacent to the home’s foundation)</w:t>
            </w:r>
          </w:p>
        </w:tc>
        <w:tc>
          <w:tcPr>
            <w:tcW w:w="1910" w:type="pct"/>
          </w:tcPr>
          <w:p w14:paraId="03DE298C" w14:textId="77777777" w:rsidR="005B2D6B" w:rsidRPr="00F22A05" w:rsidRDefault="005B2D6B">
            <w:pPr>
              <w:jc w:val="right"/>
              <w:rPr>
                <w:u w:val="single"/>
              </w:rPr>
            </w:pPr>
            <w:r w:rsidRPr="00F22A05">
              <w:rPr>
                <w:u w:val="single"/>
              </w:rPr>
              <w:t>1.000</w:t>
            </w:r>
          </w:p>
        </w:tc>
      </w:tr>
      <w:tr w:rsidR="00F22A05" w:rsidRPr="00F22A05" w14:paraId="2F08DE9A" w14:textId="77777777" w:rsidTr="24F37E70">
        <w:trPr>
          <w:jc w:val="center"/>
        </w:trPr>
        <w:tc>
          <w:tcPr>
            <w:tcW w:w="3090" w:type="pct"/>
          </w:tcPr>
          <w:p w14:paraId="185938E3" w14:textId="77777777" w:rsidR="005B2D6B" w:rsidRPr="00F22A05" w:rsidRDefault="005B2D6B">
            <w:pPr>
              <w:rPr>
                <w:u w:val="single"/>
              </w:rPr>
            </w:pPr>
            <w:r w:rsidRPr="00F22A05">
              <w:rPr>
                <w:u w:val="single"/>
              </w:rPr>
              <w:t>Wood</w:t>
            </w:r>
          </w:p>
        </w:tc>
        <w:tc>
          <w:tcPr>
            <w:tcW w:w="1910" w:type="pct"/>
          </w:tcPr>
          <w:p w14:paraId="31E8120A" w14:textId="070B0AEA" w:rsidR="005B2D6B" w:rsidRPr="00F22A05" w:rsidRDefault="24F37E70">
            <w:pPr>
              <w:jc w:val="right"/>
              <w:rPr>
                <w:u w:val="single"/>
              </w:rPr>
            </w:pPr>
            <w:r w:rsidRPr="00F22A05">
              <w:rPr>
                <w:u w:val="single"/>
              </w:rPr>
              <w:t>0.0</w:t>
            </w:r>
            <w:r w:rsidR="00283830" w:rsidRPr="00F22A05">
              <w:rPr>
                <w:u w:val="single"/>
              </w:rPr>
              <w:t>67</w:t>
            </w:r>
          </w:p>
        </w:tc>
      </w:tr>
      <w:tr w:rsidR="005B2D6B" w:rsidRPr="00F22A05" w14:paraId="148CC175" w14:textId="77777777" w:rsidTr="24F37E70">
        <w:trPr>
          <w:jc w:val="center"/>
        </w:trPr>
        <w:tc>
          <w:tcPr>
            <w:tcW w:w="3090" w:type="pct"/>
          </w:tcPr>
          <w:p w14:paraId="6EE51B80" w14:textId="1A245B83" w:rsidR="005B2D6B" w:rsidRPr="00F22A05" w:rsidRDefault="005B2D6B">
            <w:pPr>
              <w:rPr>
                <w:u w:val="single"/>
              </w:rPr>
            </w:pPr>
            <w:r w:rsidRPr="00F22A05">
              <w:rPr>
                <w:u w:val="single"/>
              </w:rPr>
              <w:t>Drywall</w:t>
            </w:r>
          </w:p>
        </w:tc>
        <w:tc>
          <w:tcPr>
            <w:tcW w:w="1910" w:type="pct"/>
          </w:tcPr>
          <w:p w14:paraId="665CE367" w14:textId="4C0F02E3" w:rsidR="005B2D6B" w:rsidRPr="00F22A05" w:rsidRDefault="24F37E70">
            <w:pPr>
              <w:jc w:val="right"/>
              <w:rPr>
                <w:u w:val="single"/>
              </w:rPr>
            </w:pPr>
            <w:r w:rsidRPr="00F22A05">
              <w:rPr>
                <w:u w:val="single"/>
              </w:rPr>
              <w:t>0.09</w:t>
            </w:r>
            <w:r w:rsidR="009E7246" w:rsidRPr="00F22A05">
              <w:rPr>
                <w:u w:val="single"/>
              </w:rPr>
              <w:t>2</w:t>
            </w:r>
          </w:p>
        </w:tc>
      </w:tr>
    </w:tbl>
    <w:p w14:paraId="4CEB665A" w14:textId="77777777" w:rsidR="00C626BF" w:rsidRPr="00F22A05" w:rsidRDefault="00C626BF" w:rsidP="000C34BF">
      <w:pPr>
        <w:pStyle w:val="AppendixC2"/>
        <w:numPr>
          <w:ilvl w:val="0"/>
          <w:numId w:val="0"/>
        </w:numPr>
        <w:ind w:left="630"/>
        <w:rPr>
          <w:rFonts w:eastAsiaTheme="majorEastAsia"/>
          <w:b w:val="0"/>
          <w:bCs/>
          <w:u w:val="single"/>
        </w:rPr>
      </w:pPr>
    </w:p>
    <w:p w14:paraId="006DED89" w14:textId="317F3F0C" w:rsidR="00746DEF" w:rsidRPr="00F22A05" w:rsidRDefault="00B43136" w:rsidP="00086ED0">
      <w:pPr>
        <w:pStyle w:val="AppendixC2"/>
        <w:rPr>
          <w:rFonts w:eastAsiaTheme="majorEastAsia"/>
          <w:u w:val="single"/>
        </w:rPr>
      </w:pPr>
      <w:r w:rsidRPr="00F22A05">
        <w:rPr>
          <w:rFonts w:eastAsiaTheme="majorEastAsia"/>
          <w:u w:val="single"/>
        </w:rPr>
        <w:t xml:space="preserve">Conversions between </w:t>
      </w:r>
      <w:r w:rsidR="004331CA" w:rsidRPr="00F22A05">
        <w:rPr>
          <w:rFonts w:eastAsiaTheme="majorEastAsia"/>
          <w:u w:val="single"/>
        </w:rPr>
        <w:t>Infiltration Metrics</w:t>
      </w:r>
      <w:r w:rsidR="001766A9" w:rsidRPr="00F22A05">
        <w:rPr>
          <w:rFonts w:eastAsiaTheme="majorEastAsia"/>
          <w:u w:val="single"/>
        </w:rPr>
        <w:t>.</w:t>
      </w:r>
    </w:p>
    <w:p w14:paraId="0986CBC1" w14:textId="4EA47139" w:rsidR="001766A9" w:rsidRPr="00F22A05" w:rsidRDefault="001766A9" w:rsidP="000C34BF">
      <w:pPr>
        <w:pStyle w:val="AppendixC2"/>
        <w:numPr>
          <w:ilvl w:val="0"/>
          <w:numId w:val="0"/>
        </w:numPr>
        <w:ind w:left="630"/>
        <w:rPr>
          <w:rFonts w:eastAsiaTheme="majorEastAsia"/>
          <w:b w:val="0"/>
          <w:bCs/>
          <w:u w:val="single"/>
        </w:rPr>
      </w:pPr>
      <w:r w:rsidRPr="00F22A05">
        <w:rPr>
          <w:rFonts w:eastAsiaTheme="majorEastAsia"/>
          <w:b w:val="0"/>
          <w:bCs/>
          <w:u w:val="single"/>
        </w:rPr>
        <w:t xml:space="preserve">There are </w:t>
      </w:r>
      <w:proofErr w:type="gramStart"/>
      <w:r w:rsidRPr="00F22A05">
        <w:rPr>
          <w:rFonts w:eastAsiaTheme="majorEastAsia"/>
          <w:b w:val="0"/>
          <w:bCs/>
          <w:u w:val="single"/>
        </w:rPr>
        <w:t>a large number of</w:t>
      </w:r>
      <w:proofErr w:type="gramEnd"/>
      <w:r w:rsidRPr="00F22A05">
        <w:rPr>
          <w:rFonts w:eastAsiaTheme="majorEastAsia"/>
          <w:b w:val="0"/>
          <w:bCs/>
          <w:u w:val="single"/>
        </w:rPr>
        <w:t xml:space="preserve"> descriptors and variables used in the determination and representation of envelope leakage and infiltration in residential buildings. </w:t>
      </w:r>
      <w:r w:rsidR="00D1061B" w:rsidRPr="00F22A05">
        <w:rPr>
          <w:rFonts w:eastAsiaTheme="majorEastAsia"/>
          <w:b w:val="0"/>
          <w:bCs/>
          <w:u w:val="single"/>
        </w:rPr>
        <w:t>Conversions</w:t>
      </w:r>
      <w:r w:rsidR="004150D1" w:rsidRPr="00F22A05">
        <w:rPr>
          <w:rFonts w:eastAsiaTheme="majorEastAsia"/>
          <w:b w:val="0"/>
          <w:bCs/>
          <w:u w:val="single"/>
        </w:rPr>
        <w:t xml:space="preserve"> between</w:t>
      </w:r>
      <w:r w:rsidRPr="00F22A05">
        <w:rPr>
          <w:rFonts w:eastAsiaTheme="majorEastAsia"/>
          <w:b w:val="0"/>
          <w:bCs/>
          <w:u w:val="single"/>
        </w:rPr>
        <w:t xml:space="preserve"> </w:t>
      </w:r>
      <w:r w:rsidR="009C7CCA" w:rsidRPr="00F22A05">
        <w:rPr>
          <w:rFonts w:eastAsiaTheme="majorEastAsia"/>
          <w:b w:val="0"/>
          <w:bCs/>
          <w:u w:val="single"/>
        </w:rPr>
        <w:t>infiltration metrics</w:t>
      </w:r>
      <w:r w:rsidR="004150D1" w:rsidRPr="00F22A05">
        <w:rPr>
          <w:rFonts w:eastAsiaTheme="majorEastAsia"/>
          <w:b w:val="0"/>
          <w:bCs/>
          <w:u w:val="single"/>
        </w:rPr>
        <w:t xml:space="preserve"> within the </w:t>
      </w:r>
      <w:r w:rsidR="005007BF" w:rsidRPr="00F22A05">
        <w:rPr>
          <w:rFonts w:eastAsiaTheme="majorEastAsia"/>
          <w:b w:val="0"/>
          <w:bCs/>
          <w:u w:val="single"/>
        </w:rPr>
        <w:t>s</w:t>
      </w:r>
      <w:r w:rsidR="004150D1" w:rsidRPr="00F22A05">
        <w:rPr>
          <w:rFonts w:eastAsiaTheme="majorEastAsia"/>
          <w:b w:val="0"/>
          <w:bCs/>
          <w:u w:val="single"/>
        </w:rPr>
        <w:t>oftware</w:t>
      </w:r>
      <w:r w:rsidR="00B069CA" w:rsidRPr="00F22A05">
        <w:rPr>
          <w:rFonts w:eastAsiaTheme="majorEastAsia"/>
          <w:b w:val="0"/>
          <w:bCs/>
          <w:u w:val="single"/>
        </w:rPr>
        <w:t xml:space="preserve"> shall use</w:t>
      </w:r>
      <w:r w:rsidR="004150D1" w:rsidRPr="00F22A05">
        <w:rPr>
          <w:rFonts w:eastAsiaTheme="majorEastAsia"/>
          <w:b w:val="0"/>
          <w:bCs/>
          <w:u w:val="single"/>
        </w:rPr>
        <w:t xml:space="preserve"> the</w:t>
      </w:r>
      <w:r w:rsidR="00AF1052" w:rsidRPr="00F22A05">
        <w:rPr>
          <w:rFonts w:eastAsiaTheme="majorEastAsia"/>
          <w:b w:val="0"/>
          <w:bCs/>
          <w:u w:val="single"/>
        </w:rPr>
        <w:t xml:space="preserve"> f</w:t>
      </w:r>
      <w:r w:rsidRPr="00F22A05">
        <w:rPr>
          <w:rFonts w:eastAsiaTheme="majorEastAsia"/>
          <w:b w:val="0"/>
          <w:bCs/>
          <w:u w:val="single"/>
        </w:rPr>
        <w:t xml:space="preserve">ollowing conventions </w:t>
      </w:r>
      <w:r w:rsidR="00AF1052" w:rsidRPr="00F22A05">
        <w:rPr>
          <w:rFonts w:eastAsiaTheme="majorEastAsia"/>
          <w:b w:val="0"/>
          <w:bCs/>
          <w:u w:val="single"/>
        </w:rPr>
        <w:t>and</w:t>
      </w:r>
      <w:r w:rsidRPr="00F22A05">
        <w:rPr>
          <w:rFonts w:eastAsiaTheme="majorEastAsia"/>
          <w:b w:val="0"/>
          <w:bCs/>
          <w:u w:val="single"/>
        </w:rPr>
        <w:t xml:space="preserve"> </w:t>
      </w:r>
      <w:r w:rsidR="00AF1052" w:rsidRPr="00F22A05">
        <w:rPr>
          <w:rFonts w:eastAsiaTheme="majorEastAsia"/>
          <w:b w:val="0"/>
          <w:bCs/>
          <w:u w:val="single"/>
        </w:rPr>
        <w:t>procedures</w:t>
      </w:r>
      <w:r w:rsidRPr="00F22A05">
        <w:rPr>
          <w:rFonts w:eastAsiaTheme="majorEastAsia"/>
          <w:b w:val="0"/>
          <w:bCs/>
          <w:u w:val="single"/>
        </w:rPr>
        <w:t>.</w:t>
      </w:r>
    </w:p>
    <w:p w14:paraId="7B809D38" w14:textId="72C1AA81" w:rsidR="00A06A7D" w:rsidRPr="00F22A05" w:rsidRDefault="00A06A7D" w:rsidP="00E45002">
      <w:pPr>
        <w:pStyle w:val="AppendixC2"/>
        <w:numPr>
          <w:ilvl w:val="1"/>
          <w:numId w:val="14"/>
        </w:numPr>
        <w:rPr>
          <w:rFonts w:eastAsiaTheme="majorEastAsia"/>
          <w:u w:val="single"/>
        </w:rPr>
      </w:pPr>
      <w:r w:rsidRPr="00F22A05">
        <w:rPr>
          <w:rFonts w:eastAsiaTheme="majorEastAsia"/>
          <w:u w:val="single"/>
        </w:rPr>
        <w:t>General Nomenclature</w:t>
      </w:r>
    </w:p>
    <w:p w14:paraId="34C80291" w14:textId="1C66AA26" w:rsidR="00112BAA" w:rsidRPr="00F22A05" w:rsidRDefault="00112BAA" w:rsidP="00112BAA">
      <w:pPr>
        <w:ind w:left="630"/>
        <w:rPr>
          <w:rFonts w:eastAsiaTheme="majorEastAsia"/>
          <w:u w:val="single"/>
        </w:rPr>
      </w:pPr>
      <w:r w:rsidRPr="00F22A05">
        <w:rPr>
          <w:rFonts w:eastAsiaTheme="majorEastAsia"/>
          <w:u w:val="single"/>
        </w:rPr>
        <w:tab/>
        <w:t>ELA = effective leakage area (in</w:t>
      </w:r>
      <w:r w:rsidRPr="00F22A05">
        <w:rPr>
          <w:rFonts w:eastAsiaTheme="majorEastAsia"/>
          <w:u w:val="single"/>
          <w:vertAlign w:val="superscript"/>
        </w:rPr>
        <w:t>2</w:t>
      </w:r>
      <w:r w:rsidRPr="00F22A05">
        <w:rPr>
          <w:rFonts w:eastAsiaTheme="majorEastAsia"/>
          <w:u w:val="single"/>
        </w:rPr>
        <w:t xml:space="preserve">) </w:t>
      </w:r>
      <w:r w:rsidRPr="00F22A05">
        <w:rPr>
          <w:rFonts w:eastAsiaTheme="majorEastAsia"/>
          <w:i/>
          <w:iCs/>
          <w:u w:val="single"/>
        </w:rPr>
        <w:t>[US:  ASTM E 779-92]</w:t>
      </w:r>
      <w:r w:rsidR="00C53849" w:rsidRPr="00F22A05">
        <w:rPr>
          <w:rStyle w:val="Heading2Char"/>
          <w:u w:val="single"/>
        </w:rPr>
        <w:t xml:space="preserve"> </w:t>
      </w:r>
      <w:r w:rsidR="00C53849" w:rsidRPr="00F22A05">
        <w:rPr>
          <w:rStyle w:val="FootnoteReference"/>
          <w:u w:val="single"/>
        </w:rPr>
        <w:footnoteReference w:id="39"/>
      </w:r>
      <w:r w:rsidRPr="00F22A05">
        <w:rPr>
          <w:rFonts w:eastAsiaTheme="majorEastAsia"/>
          <w:u w:val="single"/>
        </w:rPr>
        <w:t xml:space="preserve">  </w:t>
      </w:r>
    </w:p>
    <w:p w14:paraId="78173F87" w14:textId="3ED639F5" w:rsidR="00112BAA" w:rsidRPr="00F22A05" w:rsidRDefault="00112BAA" w:rsidP="00112BAA">
      <w:pPr>
        <w:ind w:left="630"/>
        <w:rPr>
          <w:rFonts w:eastAsiaTheme="majorEastAsia"/>
          <w:u w:val="single"/>
        </w:rPr>
      </w:pPr>
      <w:r w:rsidRPr="00F22A05">
        <w:rPr>
          <w:rFonts w:eastAsiaTheme="majorEastAsia"/>
          <w:u w:val="single"/>
        </w:rPr>
        <w:tab/>
        <w:t>CFA = conditioned floor area (</w:t>
      </w:r>
      <w:r w:rsidR="005560B0" w:rsidRPr="00F22A05">
        <w:rPr>
          <w:rFonts w:eastAsiaTheme="majorEastAsia"/>
          <w:u w:val="single"/>
        </w:rPr>
        <w:t>ft</w:t>
      </w:r>
      <w:r w:rsidRPr="00F22A05">
        <w:rPr>
          <w:rFonts w:eastAsiaTheme="majorEastAsia"/>
          <w:u w:val="single"/>
          <w:vertAlign w:val="superscript"/>
        </w:rPr>
        <w:t>2</w:t>
      </w:r>
      <w:r w:rsidRPr="00F22A05">
        <w:rPr>
          <w:rFonts w:eastAsiaTheme="majorEastAsia"/>
          <w:u w:val="single"/>
        </w:rPr>
        <w:t>)</w:t>
      </w:r>
    </w:p>
    <w:p w14:paraId="2EED097E" w14:textId="55389A42" w:rsidR="00112BAA" w:rsidRPr="00F22A05" w:rsidRDefault="00112BAA" w:rsidP="00112BAA">
      <w:pPr>
        <w:ind w:left="630"/>
        <w:rPr>
          <w:rFonts w:eastAsiaTheme="majorEastAsia"/>
          <w:u w:val="single"/>
        </w:rPr>
      </w:pPr>
      <w:r w:rsidRPr="00F22A05">
        <w:rPr>
          <w:rFonts w:eastAsiaTheme="majorEastAsia"/>
          <w:u w:val="single"/>
        </w:rPr>
        <w:tab/>
        <w:t>SLA = specific leakage area (in</w:t>
      </w:r>
      <w:r w:rsidRPr="00F22A05">
        <w:rPr>
          <w:rFonts w:eastAsiaTheme="majorEastAsia"/>
          <w:u w:val="single"/>
          <w:vertAlign w:val="superscript"/>
        </w:rPr>
        <w:t>2</w:t>
      </w:r>
      <w:r w:rsidRPr="00F22A05">
        <w:rPr>
          <w:rFonts w:eastAsiaTheme="majorEastAsia"/>
          <w:u w:val="single"/>
        </w:rPr>
        <w:t>/in</w:t>
      </w:r>
      <w:r w:rsidRPr="00F22A05">
        <w:rPr>
          <w:rFonts w:eastAsiaTheme="majorEastAsia"/>
          <w:u w:val="single"/>
          <w:vertAlign w:val="superscript"/>
        </w:rPr>
        <w:t>2</w:t>
      </w:r>
      <w:r w:rsidRPr="00F22A05">
        <w:rPr>
          <w:rFonts w:eastAsiaTheme="majorEastAsia"/>
          <w:u w:val="single"/>
        </w:rPr>
        <w:t xml:space="preserve">) = ELA / </w:t>
      </w:r>
      <w:r w:rsidR="005560B0" w:rsidRPr="00F22A05">
        <w:rPr>
          <w:rFonts w:eastAsiaTheme="majorEastAsia"/>
          <w:u w:val="single"/>
        </w:rPr>
        <w:t>(</w:t>
      </w:r>
      <w:r w:rsidRPr="00F22A05">
        <w:rPr>
          <w:rFonts w:eastAsiaTheme="majorEastAsia"/>
          <w:u w:val="single"/>
        </w:rPr>
        <w:t>CFA</w:t>
      </w:r>
      <w:r w:rsidR="005560B0" w:rsidRPr="00F22A05">
        <w:rPr>
          <w:rFonts w:eastAsiaTheme="majorEastAsia"/>
          <w:u w:val="single"/>
        </w:rPr>
        <w:t>*144)</w:t>
      </w:r>
    </w:p>
    <w:p w14:paraId="5691EC88" w14:textId="0C660D4B" w:rsidR="00112BAA" w:rsidRPr="00F22A05" w:rsidRDefault="00112BAA" w:rsidP="00112BAA">
      <w:pPr>
        <w:ind w:left="630"/>
        <w:rPr>
          <w:rFonts w:eastAsiaTheme="majorEastAsia"/>
          <w:u w:val="single"/>
        </w:rPr>
      </w:pPr>
      <w:r w:rsidRPr="00F22A05">
        <w:rPr>
          <w:rFonts w:eastAsiaTheme="majorEastAsia"/>
          <w:u w:val="single"/>
        </w:rPr>
        <w:tab/>
        <w:t xml:space="preserve">C = leakage coefficient (result of least squares regression of test data) </w:t>
      </w:r>
      <w:r w:rsidR="00112207" w:rsidRPr="00F22A05">
        <w:rPr>
          <w:rStyle w:val="FootnoteReference"/>
          <w:u w:val="single"/>
        </w:rPr>
        <w:footnoteReference w:id="40"/>
      </w:r>
      <w:r w:rsidRPr="00F22A05">
        <w:rPr>
          <w:rFonts w:eastAsiaTheme="majorEastAsia"/>
          <w:u w:val="single"/>
        </w:rPr>
        <w:t xml:space="preserve"> </w:t>
      </w:r>
    </w:p>
    <w:p w14:paraId="372BFB5E" w14:textId="784EB050" w:rsidR="00112BAA" w:rsidRPr="00F22A05" w:rsidRDefault="00112BAA" w:rsidP="000C34BF">
      <w:pPr>
        <w:tabs>
          <w:tab w:val="left" w:pos="374"/>
        </w:tabs>
        <w:rPr>
          <w:u w:val="single"/>
        </w:rPr>
      </w:pPr>
      <w:r w:rsidRPr="00F22A05">
        <w:rPr>
          <w:rFonts w:eastAsiaTheme="majorEastAsia"/>
          <w:u w:val="single"/>
        </w:rPr>
        <w:tab/>
      </w:r>
      <w:r w:rsidR="00EF555B" w:rsidRPr="00F22A05">
        <w:rPr>
          <w:rFonts w:eastAsiaTheme="majorEastAsia"/>
          <w:u w:val="single"/>
        </w:rPr>
        <w:tab/>
      </w:r>
      <w:r w:rsidRPr="00F22A05">
        <w:rPr>
          <w:rFonts w:eastAsiaTheme="majorEastAsia"/>
          <w:u w:val="single"/>
        </w:rPr>
        <w:t xml:space="preserve">n = flow exponent (result of least squares regression of test data) </w:t>
      </w:r>
      <w:r w:rsidR="00801523" w:rsidRPr="00F22A05">
        <w:rPr>
          <w:rStyle w:val="FootnoteReference"/>
          <w:u w:val="single"/>
        </w:rPr>
        <w:footnoteReference w:id="41"/>
      </w:r>
    </w:p>
    <w:p w14:paraId="2D571672" w14:textId="77777777" w:rsidR="00112BAA" w:rsidRPr="00F22A05" w:rsidRDefault="00112BAA" w:rsidP="00112BAA">
      <w:pPr>
        <w:ind w:left="630"/>
        <w:rPr>
          <w:rFonts w:eastAsiaTheme="majorEastAsia"/>
          <w:u w:val="single"/>
        </w:rPr>
      </w:pPr>
      <w:r w:rsidRPr="00F22A05">
        <w:rPr>
          <w:rFonts w:eastAsiaTheme="majorEastAsia"/>
          <w:u w:val="single"/>
        </w:rPr>
        <w:tab/>
        <w:t>ΔP = pressure differential (Pa)</w:t>
      </w:r>
    </w:p>
    <w:p w14:paraId="0104F054" w14:textId="158661AF" w:rsidR="00112BAA" w:rsidRPr="00F22A05" w:rsidRDefault="00112BAA" w:rsidP="000C34BF">
      <w:pPr>
        <w:tabs>
          <w:tab w:val="left" w:pos="374"/>
        </w:tabs>
        <w:rPr>
          <w:u w:val="single"/>
        </w:rPr>
      </w:pPr>
      <w:r w:rsidRPr="00F22A05">
        <w:rPr>
          <w:rFonts w:eastAsiaTheme="majorEastAsia"/>
          <w:u w:val="single"/>
        </w:rPr>
        <w:tab/>
      </w:r>
      <w:r w:rsidR="00EF555B" w:rsidRPr="00F22A05">
        <w:rPr>
          <w:rFonts w:eastAsiaTheme="majorEastAsia"/>
          <w:u w:val="single"/>
        </w:rPr>
        <w:tab/>
      </w:r>
      <w:proofErr w:type="spellStart"/>
      <w:r w:rsidRPr="00F22A05">
        <w:rPr>
          <w:rFonts w:eastAsiaTheme="majorEastAsia"/>
          <w:u w:val="single"/>
        </w:rPr>
        <w:t>EqLA</w:t>
      </w:r>
      <w:proofErr w:type="spellEnd"/>
      <w:r w:rsidRPr="00F22A05">
        <w:rPr>
          <w:rFonts w:eastAsiaTheme="majorEastAsia"/>
          <w:u w:val="single"/>
        </w:rPr>
        <w:t xml:space="preserve"> = equivalent leakage area (in</w:t>
      </w:r>
      <w:r w:rsidRPr="00F22A05">
        <w:rPr>
          <w:rFonts w:eastAsiaTheme="majorEastAsia"/>
          <w:u w:val="single"/>
          <w:vertAlign w:val="superscript"/>
        </w:rPr>
        <w:t>2</w:t>
      </w:r>
      <w:r w:rsidRPr="00F22A05">
        <w:rPr>
          <w:rFonts w:eastAsiaTheme="majorEastAsia"/>
          <w:u w:val="single"/>
        </w:rPr>
        <w:t xml:space="preserve">) </w:t>
      </w:r>
      <w:r w:rsidRPr="00F22A05">
        <w:rPr>
          <w:rFonts w:eastAsiaTheme="majorEastAsia"/>
          <w:i/>
          <w:iCs/>
          <w:u w:val="single"/>
        </w:rPr>
        <w:t>[Canadian:  CAN/SGSB-149.10-M86]</w:t>
      </w:r>
      <w:r w:rsidR="00EF555B" w:rsidRPr="00F22A05">
        <w:rPr>
          <w:rStyle w:val="Heading2Char"/>
          <w:u w:val="single"/>
        </w:rPr>
        <w:t xml:space="preserve"> </w:t>
      </w:r>
      <w:r w:rsidR="00EF555B" w:rsidRPr="00F22A05">
        <w:rPr>
          <w:rStyle w:val="FootnoteReference"/>
          <w:u w:val="single"/>
        </w:rPr>
        <w:footnoteReference w:id="42"/>
      </w:r>
      <w:r w:rsidRPr="00F22A05">
        <w:rPr>
          <w:rFonts w:eastAsiaTheme="majorEastAsia"/>
          <w:u w:val="single"/>
        </w:rPr>
        <w:t xml:space="preserve">  </w:t>
      </w:r>
    </w:p>
    <w:p w14:paraId="358482FC" w14:textId="3C6E3967" w:rsidR="00112BAA" w:rsidRPr="00F22A05" w:rsidRDefault="00112BAA" w:rsidP="00112BAA">
      <w:pPr>
        <w:ind w:left="630"/>
        <w:rPr>
          <w:rFonts w:eastAsiaTheme="majorEastAsia"/>
          <w:u w:val="single"/>
        </w:rPr>
      </w:pPr>
      <w:r w:rsidRPr="00F22A05">
        <w:rPr>
          <w:rFonts w:eastAsiaTheme="majorEastAsia"/>
          <w:u w:val="single"/>
        </w:rPr>
        <w:tab/>
        <w:t>ach</w:t>
      </w:r>
      <w:r w:rsidR="00CC1716" w:rsidRPr="00F22A05">
        <w:rPr>
          <w:rFonts w:eastAsiaTheme="majorEastAsia"/>
          <w:u w:val="single"/>
          <w:vertAlign w:val="subscript"/>
        </w:rPr>
        <w:t>4</w:t>
      </w:r>
      <w:r w:rsidRPr="00F22A05">
        <w:rPr>
          <w:rFonts w:eastAsiaTheme="majorEastAsia"/>
          <w:u w:val="single"/>
        </w:rPr>
        <w:t xml:space="preserve"> = annual average air change rate (conditioned space volume changes per hour)</w:t>
      </w:r>
    </w:p>
    <w:p w14:paraId="37A1C76E" w14:textId="77777777" w:rsidR="00112BAA" w:rsidRPr="00F22A05" w:rsidRDefault="00112BAA" w:rsidP="00112BAA">
      <w:pPr>
        <w:ind w:left="630"/>
        <w:rPr>
          <w:rFonts w:eastAsiaTheme="majorEastAsia"/>
          <w:u w:val="single"/>
        </w:rPr>
      </w:pPr>
      <w:r w:rsidRPr="00F22A05">
        <w:rPr>
          <w:rFonts w:eastAsiaTheme="majorEastAsia"/>
          <w:u w:val="single"/>
        </w:rPr>
        <w:tab/>
        <w:t>ach</w:t>
      </w:r>
      <w:r w:rsidRPr="00F22A05">
        <w:rPr>
          <w:rFonts w:eastAsiaTheme="majorEastAsia"/>
          <w:u w:val="single"/>
          <w:vertAlign w:val="subscript"/>
        </w:rPr>
        <w:t>50</w:t>
      </w:r>
      <w:r w:rsidRPr="00F22A05">
        <w:rPr>
          <w:rFonts w:eastAsiaTheme="majorEastAsia"/>
          <w:u w:val="single"/>
        </w:rPr>
        <w:t xml:space="preserve"> = air changes per hour at 50 Pa pressure differential</w:t>
      </w:r>
    </w:p>
    <w:p w14:paraId="546C89A5" w14:textId="77777777" w:rsidR="00112BAA" w:rsidRPr="00F22A05" w:rsidRDefault="00112BAA" w:rsidP="00112BAA">
      <w:pPr>
        <w:ind w:left="630"/>
        <w:rPr>
          <w:rFonts w:eastAsiaTheme="majorEastAsia"/>
          <w:u w:val="single"/>
        </w:rPr>
      </w:pPr>
      <w:r w:rsidRPr="00F22A05">
        <w:rPr>
          <w:rFonts w:eastAsiaTheme="majorEastAsia"/>
          <w:u w:val="single"/>
        </w:rPr>
        <w:tab/>
        <w:t>cfm</w:t>
      </w:r>
      <w:r w:rsidRPr="00F22A05">
        <w:rPr>
          <w:rFonts w:eastAsiaTheme="majorEastAsia"/>
          <w:u w:val="single"/>
          <w:vertAlign w:val="subscript"/>
        </w:rPr>
        <w:t>50</w:t>
      </w:r>
      <w:r w:rsidRPr="00F22A05">
        <w:rPr>
          <w:rFonts w:eastAsiaTheme="majorEastAsia"/>
          <w:u w:val="single"/>
        </w:rPr>
        <w:t xml:space="preserve"> = airflow through leakage area at 50 Pa pressure differential</w:t>
      </w:r>
    </w:p>
    <w:p w14:paraId="62E9721B" w14:textId="77777777" w:rsidR="00112BAA" w:rsidRPr="00F22A05" w:rsidRDefault="00112BAA" w:rsidP="00112BAA">
      <w:pPr>
        <w:ind w:left="630"/>
        <w:rPr>
          <w:rFonts w:eastAsiaTheme="majorEastAsia"/>
          <w:u w:val="single"/>
        </w:rPr>
      </w:pPr>
      <w:r w:rsidRPr="00F22A05">
        <w:rPr>
          <w:rFonts w:eastAsiaTheme="majorEastAsia"/>
          <w:u w:val="single"/>
        </w:rPr>
        <w:tab/>
        <w:t>cfm</w:t>
      </w:r>
      <w:r w:rsidRPr="00F22A05">
        <w:rPr>
          <w:rFonts w:eastAsiaTheme="majorEastAsia"/>
          <w:u w:val="single"/>
          <w:vertAlign w:val="subscript"/>
        </w:rPr>
        <w:t>25</w:t>
      </w:r>
      <w:r w:rsidRPr="00F22A05">
        <w:rPr>
          <w:rFonts w:eastAsiaTheme="majorEastAsia"/>
          <w:u w:val="single"/>
        </w:rPr>
        <w:t xml:space="preserve"> = airflow through leakage area at 25 Pa pressure differential</w:t>
      </w:r>
    </w:p>
    <w:p w14:paraId="30CB569E" w14:textId="77777777" w:rsidR="00112BAA" w:rsidRPr="00F22A05" w:rsidRDefault="00112BAA" w:rsidP="00112BAA">
      <w:pPr>
        <w:ind w:left="630"/>
        <w:rPr>
          <w:rFonts w:eastAsiaTheme="majorEastAsia"/>
          <w:u w:val="single"/>
        </w:rPr>
      </w:pPr>
      <w:r w:rsidRPr="00F22A05">
        <w:rPr>
          <w:rFonts w:eastAsiaTheme="majorEastAsia"/>
          <w:u w:val="single"/>
        </w:rPr>
        <w:tab/>
      </w:r>
      <w:proofErr w:type="spellStart"/>
      <w:r w:rsidRPr="00F22A05">
        <w:rPr>
          <w:rFonts w:eastAsiaTheme="majorEastAsia"/>
          <w:u w:val="single"/>
        </w:rPr>
        <w:t>wsf</w:t>
      </w:r>
      <w:proofErr w:type="spellEnd"/>
      <w:r w:rsidRPr="00F22A05">
        <w:rPr>
          <w:rFonts w:eastAsiaTheme="majorEastAsia"/>
          <w:u w:val="single"/>
        </w:rPr>
        <w:t xml:space="preserve"> = weather and shielding factor </w:t>
      </w:r>
      <w:r w:rsidRPr="00F22A05">
        <w:rPr>
          <w:rFonts w:eastAsiaTheme="majorEastAsia"/>
          <w:i/>
          <w:iCs/>
          <w:u w:val="single"/>
        </w:rPr>
        <w:t>[from ASHRAE Standard 62.2]</w:t>
      </w:r>
    </w:p>
    <w:p w14:paraId="03C6B8F4" w14:textId="56FB1778" w:rsidR="00112BAA" w:rsidRPr="00F22A05" w:rsidRDefault="00112BAA" w:rsidP="00112BAA">
      <w:pPr>
        <w:ind w:left="630"/>
        <w:rPr>
          <w:rFonts w:eastAsiaTheme="majorEastAsia"/>
          <w:u w:val="single"/>
        </w:rPr>
      </w:pPr>
      <w:r w:rsidRPr="00F22A05">
        <w:rPr>
          <w:rFonts w:eastAsiaTheme="majorEastAsia"/>
          <w:u w:val="single"/>
        </w:rPr>
        <w:tab/>
        <w:t>H = vertical distance between the lowest and highest above grade points within the pressure envelope</w:t>
      </w:r>
      <w:r w:rsidR="005560B0" w:rsidRPr="00F22A05">
        <w:rPr>
          <w:rFonts w:eastAsiaTheme="majorEastAsia"/>
          <w:u w:val="single"/>
        </w:rPr>
        <w:t xml:space="preserve"> (ft)</w:t>
      </w:r>
    </w:p>
    <w:p w14:paraId="79B21C0A" w14:textId="77777777" w:rsidR="00112BAA" w:rsidRPr="00F22A05" w:rsidRDefault="00112BAA" w:rsidP="00112BAA">
      <w:pPr>
        <w:ind w:left="630"/>
        <w:rPr>
          <w:rFonts w:eastAsiaTheme="majorEastAsia"/>
          <w:u w:val="single"/>
        </w:rPr>
      </w:pPr>
      <w:r w:rsidRPr="00F22A05">
        <w:rPr>
          <w:rFonts w:eastAsiaTheme="majorEastAsia"/>
          <w:u w:val="single"/>
        </w:rPr>
        <w:tab/>
      </w:r>
      <w:proofErr w:type="spellStart"/>
      <w:r w:rsidRPr="00F22A05">
        <w:rPr>
          <w:rFonts w:eastAsiaTheme="majorEastAsia"/>
          <w:u w:val="single"/>
        </w:rPr>
        <w:t>Hr</w:t>
      </w:r>
      <w:proofErr w:type="spellEnd"/>
      <w:r w:rsidRPr="00F22A05">
        <w:rPr>
          <w:rFonts w:eastAsiaTheme="majorEastAsia"/>
          <w:u w:val="single"/>
        </w:rPr>
        <w:t xml:space="preserve"> = reference height = 8.202 feet (2.5 m)</w:t>
      </w:r>
    </w:p>
    <w:p w14:paraId="40EA9CB3" w14:textId="6FDC140D" w:rsidR="00112BAA" w:rsidRPr="00F22A05" w:rsidRDefault="00112BAA" w:rsidP="00112BAA">
      <w:pPr>
        <w:ind w:left="630"/>
        <w:rPr>
          <w:rFonts w:eastAsiaTheme="majorEastAsia"/>
          <w:u w:val="single"/>
        </w:rPr>
      </w:pPr>
      <w:r w:rsidRPr="00F22A05">
        <w:rPr>
          <w:rFonts w:eastAsiaTheme="majorEastAsia"/>
          <w:u w:val="single"/>
        </w:rPr>
        <w:tab/>
        <w:t>Hf = average floor to ceiling height</w:t>
      </w:r>
      <w:r w:rsidR="005560B0" w:rsidRPr="00F22A05">
        <w:rPr>
          <w:rFonts w:eastAsiaTheme="majorEastAsia"/>
          <w:u w:val="single"/>
        </w:rPr>
        <w:t xml:space="preserve"> (ft)</w:t>
      </w:r>
    </w:p>
    <w:p w14:paraId="012437E0" w14:textId="038A5C9E" w:rsidR="00A06A7D" w:rsidRPr="00F22A05" w:rsidRDefault="00112BAA" w:rsidP="00112BAA">
      <w:pPr>
        <w:ind w:left="630"/>
        <w:rPr>
          <w:rFonts w:eastAsiaTheme="majorEastAsia"/>
          <w:u w:val="single"/>
        </w:rPr>
      </w:pPr>
      <w:r w:rsidRPr="00F22A05">
        <w:rPr>
          <w:rFonts w:eastAsiaTheme="majorEastAsia"/>
          <w:u w:val="single"/>
        </w:rPr>
        <w:tab/>
        <w:t xml:space="preserve">NL = normalized leakage </w:t>
      </w:r>
      <w:r w:rsidRPr="00F22A05">
        <w:rPr>
          <w:rFonts w:eastAsiaTheme="majorEastAsia"/>
          <w:i/>
          <w:iCs/>
          <w:u w:val="single"/>
        </w:rPr>
        <w:t>[ASHRAE Standard 62.2]</w:t>
      </w:r>
    </w:p>
    <w:p w14:paraId="3924A3FA" w14:textId="2CF64EFC" w:rsidR="00112BAA" w:rsidRPr="00F22A05" w:rsidRDefault="006D7088" w:rsidP="00E45002">
      <w:pPr>
        <w:pStyle w:val="AppendixC2"/>
        <w:numPr>
          <w:ilvl w:val="1"/>
          <w:numId w:val="14"/>
        </w:numPr>
        <w:rPr>
          <w:rFonts w:eastAsiaTheme="majorEastAsia"/>
          <w:u w:val="single"/>
        </w:rPr>
      </w:pPr>
      <w:r w:rsidRPr="00F22A05">
        <w:rPr>
          <w:rFonts w:eastAsiaTheme="majorEastAsia"/>
          <w:u w:val="single"/>
        </w:rPr>
        <w:lastRenderedPageBreak/>
        <w:t>Conversion Equations</w:t>
      </w:r>
    </w:p>
    <w:p w14:paraId="3E263AA2" w14:textId="1A53C810" w:rsidR="006E1DAC" w:rsidRPr="00F22A05" w:rsidRDefault="006E1DAC" w:rsidP="00E6400F">
      <w:pPr>
        <w:tabs>
          <w:tab w:val="right" w:pos="9180"/>
        </w:tabs>
        <w:ind w:left="720"/>
        <w:rPr>
          <w:rFonts w:eastAsiaTheme="majorEastAsia"/>
        </w:rPr>
      </w:pPr>
      <w:r w:rsidRPr="00F22A05">
        <w:rPr>
          <w:rFonts w:eastAsiaTheme="majorEastAsia"/>
          <w:u w:val="single"/>
        </w:rPr>
        <w:t>NL = 1000 * SLA * (H/</w:t>
      </w:r>
      <w:proofErr w:type="spellStart"/>
      <w:r w:rsidRPr="00F22A05">
        <w:rPr>
          <w:rFonts w:eastAsiaTheme="majorEastAsia"/>
          <w:u w:val="single"/>
        </w:rPr>
        <w:t>Hr</w:t>
      </w:r>
      <w:proofErr w:type="spellEnd"/>
      <w:r w:rsidRPr="00F22A05">
        <w:rPr>
          <w:rFonts w:eastAsiaTheme="majorEastAsia"/>
          <w:u w:val="single"/>
        </w:rPr>
        <w:t>)</w:t>
      </w:r>
      <w:r w:rsidRPr="00F22A05">
        <w:rPr>
          <w:rFonts w:eastAsiaTheme="majorEastAsia"/>
          <w:u w:val="single"/>
          <w:vertAlign w:val="superscript"/>
        </w:rPr>
        <w:t>0.4</w:t>
      </w:r>
      <w:proofErr w:type="gramStart"/>
      <w:r w:rsidRPr="00F22A05">
        <w:rPr>
          <w:rFonts w:eastAsiaTheme="majorEastAsia"/>
          <w:u w:val="single"/>
        </w:rPr>
        <w:t xml:space="preserve">   [</w:t>
      </w:r>
      <w:proofErr w:type="gramEnd"/>
      <w:r w:rsidRPr="00F22A05">
        <w:rPr>
          <w:rFonts w:eastAsiaTheme="majorEastAsia"/>
          <w:i/>
          <w:iCs/>
          <w:u w:val="single"/>
        </w:rPr>
        <w:t>ASHRAE Standard 62.2</w:t>
      </w:r>
      <w:r w:rsidRPr="00F22A05">
        <w:rPr>
          <w:rFonts w:eastAsiaTheme="majorEastAsia"/>
          <w:u w:val="single"/>
        </w:rPr>
        <w:t>]</w:t>
      </w:r>
      <w:r w:rsidR="00E6400F" w:rsidRPr="00F22A05">
        <w:rPr>
          <w:rFonts w:eastAsiaTheme="majorEastAsia"/>
          <w:u w:val="single"/>
        </w:rPr>
        <w:tab/>
      </w:r>
      <w:r w:rsidRPr="00F22A05">
        <w:rPr>
          <w:rFonts w:eastAsiaTheme="majorEastAsia"/>
          <w:u w:val="single"/>
        </w:rPr>
        <w:t>(</w:t>
      </w:r>
      <w:r w:rsidR="00E6400F" w:rsidRPr="00F22A05">
        <w:rPr>
          <w:rFonts w:eastAsiaTheme="majorEastAsia"/>
        </w:rPr>
        <w:t xml:space="preserve">Eq. </w:t>
      </w:r>
      <w:r w:rsidRPr="00F22A05">
        <w:rPr>
          <w:rFonts w:eastAsiaTheme="majorEastAsia"/>
        </w:rPr>
        <w:t>1)</w:t>
      </w:r>
    </w:p>
    <w:p w14:paraId="5BA43696" w14:textId="3B97D381" w:rsidR="006E1DAC" w:rsidRPr="00F22A05" w:rsidRDefault="006E1DAC" w:rsidP="00CC1716">
      <w:pPr>
        <w:tabs>
          <w:tab w:val="right" w:pos="9180"/>
        </w:tabs>
        <w:ind w:left="720"/>
        <w:rPr>
          <w:rFonts w:eastAsiaTheme="majorEastAsia"/>
          <w:u w:val="single"/>
        </w:rPr>
      </w:pPr>
      <w:r w:rsidRPr="00F22A05">
        <w:rPr>
          <w:rFonts w:eastAsiaTheme="majorEastAsia"/>
          <w:u w:val="single"/>
        </w:rPr>
        <w:t>SLA = NL / (1000 * (H/</w:t>
      </w:r>
      <w:proofErr w:type="spellStart"/>
      <w:r w:rsidRPr="00F22A05">
        <w:rPr>
          <w:rFonts w:eastAsiaTheme="majorEastAsia"/>
          <w:u w:val="single"/>
        </w:rPr>
        <w:t>Hr</w:t>
      </w:r>
      <w:proofErr w:type="spellEnd"/>
      <w:r w:rsidRPr="00F22A05">
        <w:rPr>
          <w:rFonts w:eastAsiaTheme="majorEastAsia"/>
          <w:u w:val="single"/>
        </w:rPr>
        <w:t>)</w:t>
      </w:r>
      <w:r w:rsidRPr="00F22A05">
        <w:rPr>
          <w:rFonts w:eastAsiaTheme="majorEastAsia"/>
          <w:u w:val="single"/>
          <w:vertAlign w:val="superscript"/>
        </w:rPr>
        <w:t>0.4</w:t>
      </w:r>
      <w:r w:rsidRPr="00F22A05">
        <w:rPr>
          <w:rFonts w:eastAsiaTheme="majorEastAsia"/>
          <w:u w:val="single"/>
        </w:rPr>
        <w:t>)</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2)</w:t>
      </w:r>
    </w:p>
    <w:p w14:paraId="45CF06B6" w14:textId="42A81C6B" w:rsidR="006E1DAC" w:rsidRPr="00F22A05" w:rsidRDefault="006E1DAC" w:rsidP="00CC1716">
      <w:pPr>
        <w:tabs>
          <w:tab w:val="right" w:pos="9180"/>
        </w:tabs>
        <w:ind w:left="720"/>
        <w:rPr>
          <w:rFonts w:eastAsiaTheme="majorEastAsia"/>
          <w:u w:val="single"/>
        </w:rPr>
      </w:pPr>
      <w:r w:rsidRPr="00F22A05">
        <w:rPr>
          <w:rFonts w:eastAsiaTheme="majorEastAsia"/>
          <w:u w:val="single"/>
        </w:rPr>
        <w:t xml:space="preserve">SLA = ELA / </w:t>
      </w:r>
      <w:r w:rsidR="005560B0" w:rsidRPr="00F22A05">
        <w:rPr>
          <w:rFonts w:eastAsiaTheme="majorEastAsia"/>
          <w:u w:val="single"/>
        </w:rPr>
        <w:t>(</w:t>
      </w:r>
      <w:r w:rsidRPr="00F22A05">
        <w:rPr>
          <w:rFonts w:eastAsiaTheme="majorEastAsia"/>
          <w:u w:val="single"/>
        </w:rPr>
        <w:t>CFA</w:t>
      </w:r>
      <w:r w:rsidR="005560B0" w:rsidRPr="00F22A05">
        <w:rPr>
          <w:rFonts w:eastAsiaTheme="majorEastAsia"/>
          <w:u w:val="single"/>
        </w:rPr>
        <w:t>*144)</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3)</w:t>
      </w:r>
    </w:p>
    <w:p w14:paraId="32415560" w14:textId="138C2E4B" w:rsidR="006E1DAC" w:rsidRPr="00F22A05" w:rsidRDefault="006E1DAC" w:rsidP="00CC1716">
      <w:pPr>
        <w:tabs>
          <w:tab w:val="right" w:pos="9180"/>
        </w:tabs>
        <w:ind w:left="720"/>
        <w:rPr>
          <w:rFonts w:eastAsiaTheme="majorEastAsia"/>
          <w:u w:val="single"/>
        </w:rPr>
      </w:pPr>
      <w:r w:rsidRPr="00F22A05">
        <w:rPr>
          <w:rFonts w:eastAsiaTheme="majorEastAsia"/>
          <w:u w:val="single"/>
        </w:rPr>
        <w:t xml:space="preserve">ELA = </w:t>
      </w:r>
      <w:r w:rsidR="005560B0" w:rsidRPr="00F22A05">
        <w:rPr>
          <w:rFonts w:eastAsiaTheme="majorEastAsia"/>
          <w:u w:val="single"/>
        </w:rPr>
        <w:t>(</w:t>
      </w:r>
      <w:r w:rsidRPr="00F22A05">
        <w:rPr>
          <w:rFonts w:eastAsiaTheme="majorEastAsia"/>
          <w:u w:val="single"/>
        </w:rPr>
        <w:t>CFA</w:t>
      </w:r>
      <w:r w:rsidR="005560B0" w:rsidRPr="00F22A05">
        <w:rPr>
          <w:rFonts w:eastAsiaTheme="majorEastAsia"/>
          <w:u w:val="single"/>
        </w:rPr>
        <w:t>*144)</w:t>
      </w:r>
      <w:r w:rsidRPr="00F22A05">
        <w:rPr>
          <w:rFonts w:eastAsiaTheme="majorEastAsia"/>
          <w:u w:val="single"/>
        </w:rPr>
        <w:t xml:space="preserve"> * SLA</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4)</w:t>
      </w:r>
    </w:p>
    <w:p w14:paraId="0F7514E0" w14:textId="4056BB17" w:rsidR="006E1DAC" w:rsidRPr="00F22A05" w:rsidRDefault="006E1DAC" w:rsidP="00CC1716">
      <w:pPr>
        <w:tabs>
          <w:tab w:val="right" w:pos="9180"/>
        </w:tabs>
        <w:ind w:left="720"/>
        <w:rPr>
          <w:rFonts w:eastAsiaTheme="majorEastAsia"/>
          <w:u w:val="single"/>
        </w:rPr>
      </w:pPr>
      <w:r w:rsidRPr="00F22A05">
        <w:rPr>
          <w:rFonts w:eastAsiaTheme="majorEastAsia"/>
          <w:u w:val="single"/>
        </w:rPr>
        <w:t>SLA = ach</w:t>
      </w:r>
      <w:r w:rsidR="005560B0" w:rsidRPr="00F22A05">
        <w:rPr>
          <w:rFonts w:eastAsiaTheme="majorEastAsia"/>
          <w:u w:val="single"/>
          <w:vertAlign w:val="subscript"/>
        </w:rPr>
        <w:t>4</w:t>
      </w:r>
      <w:r w:rsidRPr="00F22A05">
        <w:rPr>
          <w:rFonts w:eastAsiaTheme="majorEastAsia"/>
          <w:u w:val="single"/>
        </w:rPr>
        <w:t xml:space="preserve"> * (Hf/</w:t>
      </w:r>
      <w:proofErr w:type="spellStart"/>
      <w:r w:rsidRPr="00F22A05">
        <w:rPr>
          <w:rFonts w:eastAsiaTheme="majorEastAsia"/>
          <w:u w:val="single"/>
        </w:rPr>
        <w:t>Hr</w:t>
      </w:r>
      <w:proofErr w:type="spellEnd"/>
      <w:r w:rsidRPr="00F22A05">
        <w:rPr>
          <w:rFonts w:eastAsiaTheme="majorEastAsia"/>
          <w:u w:val="single"/>
        </w:rPr>
        <w:t xml:space="preserve">) / (1000 * </w:t>
      </w:r>
      <w:proofErr w:type="spellStart"/>
      <w:r w:rsidRPr="00F22A05">
        <w:rPr>
          <w:rFonts w:eastAsiaTheme="majorEastAsia"/>
          <w:u w:val="single"/>
        </w:rPr>
        <w:t>wsf</w:t>
      </w:r>
      <w:proofErr w:type="spellEnd"/>
      <w:r w:rsidRPr="00F22A05">
        <w:rPr>
          <w:rFonts w:eastAsiaTheme="majorEastAsia"/>
          <w:u w:val="single"/>
        </w:rPr>
        <w:t xml:space="preserve"> * (H/</w:t>
      </w:r>
      <w:proofErr w:type="spellStart"/>
      <w:r w:rsidRPr="00F22A05">
        <w:rPr>
          <w:rFonts w:eastAsiaTheme="majorEastAsia"/>
          <w:u w:val="single"/>
        </w:rPr>
        <w:t>Hr</w:t>
      </w:r>
      <w:proofErr w:type="spellEnd"/>
      <w:r w:rsidRPr="00F22A05">
        <w:rPr>
          <w:rFonts w:eastAsiaTheme="majorEastAsia"/>
          <w:u w:val="single"/>
        </w:rPr>
        <w:t xml:space="preserve">) </w:t>
      </w:r>
      <w:r w:rsidRPr="00F22A05">
        <w:rPr>
          <w:rFonts w:eastAsiaTheme="majorEastAsia"/>
          <w:u w:val="single"/>
          <w:vertAlign w:val="superscript"/>
        </w:rPr>
        <w:t>0.4</w:t>
      </w:r>
      <w:r w:rsidRPr="00F22A05">
        <w:rPr>
          <w:rFonts w:eastAsiaTheme="majorEastAsia"/>
          <w:u w:val="single"/>
        </w:rPr>
        <w:t>)</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5)</w:t>
      </w:r>
    </w:p>
    <w:p w14:paraId="19AE966A" w14:textId="00E496AA" w:rsidR="006E1DAC" w:rsidRPr="00F22A05" w:rsidRDefault="006E1DAC" w:rsidP="00CC1716">
      <w:pPr>
        <w:tabs>
          <w:tab w:val="right" w:pos="9180"/>
        </w:tabs>
        <w:ind w:left="720"/>
        <w:rPr>
          <w:rFonts w:eastAsiaTheme="majorEastAsia"/>
          <w:u w:val="single"/>
        </w:rPr>
      </w:pPr>
      <w:r w:rsidRPr="00F22A05">
        <w:rPr>
          <w:rFonts w:eastAsiaTheme="majorEastAsia"/>
          <w:u w:val="single"/>
        </w:rPr>
        <w:t>ach</w:t>
      </w:r>
      <w:r w:rsidR="005560B0" w:rsidRPr="00F22A05">
        <w:rPr>
          <w:rFonts w:eastAsiaTheme="majorEastAsia"/>
          <w:u w:val="single"/>
          <w:vertAlign w:val="subscript"/>
        </w:rPr>
        <w:t>4</w:t>
      </w:r>
      <w:r w:rsidRPr="00F22A05">
        <w:rPr>
          <w:rFonts w:eastAsiaTheme="majorEastAsia"/>
          <w:u w:val="single"/>
        </w:rPr>
        <w:t xml:space="preserve"> = SLA * 1000 * </w:t>
      </w:r>
      <w:proofErr w:type="spellStart"/>
      <w:r w:rsidRPr="00F22A05">
        <w:rPr>
          <w:rFonts w:eastAsiaTheme="majorEastAsia"/>
          <w:u w:val="single"/>
        </w:rPr>
        <w:t>wsf</w:t>
      </w:r>
      <w:proofErr w:type="spellEnd"/>
      <w:r w:rsidRPr="00F22A05">
        <w:rPr>
          <w:rFonts w:eastAsiaTheme="majorEastAsia"/>
          <w:u w:val="single"/>
        </w:rPr>
        <w:t xml:space="preserve"> * (H/</w:t>
      </w:r>
      <w:proofErr w:type="spellStart"/>
      <w:r w:rsidRPr="00F22A05">
        <w:rPr>
          <w:rFonts w:eastAsiaTheme="majorEastAsia"/>
          <w:u w:val="single"/>
        </w:rPr>
        <w:t>Hr</w:t>
      </w:r>
      <w:proofErr w:type="spellEnd"/>
      <w:r w:rsidRPr="00F22A05">
        <w:rPr>
          <w:rFonts w:eastAsiaTheme="majorEastAsia"/>
          <w:u w:val="single"/>
        </w:rPr>
        <w:t xml:space="preserve">) </w:t>
      </w:r>
      <w:proofErr w:type="gramStart"/>
      <w:r w:rsidRPr="00F22A05">
        <w:rPr>
          <w:rFonts w:eastAsiaTheme="majorEastAsia"/>
          <w:u w:val="single"/>
          <w:vertAlign w:val="superscript"/>
        </w:rPr>
        <w:t>0.4</w:t>
      </w:r>
      <w:r w:rsidRPr="00F22A05">
        <w:rPr>
          <w:rFonts w:eastAsiaTheme="majorEastAsia"/>
          <w:u w:val="single"/>
        </w:rPr>
        <w:t xml:space="preserve">  *</w:t>
      </w:r>
      <w:proofErr w:type="gramEnd"/>
      <w:r w:rsidRPr="00F22A05">
        <w:rPr>
          <w:rFonts w:eastAsiaTheme="majorEastAsia"/>
          <w:u w:val="single"/>
        </w:rPr>
        <w:t xml:space="preserve"> </w:t>
      </w:r>
      <w:proofErr w:type="spellStart"/>
      <w:r w:rsidRPr="00F22A05">
        <w:rPr>
          <w:rFonts w:eastAsiaTheme="majorEastAsia"/>
          <w:u w:val="single"/>
        </w:rPr>
        <w:t>Hr</w:t>
      </w:r>
      <w:proofErr w:type="spellEnd"/>
      <w:r w:rsidRPr="00F22A05">
        <w:rPr>
          <w:rFonts w:eastAsiaTheme="majorEastAsia"/>
          <w:u w:val="single"/>
        </w:rPr>
        <w:t>/Hf</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6)</w:t>
      </w:r>
    </w:p>
    <w:p w14:paraId="59CD2D75" w14:textId="2E5CF117" w:rsidR="006E1DAC" w:rsidRPr="00F22A05" w:rsidRDefault="006E1DAC" w:rsidP="00CC1716">
      <w:pPr>
        <w:tabs>
          <w:tab w:val="right" w:pos="9180"/>
        </w:tabs>
        <w:ind w:left="720"/>
        <w:rPr>
          <w:rFonts w:eastAsiaTheme="majorEastAsia"/>
          <w:u w:val="single"/>
        </w:rPr>
      </w:pPr>
      <w:r w:rsidRPr="00F22A05">
        <w:rPr>
          <w:rFonts w:eastAsiaTheme="majorEastAsia"/>
          <w:u w:val="single"/>
        </w:rPr>
        <w:t>ELA = 0.283316 * C * 4</w:t>
      </w:r>
      <w:r w:rsidRPr="00F22A05">
        <w:rPr>
          <w:rFonts w:eastAsiaTheme="majorEastAsia"/>
          <w:u w:val="single"/>
          <w:vertAlign w:val="superscript"/>
        </w:rPr>
        <w:t>n</w:t>
      </w:r>
      <w:proofErr w:type="gramStart"/>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‘C’ input in IP units]</w:t>
      </w:r>
      <w:r w:rsidR="00CC1716" w:rsidRPr="00F22A05">
        <w:rPr>
          <w:rFonts w:eastAsiaTheme="majorEastAsia"/>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7)</w:t>
      </w:r>
    </w:p>
    <w:p w14:paraId="2F55D040" w14:textId="07ADD80E" w:rsidR="006E1DAC" w:rsidRPr="00F22A05" w:rsidRDefault="006E1DAC" w:rsidP="00CC1716">
      <w:pPr>
        <w:tabs>
          <w:tab w:val="right" w:pos="9180"/>
        </w:tabs>
        <w:ind w:left="720"/>
        <w:rPr>
          <w:rFonts w:eastAsiaTheme="majorEastAsia"/>
          <w:u w:val="single"/>
        </w:rPr>
      </w:pPr>
      <w:proofErr w:type="spellStart"/>
      <w:r w:rsidRPr="00F22A05">
        <w:rPr>
          <w:rFonts w:eastAsiaTheme="majorEastAsia"/>
          <w:u w:val="single"/>
        </w:rPr>
        <w:t>EqLA</w:t>
      </w:r>
      <w:proofErr w:type="spellEnd"/>
      <w:r w:rsidRPr="00F22A05">
        <w:rPr>
          <w:rFonts w:eastAsiaTheme="majorEastAsia"/>
          <w:u w:val="single"/>
        </w:rPr>
        <w:t xml:space="preserve"> = 0.2937 * C * 10</w:t>
      </w:r>
      <w:r w:rsidRPr="00F22A05">
        <w:rPr>
          <w:rFonts w:eastAsiaTheme="majorEastAsia"/>
          <w:u w:val="single"/>
          <w:vertAlign w:val="superscript"/>
        </w:rPr>
        <w:t>n</w:t>
      </w:r>
      <w:proofErr w:type="gramStart"/>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‘C’ input in IP units]</w:t>
      </w:r>
      <w:r w:rsidR="00CC1716" w:rsidRPr="00F22A05">
        <w:rPr>
          <w:rFonts w:eastAsiaTheme="majorEastAsia"/>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8)</w:t>
      </w:r>
    </w:p>
    <w:p w14:paraId="0A22EC90" w14:textId="4F9B7331" w:rsidR="006E1DAC" w:rsidRPr="00F22A05" w:rsidRDefault="006E1DAC" w:rsidP="00CC1716">
      <w:pPr>
        <w:tabs>
          <w:tab w:val="right" w:pos="9180"/>
        </w:tabs>
        <w:ind w:left="720"/>
        <w:rPr>
          <w:rFonts w:eastAsiaTheme="majorEastAsia"/>
          <w:u w:val="single"/>
        </w:rPr>
      </w:pPr>
      <w:r w:rsidRPr="00F22A05">
        <w:rPr>
          <w:rFonts w:eastAsiaTheme="majorEastAsia"/>
          <w:u w:val="single"/>
        </w:rPr>
        <w:t>C = ELA / (0.283316 * 4</w:t>
      </w:r>
      <w:proofErr w:type="gramStart"/>
      <w:r w:rsidRPr="00F22A05">
        <w:rPr>
          <w:rFonts w:eastAsiaTheme="majorEastAsia"/>
          <w:u w:val="single"/>
          <w:vertAlign w:val="superscript"/>
        </w:rPr>
        <w:t>n</w:t>
      </w:r>
      <w:r w:rsidRPr="00F22A05">
        <w:rPr>
          <w:rFonts w:eastAsiaTheme="majorEastAsia"/>
          <w:u w:val="single"/>
        </w:rPr>
        <w:t xml:space="preserve">)   </w:t>
      </w:r>
      <w:proofErr w:type="gramEnd"/>
      <w:r w:rsidRPr="00F22A05">
        <w:rPr>
          <w:rFonts w:eastAsiaTheme="majorEastAsia"/>
          <w:i/>
          <w:iCs/>
          <w:u w:val="single"/>
        </w:rPr>
        <w:t>[‘C’ returned in IP units]</w:t>
      </w:r>
      <w:r w:rsidR="00CC1716" w:rsidRPr="00F22A05">
        <w:rPr>
          <w:rFonts w:eastAsiaTheme="majorEastAsia"/>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9)</w:t>
      </w:r>
    </w:p>
    <w:p w14:paraId="78DA0476" w14:textId="4D25123F" w:rsidR="006E1DAC" w:rsidRPr="00F22A05" w:rsidRDefault="006E1DAC" w:rsidP="00CC1716">
      <w:pPr>
        <w:tabs>
          <w:tab w:val="right" w:pos="9180"/>
        </w:tabs>
        <w:ind w:left="720"/>
        <w:rPr>
          <w:rFonts w:eastAsiaTheme="majorEastAsia"/>
          <w:u w:val="single"/>
        </w:rPr>
      </w:pPr>
      <w:r w:rsidRPr="00F22A05">
        <w:rPr>
          <w:rFonts w:eastAsiaTheme="majorEastAsia"/>
          <w:u w:val="single"/>
        </w:rPr>
        <w:t xml:space="preserve">C = </w:t>
      </w:r>
      <w:proofErr w:type="spellStart"/>
      <w:r w:rsidRPr="00F22A05">
        <w:rPr>
          <w:rFonts w:eastAsiaTheme="majorEastAsia"/>
          <w:u w:val="single"/>
        </w:rPr>
        <w:t>EqLA</w:t>
      </w:r>
      <w:proofErr w:type="spellEnd"/>
      <w:r w:rsidRPr="00F22A05">
        <w:rPr>
          <w:rFonts w:eastAsiaTheme="majorEastAsia"/>
          <w:u w:val="single"/>
        </w:rPr>
        <w:t xml:space="preserve"> / (0.2932 * 10</w:t>
      </w:r>
      <w:proofErr w:type="gramStart"/>
      <w:r w:rsidRPr="00F22A05">
        <w:rPr>
          <w:rFonts w:eastAsiaTheme="majorEastAsia"/>
          <w:u w:val="single"/>
          <w:vertAlign w:val="superscript"/>
        </w:rPr>
        <w:t>n</w:t>
      </w:r>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‘C’ returned in IP units]</w:t>
      </w:r>
      <w:r w:rsidR="00CC1716" w:rsidRPr="00F22A05">
        <w:rPr>
          <w:rFonts w:eastAsiaTheme="majorEastAsia"/>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10)</w:t>
      </w:r>
    </w:p>
    <w:p w14:paraId="5EEA0CE4" w14:textId="02E782DD" w:rsidR="006E1DAC" w:rsidRPr="00F22A05" w:rsidRDefault="006E1DAC" w:rsidP="00CC1716">
      <w:pPr>
        <w:tabs>
          <w:tab w:val="right" w:pos="9180"/>
        </w:tabs>
        <w:ind w:left="720"/>
        <w:rPr>
          <w:rFonts w:eastAsiaTheme="majorEastAsia"/>
          <w:u w:val="single"/>
        </w:rPr>
      </w:pPr>
      <w:r w:rsidRPr="00F22A05">
        <w:rPr>
          <w:rFonts w:eastAsiaTheme="majorEastAsia"/>
          <w:u w:val="single"/>
        </w:rPr>
        <w:t>cfm</w:t>
      </w:r>
      <w:r w:rsidRPr="00F22A05">
        <w:rPr>
          <w:rFonts w:eastAsiaTheme="majorEastAsia"/>
          <w:u w:val="single"/>
          <w:vertAlign w:val="subscript"/>
        </w:rPr>
        <w:t>50</w:t>
      </w:r>
      <w:r w:rsidRPr="00F22A05">
        <w:rPr>
          <w:rFonts w:eastAsiaTheme="majorEastAsia"/>
          <w:u w:val="single"/>
        </w:rPr>
        <w:t xml:space="preserve"> = C * 50</w:t>
      </w:r>
      <w:r w:rsidRPr="00F22A05">
        <w:rPr>
          <w:rFonts w:eastAsiaTheme="majorEastAsia"/>
          <w:u w:val="single"/>
          <w:vertAlign w:val="superscript"/>
        </w:rPr>
        <w:t>n</w:t>
      </w:r>
      <w:proofErr w:type="gramStart"/>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‘C’ input in IP units]</w:t>
      </w:r>
      <w:r w:rsidR="00CC1716" w:rsidRPr="00F22A05">
        <w:rPr>
          <w:rFonts w:eastAsiaTheme="majorEastAsia"/>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11)</w:t>
      </w:r>
    </w:p>
    <w:p w14:paraId="53FD6191" w14:textId="26665144" w:rsidR="006E1DAC" w:rsidRPr="00F22A05" w:rsidRDefault="006E1DAC" w:rsidP="00CC1716">
      <w:pPr>
        <w:tabs>
          <w:tab w:val="right" w:pos="9180"/>
        </w:tabs>
        <w:ind w:left="720"/>
        <w:rPr>
          <w:rFonts w:eastAsiaTheme="majorEastAsia"/>
          <w:u w:val="single"/>
        </w:rPr>
      </w:pPr>
      <w:r w:rsidRPr="00F22A05">
        <w:rPr>
          <w:rFonts w:eastAsiaTheme="majorEastAsia"/>
          <w:u w:val="single"/>
        </w:rPr>
        <w:t>cfm</w:t>
      </w:r>
      <w:r w:rsidRPr="00F22A05">
        <w:rPr>
          <w:rFonts w:eastAsiaTheme="majorEastAsia"/>
          <w:u w:val="single"/>
          <w:vertAlign w:val="subscript"/>
        </w:rPr>
        <w:t>25</w:t>
      </w:r>
      <w:r w:rsidRPr="00F22A05">
        <w:rPr>
          <w:rFonts w:eastAsiaTheme="majorEastAsia"/>
          <w:u w:val="single"/>
        </w:rPr>
        <w:t xml:space="preserve"> = C * 25</w:t>
      </w:r>
      <w:r w:rsidRPr="00F22A05">
        <w:rPr>
          <w:rFonts w:eastAsiaTheme="majorEastAsia"/>
          <w:u w:val="single"/>
          <w:vertAlign w:val="superscript"/>
        </w:rPr>
        <w:t>n</w:t>
      </w:r>
      <w:proofErr w:type="gramStart"/>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‘C’ input in IP units]</w:t>
      </w:r>
      <w:r w:rsidR="00CC1716" w:rsidRPr="00F22A05">
        <w:rPr>
          <w:rFonts w:eastAsiaTheme="majorEastAsia"/>
          <w:i/>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12)</w:t>
      </w:r>
    </w:p>
    <w:p w14:paraId="3A94D03E" w14:textId="2AC8F143" w:rsidR="006E1DAC" w:rsidRPr="00F22A05" w:rsidRDefault="006E1DAC" w:rsidP="00CC1716">
      <w:pPr>
        <w:tabs>
          <w:tab w:val="right" w:pos="9180"/>
        </w:tabs>
        <w:ind w:left="720"/>
        <w:rPr>
          <w:rFonts w:eastAsiaTheme="majorEastAsia"/>
          <w:u w:val="single"/>
        </w:rPr>
      </w:pPr>
      <w:r w:rsidRPr="00F22A05">
        <w:rPr>
          <w:rFonts w:eastAsiaTheme="majorEastAsia"/>
          <w:u w:val="single"/>
        </w:rPr>
        <w:t>ach</w:t>
      </w:r>
      <w:r w:rsidRPr="00F22A05">
        <w:rPr>
          <w:rFonts w:eastAsiaTheme="majorEastAsia"/>
          <w:u w:val="single"/>
          <w:vertAlign w:val="subscript"/>
        </w:rPr>
        <w:t>50</w:t>
      </w:r>
      <w:r w:rsidRPr="00F22A05">
        <w:rPr>
          <w:rFonts w:eastAsiaTheme="majorEastAsia"/>
          <w:u w:val="single"/>
        </w:rPr>
        <w:t xml:space="preserve"> = (cfm</w:t>
      </w:r>
      <w:r w:rsidRPr="00F22A05">
        <w:rPr>
          <w:rFonts w:eastAsiaTheme="majorEastAsia"/>
          <w:u w:val="single"/>
          <w:vertAlign w:val="subscript"/>
        </w:rPr>
        <w:t>50</w:t>
      </w:r>
      <w:r w:rsidRPr="00F22A05">
        <w:rPr>
          <w:rFonts w:eastAsiaTheme="majorEastAsia"/>
          <w:u w:val="single"/>
        </w:rPr>
        <w:t xml:space="preserve"> * 60) / (CFA * Hf)</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13)</w:t>
      </w:r>
    </w:p>
    <w:p w14:paraId="7A05A8D2" w14:textId="3C00887F" w:rsidR="006E1DAC" w:rsidRPr="00F22A05" w:rsidRDefault="006E1DAC" w:rsidP="00CC1716">
      <w:pPr>
        <w:tabs>
          <w:tab w:val="right" w:pos="9180"/>
        </w:tabs>
        <w:ind w:left="720"/>
        <w:rPr>
          <w:rFonts w:eastAsiaTheme="majorEastAsia"/>
          <w:u w:val="single"/>
        </w:rPr>
      </w:pPr>
      <w:r w:rsidRPr="00F22A05">
        <w:rPr>
          <w:rFonts w:eastAsiaTheme="majorEastAsia"/>
          <w:u w:val="single"/>
        </w:rPr>
        <w:t>cfm</w:t>
      </w:r>
      <w:r w:rsidRPr="00F22A05">
        <w:rPr>
          <w:rFonts w:eastAsiaTheme="majorEastAsia"/>
          <w:u w:val="single"/>
          <w:vertAlign w:val="subscript"/>
        </w:rPr>
        <w:t>50</w:t>
      </w:r>
      <w:r w:rsidRPr="00F22A05">
        <w:rPr>
          <w:rFonts w:eastAsiaTheme="majorEastAsia"/>
          <w:u w:val="single"/>
        </w:rPr>
        <w:t xml:space="preserve"> = CFA * Hf * ach</w:t>
      </w:r>
      <w:r w:rsidRPr="00F22A05">
        <w:rPr>
          <w:rFonts w:eastAsiaTheme="majorEastAsia"/>
          <w:u w:val="single"/>
          <w:vertAlign w:val="subscript"/>
        </w:rPr>
        <w:t>50</w:t>
      </w:r>
      <w:r w:rsidRPr="00F22A05">
        <w:rPr>
          <w:rFonts w:eastAsiaTheme="majorEastAsia"/>
          <w:u w:val="single"/>
        </w:rPr>
        <w:t xml:space="preserve"> / 60</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14)</w:t>
      </w:r>
    </w:p>
    <w:p w14:paraId="462A7960" w14:textId="361F9052" w:rsidR="006E1DAC" w:rsidRPr="00F22A05" w:rsidRDefault="006E1DAC" w:rsidP="00CC1716">
      <w:pPr>
        <w:tabs>
          <w:tab w:val="right" w:pos="9180"/>
        </w:tabs>
        <w:ind w:left="720"/>
        <w:rPr>
          <w:rFonts w:eastAsiaTheme="majorEastAsia"/>
          <w:u w:val="single"/>
        </w:rPr>
      </w:pPr>
      <w:r w:rsidRPr="00F22A05">
        <w:rPr>
          <w:rFonts w:eastAsiaTheme="majorEastAsia"/>
          <w:u w:val="single"/>
        </w:rPr>
        <w:t>ach</w:t>
      </w:r>
      <w:r w:rsidRPr="00F22A05">
        <w:rPr>
          <w:rFonts w:eastAsiaTheme="majorEastAsia"/>
          <w:u w:val="single"/>
          <w:vertAlign w:val="subscript"/>
        </w:rPr>
        <w:t>50</w:t>
      </w:r>
      <w:r w:rsidRPr="00F22A05">
        <w:rPr>
          <w:rFonts w:eastAsiaTheme="majorEastAsia"/>
          <w:u w:val="single"/>
        </w:rPr>
        <w:t xml:space="preserve"> = SLA / (0.283316 * 4</w:t>
      </w:r>
      <w:r w:rsidRPr="00F22A05">
        <w:rPr>
          <w:rFonts w:eastAsiaTheme="majorEastAsia"/>
          <w:u w:val="single"/>
          <w:vertAlign w:val="superscript"/>
        </w:rPr>
        <w:t>n</w:t>
      </w:r>
      <w:r w:rsidRPr="00F22A05">
        <w:rPr>
          <w:rFonts w:eastAsiaTheme="majorEastAsia"/>
          <w:u w:val="single"/>
        </w:rPr>
        <w:t>) * (50</w:t>
      </w:r>
      <w:r w:rsidRPr="00F22A05">
        <w:rPr>
          <w:rFonts w:eastAsiaTheme="majorEastAsia"/>
          <w:u w:val="single"/>
          <w:vertAlign w:val="superscript"/>
        </w:rPr>
        <w:t>n</w:t>
      </w:r>
      <w:r w:rsidRPr="00F22A05">
        <w:rPr>
          <w:rFonts w:eastAsiaTheme="majorEastAsia"/>
          <w:u w:val="single"/>
        </w:rPr>
        <w:t xml:space="preserve"> * 60 * 144 / Hf)</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15)</w:t>
      </w:r>
    </w:p>
    <w:p w14:paraId="667F1FBB" w14:textId="225BB2A8" w:rsidR="006E1DAC" w:rsidRPr="00F22A05" w:rsidRDefault="006E1DAC" w:rsidP="00CC1716">
      <w:pPr>
        <w:tabs>
          <w:tab w:val="right" w:pos="9180"/>
        </w:tabs>
        <w:ind w:left="720"/>
        <w:rPr>
          <w:rFonts w:eastAsiaTheme="majorEastAsia"/>
          <w:u w:val="single"/>
        </w:rPr>
      </w:pPr>
      <w:r w:rsidRPr="00F22A05">
        <w:rPr>
          <w:rFonts w:eastAsiaTheme="majorEastAsia"/>
          <w:u w:val="single"/>
        </w:rPr>
        <w:t>SLA = ach</w:t>
      </w:r>
      <w:r w:rsidRPr="00F22A05">
        <w:rPr>
          <w:rFonts w:eastAsiaTheme="majorEastAsia"/>
          <w:u w:val="single"/>
          <w:vertAlign w:val="subscript"/>
        </w:rPr>
        <w:t>50</w:t>
      </w:r>
      <w:r w:rsidRPr="00F22A05">
        <w:rPr>
          <w:rFonts w:eastAsiaTheme="majorEastAsia"/>
          <w:u w:val="single"/>
        </w:rPr>
        <w:t xml:space="preserve"> * (0.283316 * 4</w:t>
      </w:r>
      <w:r w:rsidRPr="00F22A05">
        <w:rPr>
          <w:rFonts w:eastAsiaTheme="majorEastAsia"/>
          <w:u w:val="single"/>
          <w:vertAlign w:val="superscript"/>
        </w:rPr>
        <w:t>n</w:t>
      </w:r>
      <w:r w:rsidRPr="00F22A05">
        <w:rPr>
          <w:rFonts w:eastAsiaTheme="majorEastAsia"/>
          <w:u w:val="single"/>
        </w:rPr>
        <w:t>) / (50</w:t>
      </w:r>
      <w:r w:rsidRPr="00F22A05">
        <w:rPr>
          <w:rFonts w:eastAsiaTheme="majorEastAsia"/>
          <w:u w:val="single"/>
          <w:vertAlign w:val="superscript"/>
        </w:rPr>
        <w:t>n</w:t>
      </w:r>
      <w:r w:rsidRPr="00F22A05">
        <w:rPr>
          <w:rFonts w:eastAsiaTheme="majorEastAsia"/>
          <w:u w:val="single"/>
        </w:rPr>
        <w:t xml:space="preserve"> * 60 * 144 / Hf)</w:t>
      </w:r>
      <w:r w:rsidR="00CC1716" w:rsidRPr="00F22A05">
        <w:rPr>
          <w:rFonts w:eastAsiaTheme="majorEastAsia"/>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16)</w:t>
      </w:r>
    </w:p>
    <w:p w14:paraId="35F12A31" w14:textId="2BF0187D" w:rsidR="006E1DAC" w:rsidRPr="00F22A05" w:rsidRDefault="006E1DAC" w:rsidP="00CC1716">
      <w:pPr>
        <w:tabs>
          <w:tab w:val="right" w:pos="9180"/>
        </w:tabs>
        <w:ind w:left="720"/>
        <w:rPr>
          <w:rFonts w:eastAsiaTheme="majorEastAsia"/>
          <w:u w:val="single"/>
        </w:rPr>
      </w:pPr>
      <w:r w:rsidRPr="00F22A05">
        <w:rPr>
          <w:rFonts w:eastAsiaTheme="majorEastAsia"/>
          <w:u w:val="single"/>
        </w:rPr>
        <w:t>ach</w:t>
      </w:r>
      <w:r w:rsidRPr="00F22A05">
        <w:rPr>
          <w:rFonts w:eastAsiaTheme="majorEastAsia"/>
          <w:u w:val="single"/>
          <w:vertAlign w:val="subscript"/>
        </w:rPr>
        <w:t>50</w:t>
      </w:r>
      <w:r w:rsidRPr="00F22A05">
        <w:rPr>
          <w:rFonts w:eastAsiaTheme="majorEastAsia"/>
          <w:u w:val="single"/>
        </w:rPr>
        <w:t xml:space="preserve"> = SLA * </w:t>
      </w:r>
      <w:r w:rsidR="005560B0" w:rsidRPr="00F22A05">
        <w:rPr>
          <w:rFonts w:eastAsiaTheme="majorEastAsia"/>
          <w:u w:val="single"/>
        </w:rPr>
        <w:t>19200</w:t>
      </w:r>
      <w:r w:rsidRPr="00F22A05">
        <w:rPr>
          <w:rFonts w:eastAsiaTheme="majorEastAsia"/>
          <w:u w:val="single"/>
        </w:rPr>
        <w:t xml:space="preserve"> </w:t>
      </w:r>
      <w:proofErr w:type="gramStart"/>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for Hf =</w:t>
      </w:r>
      <w:proofErr w:type="spellStart"/>
      <w:r w:rsidRPr="00F22A05">
        <w:rPr>
          <w:rFonts w:eastAsiaTheme="majorEastAsia"/>
          <w:i/>
          <w:iCs/>
          <w:u w:val="single"/>
        </w:rPr>
        <w:t>Hr</w:t>
      </w:r>
      <w:proofErr w:type="spellEnd"/>
      <w:r w:rsidRPr="00F22A05">
        <w:rPr>
          <w:rFonts w:eastAsiaTheme="majorEastAsia"/>
          <w:i/>
          <w:iCs/>
          <w:u w:val="single"/>
        </w:rPr>
        <w:t xml:space="preserve"> and n = 0.65]</w:t>
      </w:r>
      <w:r w:rsidR="00CC1716" w:rsidRPr="00F22A05">
        <w:rPr>
          <w:rFonts w:eastAsiaTheme="majorEastAsia"/>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17)</w:t>
      </w:r>
    </w:p>
    <w:p w14:paraId="7FEC6ACB" w14:textId="7BA34618" w:rsidR="006E1DAC" w:rsidRPr="00F22A05" w:rsidRDefault="006E1DAC" w:rsidP="00CC1716">
      <w:pPr>
        <w:tabs>
          <w:tab w:val="right" w:pos="9180"/>
        </w:tabs>
        <w:ind w:left="720"/>
        <w:rPr>
          <w:rFonts w:eastAsiaTheme="majorEastAsia"/>
          <w:u w:val="single"/>
        </w:rPr>
      </w:pPr>
      <w:r w:rsidRPr="00F22A05">
        <w:rPr>
          <w:rFonts w:eastAsiaTheme="majorEastAsia"/>
          <w:u w:val="single"/>
        </w:rPr>
        <w:t>SLA = ach</w:t>
      </w:r>
      <w:r w:rsidRPr="00F22A05">
        <w:rPr>
          <w:rFonts w:eastAsiaTheme="majorEastAsia"/>
          <w:u w:val="single"/>
          <w:vertAlign w:val="subscript"/>
        </w:rPr>
        <w:t>50</w:t>
      </w:r>
      <w:r w:rsidRPr="00F22A05">
        <w:rPr>
          <w:rFonts w:eastAsiaTheme="majorEastAsia"/>
          <w:u w:val="single"/>
        </w:rPr>
        <w:t xml:space="preserve"> / </w:t>
      </w:r>
      <w:r w:rsidR="005560B0" w:rsidRPr="00F22A05">
        <w:rPr>
          <w:rFonts w:eastAsiaTheme="majorEastAsia"/>
          <w:u w:val="single"/>
        </w:rPr>
        <w:t xml:space="preserve">19200 </w:t>
      </w:r>
      <w:proofErr w:type="gramStart"/>
      <w:r w:rsidR="005560B0"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for Hf =</w:t>
      </w:r>
      <w:proofErr w:type="spellStart"/>
      <w:r w:rsidRPr="00F22A05">
        <w:rPr>
          <w:rFonts w:eastAsiaTheme="majorEastAsia"/>
          <w:i/>
          <w:iCs/>
          <w:u w:val="single"/>
        </w:rPr>
        <w:t>Hr</w:t>
      </w:r>
      <w:proofErr w:type="spellEnd"/>
      <w:r w:rsidRPr="00F22A05">
        <w:rPr>
          <w:rFonts w:eastAsiaTheme="majorEastAsia"/>
          <w:i/>
          <w:iCs/>
          <w:u w:val="single"/>
        </w:rPr>
        <w:t xml:space="preserve"> and n = 0.65]</w:t>
      </w:r>
      <w:r w:rsidR="00CC1716" w:rsidRPr="00F22A05">
        <w:rPr>
          <w:rFonts w:eastAsiaTheme="majorEastAsia"/>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18)</w:t>
      </w:r>
    </w:p>
    <w:p w14:paraId="7C2A5927" w14:textId="4D653712" w:rsidR="006D7088" w:rsidRPr="00F22A05" w:rsidRDefault="006E1DAC" w:rsidP="00CC1716">
      <w:pPr>
        <w:tabs>
          <w:tab w:val="right" w:pos="9180"/>
        </w:tabs>
        <w:ind w:left="720"/>
        <w:rPr>
          <w:rFonts w:eastAsiaTheme="majorEastAsia"/>
          <w:u w:val="single"/>
        </w:rPr>
      </w:pPr>
      <w:r w:rsidRPr="00F22A05">
        <w:rPr>
          <w:rFonts w:eastAsiaTheme="majorEastAsia"/>
          <w:u w:val="single"/>
        </w:rPr>
        <w:t>ELA = 0.054863 * cfm</w:t>
      </w:r>
      <w:r w:rsidRPr="00F22A05">
        <w:rPr>
          <w:rFonts w:eastAsiaTheme="majorEastAsia"/>
          <w:u w:val="single"/>
          <w:vertAlign w:val="subscript"/>
        </w:rPr>
        <w:t>50</w:t>
      </w:r>
      <w:r w:rsidRPr="00F22A05">
        <w:rPr>
          <w:rFonts w:eastAsiaTheme="majorEastAsia"/>
          <w:u w:val="single"/>
        </w:rPr>
        <w:t xml:space="preserve">      </w:t>
      </w:r>
      <w:proofErr w:type="gramStart"/>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for n = 0.65]</w:t>
      </w:r>
      <w:r w:rsidR="005560B0" w:rsidRPr="00F22A05">
        <w:rPr>
          <w:rFonts w:eastAsiaTheme="majorEastAsia"/>
          <w:i/>
          <w:iCs/>
          <w:u w:val="single"/>
        </w:rPr>
        <w:tab/>
      </w:r>
      <w:r w:rsidRPr="00F22A05">
        <w:rPr>
          <w:rFonts w:eastAsiaTheme="majorEastAsia"/>
          <w:u w:val="single"/>
        </w:rPr>
        <w:t>(</w:t>
      </w:r>
      <w:r w:rsidR="00E6400F" w:rsidRPr="00F22A05">
        <w:rPr>
          <w:rFonts w:eastAsiaTheme="majorEastAsia"/>
          <w:u w:val="single"/>
        </w:rPr>
        <w:t xml:space="preserve">Eq. </w:t>
      </w:r>
      <w:r w:rsidRPr="00F22A05">
        <w:rPr>
          <w:rFonts w:eastAsiaTheme="majorEastAsia"/>
          <w:u w:val="single"/>
        </w:rPr>
        <w:t>19)</w:t>
      </w:r>
    </w:p>
    <w:p w14:paraId="71F6ABB5" w14:textId="23C927AB" w:rsidR="005560B0" w:rsidRPr="00F22A05" w:rsidRDefault="005560B0" w:rsidP="00CC1716">
      <w:pPr>
        <w:tabs>
          <w:tab w:val="right" w:pos="9180"/>
        </w:tabs>
        <w:ind w:left="720"/>
        <w:rPr>
          <w:rFonts w:eastAsiaTheme="majorEastAsia"/>
          <w:u w:val="single"/>
        </w:rPr>
      </w:pPr>
      <w:r w:rsidRPr="00F22A05">
        <w:rPr>
          <w:rFonts w:eastAsiaTheme="majorEastAsia"/>
          <w:u w:val="single"/>
        </w:rPr>
        <w:t>ach</w:t>
      </w:r>
      <w:r w:rsidRPr="00F22A05">
        <w:rPr>
          <w:rFonts w:eastAsiaTheme="majorEastAsia"/>
          <w:u w:val="single"/>
          <w:vertAlign w:val="subscript"/>
        </w:rPr>
        <w:t>50</w:t>
      </w:r>
      <w:r w:rsidRPr="00F22A05">
        <w:rPr>
          <w:rFonts w:eastAsiaTheme="majorEastAsia"/>
          <w:u w:val="single"/>
        </w:rPr>
        <w:t xml:space="preserve"> = 19.2 * ach</w:t>
      </w:r>
      <w:r w:rsidRPr="00F22A05">
        <w:rPr>
          <w:rFonts w:eastAsiaTheme="majorEastAsia"/>
          <w:u w:val="single"/>
          <w:vertAlign w:val="subscript"/>
        </w:rPr>
        <w:t>4</w:t>
      </w:r>
      <w:r w:rsidRPr="00F22A05">
        <w:rPr>
          <w:rFonts w:eastAsiaTheme="majorEastAsia"/>
          <w:u w:val="single"/>
        </w:rPr>
        <w:t xml:space="preserve"> / (</w:t>
      </w:r>
      <w:proofErr w:type="spellStart"/>
      <w:r w:rsidRPr="00F22A05">
        <w:rPr>
          <w:rFonts w:eastAsiaTheme="majorEastAsia"/>
          <w:u w:val="single"/>
        </w:rPr>
        <w:t>wsf</w:t>
      </w:r>
      <w:proofErr w:type="spellEnd"/>
      <w:r w:rsidRPr="00F22A05">
        <w:rPr>
          <w:rFonts w:eastAsiaTheme="majorEastAsia"/>
          <w:u w:val="single"/>
        </w:rPr>
        <w:t xml:space="preserve"> * (H/</w:t>
      </w:r>
      <w:proofErr w:type="spellStart"/>
      <w:r w:rsidRPr="00F22A05">
        <w:rPr>
          <w:rFonts w:eastAsiaTheme="majorEastAsia"/>
          <w:u w:val="single"/>
        </w:rPr>
        <w:t>Hr</w:t>
      </w:r>
      <w:proofErr w:type="spellEnd"/>
      <w:r w:rsidRPr="00F22A05">
        <w:rPr>
          <w:rFonts w:eastAsiaTheme="majorEastAsia"/>
          <w:u w:val="single"/>
        </w:rPr>
        <w:t>)</w:t>
      </w:r>
      <w:r w:rsidRPr="00F22A05">
        <w:rPr>
          <w:rFonts w:eastAsiaTheme="majorEastAsia"/>
          <w:u w:val="single"/>
          <w:vertAlign w:val="superscript"/>
        </w:rPr>
        <w:t>0.4</w:t>
      </w:r>
      <w:r w:rsidRPr="00F22A05">
        <w:rPr>
          <w:rFonts w:eastAsiaTheme="majorEastAsia"/>
          <w:u w:val="single"/>
        </w:rPr>
        <w:t xml:space="preserve">) </w:t>
      </w:r>
      <w:r w:rsidRPr="00F22A05">
        <w:rPr>
          <w:rFonts w:eastAsiaTheme="majorEastAsia"/>
          <w:i/>
          <w:iCs/>
          <w:u w:val="single"/>
        </w:rPr>
        <w:t>[for n = 0.65]</w:t>
      </w:r>
      <w:r w:rsidRPr="00F22A05">
        <w:rPr>
          <w:rFonts w:eastAsiaTheme="majorEastAsia"/>
          <w:i/>
          <w:iCs/>
          <w:u w:val="single"/>
        </w:rPr>
        <w:tab/>
      </w:r>
      <w:r w:rsidRPr="00F22A05">
        <w:rPr>
          <w:rFonts w:eastAsiaTheme="majorEastAsia"/>
          <w:u w:val="single"/>
        </w:rPr>
        <w:t>(</w:t>
      </w:r>
      <w:r w:rsidR="00CC1716" w:rsidRPr="00F22A05">
        <w:rPr>
          <w:rFonts w:eastAsiaTheme="majorEastAsia"/>
          <w:u w:val="single"/>
        </w:rPr>
        <w:t xml:space="preserve">Eq. </w:t>
      </w:r>
      <w:r w:rsidRPr="00F22A05">
        <w:rPr>
          <w:rFonts w:eastAsiaTheme="majorEastAsia"/>
          <w:u w:val="single"/>
        </w:rPr>
        <w:t>20)</w:t>
      </w:r>
    </w:p>
    <w:p w14:paraId="56BCFF65" w14:textId="66ACC9D0" w:rsidR="00E6400F" w:rsidRPr="00F22A05" w:rsidRDefault="00E6400F" w:rsidP="00E6400F">
      <w:pPr>
        <w:tabs>
          <w:tab w:val="right" w:pos="9180"/>
        </w:tabs>
        <w:ind w:left="720"/>
        <w:rPr>
          <w:rFonts w:eastAsiaTheme="majorEastAsia"/>
          <w:u w:val="single"/>
        </w:rPr>
      </w:pPr>
      <w:r w:rsidRPr="00F22A05">
        <w:rPr>
          <w:rFonts w:eastAsiaTheme="majorEastAsia"/>
          <w:u w:val="single"/>
        </w:rPr>
        <w:t>NL = ach</w:t>
      </w:r>
      <w:r w:rsidR="00CC1716" w:rsidRPr="00F22A05">
        <w:rPr>
          <w:rFonts w:eastAsiaTheme="majorEastAsia"/>
          <w:u w:val="single"/>
          <w:vertAlign w:val="subscript"/>
        </w:rPr>
        <w:t>4</w:t>
      </w:r>
      <w:r w:rsidRPr="00F22A05">
        <w:rPr>
          <w:rFonts w:eastAsiaTheme="majorEastAsia"/>
          <w:u w:val="single"/>
        </w:rPr>
        <w:t xml:space="preserve"> * (Hf/</w:t>
      </w:r>
      <w:proofErr w:type="spellStart"/>
      <w:r w:rsidRPr="00F22A05">
        <w:rPr>
          <w:rFonts w:eastAsiaTheme="majorEastAsia"/>
          <w:u w:val="single"/>
        </w:rPr>
        <w:t>Hr</w:t>
      </w:r>
      <w:proofErr w:type="spellEnd"/>
      <w:r w:rsidRPr="00F22A05">
        <w:rPr>
          <w:rFonts w:eastAsiaTheme="majorEastAsia"/>
          <w:u w:val="single"/>
        </w:rPr>
        <w:t xml:space="preserve">) / </w:t>
      </w:r>
      <w:proofErr w:type="spellStart"/>
      <w:r w:rsidRPr="00F22A05">
        <w:rPr>
          <w:rFonts w:eastAsiaTheme="majorEastAsia"/>
          <w:u w:val="single"/>
        </w:rPr>
        <w:t>wsf</w:t>
      </w:r>
      <w:proofErr w:type="spellEnd"/>
      <w:proofErr w:type="gramStart"/>
      <w:r w:rsidRPr="00F22A05">
        <w:rPr>
          <w:rFonts w:eastAsiaTheme="majorEastAsia"/>
          <w:u w:val="single"/>
        </w:rPr>
        <w:t xml:space="preserve">   </w:t>
      </w:r>
      <w:r w:rsidRPr="00F22A05">
        <w:rPr>
          <w:rFonts w:eastAsiaTheme="majorEastAsia"/>
          <w:i/>
          <w:iCs/>
          <w:u w:val="single"/>
        </w:rPr>
        <w:t>[</w:t>
      </w:r>
      <w:proofErr w:type="gramEnd"/>
      <w:r w:rsidRPr="00F22A05">
        <w:rPr>
          <w:rFonts w:eastAsiaTheme="majorEastAsia"/>
          <w:i/>
          <w:iCs/>
          <w:u w:val="single"/>
        </w:rPr>
        <w:t>for n = 0.65]</w:t>
      </w:r>
      <w:r w:rsidRPr="00F22A05">
        <w:rPr>
          <w:rFonts w:eastAsiaTheme="majorEastAsia"/>
          <w:u w:val="single"/>
        </w:rPr>
        <w:tab/>
        <w:t>(Eq. 21)</w:t>
      </w:r>
    </w:p>
    <w:p w14:paraId="4625CB07" w14:textId="1F2624A9" w:rsidR="005560B0" w:rsidRPr="00F22A05" w:rsidRDefault="005560B0" w:rsidP="00DB2B80">
      <w:pPr>
        <w:ind w:left="720"/>
        <w:rPr>
          <w:rFonts w:eastAsiaTheme="majorEastAsia"/>
          <w:u w:val="single"/>
        </w:rPr>
      </w:pPr>
    </w:p>
    <w:p w14:paraId="3D69AE99" w14:textId="77777777" w:rsidR="00560C96" w:rsidRPr="00F22A05" w:rsidRDefault="00560C96" w:rsidP="00581A21">
      <w:pPr>
        <w:pStyle w:val="AppendixC2"/>
        <w:numPr>
          <w:ilvl w:val="0"/>
          <w:numId w:val="0"/>
        </w:numPr>
        <w:ind w:left="360" w:hanging="360"/>
        <w:rPr>
          <w:rFonts w:eastAsiaTheme="majorEastAsia"/>
          <w:u w:val="single"/>
        </w:rPr>
      </w:pPr>
    </w:p>
    <w:p w14:paraId="33B0B7E1" w14:textId="31597078" w:rsidR="00531E79" w:rsidRPr="00F22A05" w:rsidRDefault="00531E79" w:rsidP="00581A21">
      <w:pPr>
        <w:pStyle w:val="AppendixC2"/>
        <w:numPr>
          <w:ilvl w:val="0"/>
          <w:numId w:val="0"/>
        </w:numPr>
        <w:ind w:left="630"/>
        <w:rPr>
          <w:rFonts w:eastAsiaTheme="majorEastAsia"/>
          <w:b w:val="0"/>
          <w:bCs/>
          <w:u w:val="single"/>
        </w:rPr>
      </w:pPr>
    </w:p>
    <w:p w14:paraId="5440CD08" w14:textId="7C4FB320" w:rsidR="00EB3255" w:rsidRPr="00F22A05" w:rsidRDefault="00C06E1E" w:rsidP="00EB3255">
      <w:pPr>
        <w:pStyle w:val="AppendixC2"/>
        <w:rPr>
          <w:rFonts w:eastAsiaTheme="majorEastAsia"/>
          <w:u w:val="single"/>
        </w:rPr>
      </w:pPr>
      <w:r w:rsidRPr="00F22A05">
        <w:rPr>
          <w:rFonts w:eastAsiaTheme="majorEastAsia"/>
          <w:u w:val="single"/>
        </w:rPr>
        <w:t>Load Profile Schedules</w:t>
      </w:r>
      <w:r w:rsidR="00EB3255" w:rsidRPr="00F22A05">
        <w:rPr>
          <w:rFonts w:eastAsiaTheme="majorEastAsia"/>
          <w:u w:val="single"/>
        </w:rPr>
        <w:t>.</w:t>
      </w:r>
    </w:p>
    <w:p w14:paraId="0B01D9E2" w14:textId="31D63E76" w:rsidR="00295C3E" w:rsidRPr="00F22A05" w:rsidRDefault="006A4118" w:rsidP="00581A21">
      <w:pPr>
        <w:ind w:left="630"/>
        <w:rPr>
          <w:rFonts w:eastAsiaTheme="majorEastAsia"/>
          <w:u w:val="single"/>
        </w:rPr>
      </w:pPr>
      <w:r w:rsidRPr="00F22A05">
        <w:rPr>
          <w:rFonts w:eastAsiaTheme="majorEastAsia"/>
          <w:u w:val="single"/>
        </w:rPr>
        <w:t xml:space="preserve">Schedules for </w:t>
      </w:r>
      <w:r w:rsidR="00BD649F" w:rsidRPr="00F22A05">
        <w:rPr>
          <w:rFonts w:eastAsiaTheme="majorEastAsia"/>
          <w:u w:val="single"/>
        </w:rPr>
        <w:t>Internal Gains, appliances, lighting, and other e</w:t>
      </w:r>
      <w:r w:rsidRPr="00F22A05">
        <w:rPr>
          <w:rFonts w:eastAsiaTheme="majorEastAsia"/>
          <w:u w:val="single"/>
        </w:rPr>
        <w:t>q</w:t>
      </w:r>
      <w:r w:rsidR="00BD649F" w:rsidRPr="00F22A05">
        <w:rPr>
          <w:rFonts w:eastAsiaTheme="majorEastAsia"/>
          <w:u w:val="single"/>
        </w:rPr>
        <w:t>uipment (as specified</w:t>
      </w:r>
      <w:r w:rsidRPr="00F22A05">
        <w:rPr>
          <w:rFonts w:eastAsiaTheme="majorEastAsia"/>
          <w:u w:val="single"/>
        </w:rPr>
        <w:t xml:space="preserve"> </w:t>
      </w:r>
      <w:r w:rsidR="009D38C8" w:rsidRPr="00F22A05">
        <w:rPr>
          <w:rFonts w:eastAsiaTheme="majorEastAsia"/>
          <w:u w:val="single"/>
        </w:rPr>
        <w:t>by</w:t>
      </w:r>
      <w:r w:rsidRPr="00F22A05">
        <w:rPr>
          <w:rFonts w:eastAsiaTheme="majorEastAsia"/>
          <w:u w:val="single"/>
        </w:rPr>
        <w:t xml:space="preserve"> this standard</w:t>
      </w:r>
      <w:r w:rsidR="00BD649F" w:rsidRPr="00F22A05">
        <w:rPr>
          <w:rFonts w:eastAsiaTheme="majorEastAsia"/>
          <w:u w:val="single"/>
        </w:rPr>
        <w:t>)</w:t>
      </w:r>
      <w:r w:rsidR="006D3267" w:rsidRPr="00F22A05">
        <w:rPr>
          <w:rFonts w:eastAsiaTheme="majorEastAsia"/>
          <w:u w:val="single"/>
        </w:rPr>
        <w:t xml:space="preserve"> </w:t>
      </w:r>
      <w:r w:rsidR="0011386D" w:rsidRPr="00F22A05">
        <w:rPr>
          <w:rFonts w:eastAsiaTheme="majorEastAsia"/>
          <w:u w:val="single"/>
        </w:rPr>
        <w:t xml:space="preserve">shall </w:t>
      </w:r>
      <w:r w:rsidR="00DA5554" w:rsidRPr="00F22A05">
        <w:rPr>
          <w:rFonts w:eastAsiaTheme="majorEastAsia"/>
          <w:u w:val="single"/>
        </w:rPr>
        <w:t>vary according</w:t>
      </w:r>
      <w:r w:rsidR="0011386D" w:rsidRPr="00F22A05">
        <w:rPr>
          <w:rFonts w:eastAsiaTheme="majorEastAsia"/>
          <w:u w:val="single"/>
        </w:rPr>
        <w:t xml:space="preserve"> to the </w:t>
      </w:r>
      <w:r w:rsidR="0091689A" w:rsidRPr="00F22A05">
        <w:rPr>
          <w:rFonts w:eastAsiaTheme="majorEastAsia"/>
          <w:u w:val="single"/>
        </w:rPr>
        <w:t>profiles</w:t>
      </w:r>
      <w:r w:rsidR="006D3267" w:rsidRPr="00F22A05">
        <w:rPr>
          <w:rFonts w:eastAsiaTheme="majorEastAsia"/>
          <w:u w:val="single"/>
        </w:rPr>
        <w:t xml:space="preserve"> specified in Table</w:t>
      </w:r>
      <w:r w:rsidR="001F286F" w:rsidRPr="00F22A05">
        <w:rPr>
          <w:rFonts w:eastAsiaTheme="majorEastAsia"/>
          <w:u w:val="single"/>
        </w:rPr>
        <w:t>s</w:t>
      </w:r>
      <w:r w:rsidR="006D3267" w:rsidRPr="00F22A05">
        <w:rPr>
          <w:rFonts w:eastAsiaTheme="majorEastAsia"/>
          <w:u w:val="single"/>
        </w:rPr>
        <w:t xml:space="preserve"> </w:t>
      </w:r>
      <w:r w:rsidR="000D4695" w:rsidRPr="00F22A05">
        <w:rPr>
          <w:rFonts w:eastAsiaTheme="majorEastAsia"/>
          <w:u w:val="single"/>
        </w:rPr>
        <w:t>C.3(1) – C.3(5)</w:t>
      </w:r>
      <w:r w:rsidR="006D3267" w:rsidRPr="00F22A05">
        <w:rPr>
          <w:rFonts w:eastAsiaTheme="majorEastAsia"/>
          <w:u w:val="single"/>
        </w:rPr>
        <w:t>.</w:t>
      </w:r>
      <w:r w:rsidR="005D04C8" w:rsidRPr="00F22A05">
        <w:rPr>
          <w:rFonts w:eastAsiaTheme="majorEastAsia"/>
          <w:u w:val="single"/>
        </w:rPr>
        <w:t xml:space="preserve"> </w:t>
      </w:r>
    </w:p>
    <w:p w14:paraId="19FEF02D" w14:textId="77777777" w:rsidR="0091689A" w:rsidRPr="00F22A05" w:rsidRDefault="0091689A" w:rsidP="0091689A">
      <w:pPr>
        <w:pStyle w:val="AppendixC2"/>
        <w:numPr>
          <w:ilvl w:val="0"/>
          <w:numId w:val="0"/>
        </w:numPr>
        <w:ind w:left="630"/>
        <w:rPr>
          <w:rFonts w:eastAsiaTheme="majorEastAsia"/>
          <w:b w:val="0"/>
          <w:bCs/>
          <w:u w:val="single"/>
        </w:rPr>
      </w:pPr>
    </w:p>
    <w:p w14:paraId="64509DA0" w14:textId="3418ADF4" w:rsidR="0091689A" w:rsidRPr="00F22A05" w:rsidRDefault="0091689A" w:rsidP="00581A21">
      <w:pPr>
        <w:keepNext/>
        <w:jc w:val="center"/>
        <w:rPr>
          <w:rStyle w:val="Heading3Char"/>
          <w:b w:val="0"/>
          <w:u w:val="single"/>
        </w:rPr>
      </w:pPr>
      <w:r w:rsidRPr="00F22A05">
        <w:rPr>
          <w:rStyle w:val="Heading3Char"/>
          <w:u w:val="single"/>
        </w:rPr>
        <w:lastRenderedPageBreak/>
        <w:t xml:space="preserve">Table </w:t>
      </w:r>
      <w:r w:rsidR="000D4695" w:rsidRPr="00F22A05">
        <w:rPr>
          <w:rStyle w:val="Heading3Char"/>
          <w:u w:val="single"/>
        </w:rPr>
        <w:t>C.3(1)</w:t>
      </w:r>
      <w:r w:rsidRPr="00F22A05">
        <w:rPr>
          <w:rStyle w:val="Heading3Char"/>
        </w:rPr>
        <w:t xml:space="preserve"> </w:t>
      </w:r>
      <w:r w:rsidR="00757846" w:rsidRPr="00F22A05">
        <w:rPr>
          <w:rStyle w:val="Heading3Char"/>
          <w:u w:val="single"/>
        </w:rPr>
        <w:t xml:space="preserve">Fraction of </w:t>
      </w:r>
      <w:r w:rsidR="000F7B9E" w:rsidRPr="00F22A05">
        <w:rPr>
          <w:rStyle w:val="Heading3Char"/>
          <w:u w:val="single"/>
        </w:rPr>
        <w:t>Daily End Use Profile Schedules</w:t>
      </w:r>
      <w:r w:rsidR="00260FEB" w:rsidRPr="00F22A05">
        <w:rPr>
          <w:rStyle w:val="Heading3Char"/>
          <w:u w:val="single"/>
        </w:rPr>
        <w:t xml:space="preserve"> for</w:t>
      </w:r>
      <w:r w:rsidR="00BE791C" w:rsidRPr="00F22A05">
        <w:rPr>
          <w:rStyle w:val="Heading3Char"/>
          <w:u w:val="single"/>
        </w:rPr>
        <w:t xml:space="preserve"> Appliances (except Refrigerators)</w:t>
      </w:r>
      <w:r w:rsidR="00260FEB" w:rsidRPr="00F22A05">
        <w:rPr>
          <w:rStyle w:val="Heading3Char"/>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0"/>
        <w:gridCol w:w="990"/>
        <w:gridCol w:w="1350"/>
        <w:gridCol w:w="1080"/>
        <w:gridCol w:w="1260"/>
        <w:gridCol w:w="1080"/>
      </w:tblGrid>
      <w:tr w:rsidR="00F22A05" w:rsidRPr="00F22A05" w14:paraId="5664B15E" w14:textId="630B10DC" w:rsidTr="00581A21">
        <w:trPr>
          <w:trHeight w:val="62"/>
          <w:tblHeader/>
          <w:jc w:val="center"/>
        </w:trPr>
        <w:tc>
          <w:tcPr>
            <w:tcW w:w="805" w:type="dxa"/>
          </w:tcPr>
          <w:p w14:paraId="03BBF492" w14:textId="4C9C1EE1" w:rsidR="001A0A31" w:rsidRPr="00F22A05" w:rsidRDefault="001A0A31" w:rsidP="001A0A31">
            <w:pPr>
              <w:rPr>
                <w:b/>
                <w:bCs/>
                <w:u w:val="single"/>
              </w:rPr>
            </w:pPr>
            <w:r w:rsidRPr="00F22A05">
              <w:rPr>
                <w:b/>
                <w:bCs/>
                <w:sz w:val="22"/>
                <w:szCs w:val="22"/>
                <w:u w:val="single"/>
              </w:rPr>
              <w:t>Hour of Day</w:t>
            </w:r>
          </w:p>
        </w:tc>
        <w:tc>
          <w:tcPr>
            <w:tcW w:w="1080" w:type="dxa"/>
          </w:tcPr>
          <w:p w14:paraId="5CA238AA" w14:textId="2DAF4D10" w:rsidR="001A0A31" w:rsidRPr="00F22A05" w:rsidRDefault="001A0A31" w:rsidP="00581A21">
            <w:pPr>
              <w:jc w:val="center"/>
              <w:rPr>
                <w:b/>
                <w:bCs/>
                <w:u w:val="single"/>
              </w:rPr>
            </w:pPr>
            <w:r w:rsidRPr="00F22A05">
              <w:rPr>
                <w:b/>
                <w:bCs/>
                <w:sz w:val="22"/>
                <w:szCs w:val="22"/>
                <w:u w:val="single"/>
              </w:rPr>
              <w:t>Clothes Washer</w:t>
            </w:r>
          </w:p>
        </w:tc>
        <w:tc>
          <w:tcPr>
            <w:tcW w:w="990" w:type="dxa"/>
          </w:tcPr>
          <w:p w14:paraId="4E41F7F8" w14:textId="6D67144A" w:rsidR="001A0A31" w:rsidRPr="00F22A05" w:rsidRDefault="001A0A31" w:rsidP="00581A21">
            <w:pPr>
              <w:jc w:val="center"/>
              <w:rPr>
                <w:b/>
                <w:bCs/>
                <w:sz w:val="22"/>
                <w:szCs w:val="22"/>
                <w:u w:val="single"/>
              </w:rPr>
            </w:pPr>
            <w:r w:rsidRPr="00F22A05">
              <w:rPr>
                <w:b/>
                <w:bCs/>
                <w:sz w:val="22"/>
                <w:szCs w:val="22"/>
                <w:u w:val="single"/>
              </w:rPr>
              <w:t>Clothes Dryer</w:t>
            </w:r>
          </w:p>
        </w:tc>
        <w:tc>
          <w:tcPr>
            <w:tcW w:w="1350" w:type="dxa"/>
          </w:tcPr>
          <w:p w14:paraId="39E4B6A2" w14:textId="7112B691" w:rsidR="001A0A31" w:rsidRPr="00F22A05" w:rsidRDefault="001A0A31" w:rsidP="00581A21">
            <w:pPr>
              <w:jc w:val="center"/>
              <w:rPr>
                <w:b/>
                <w:bCs/>
                <w:sz w:val="22"/>
                <w:szCs w:val="22"/>
                <w:u w:val="single"/>
              </w:rPr>
            </w:pPr>
            <w:r w:rsidRPr="00F22A05">
              <w:rPr>
                <w:b/>
                <w:bCs/>
                <w:sz w:val="22"/>
                <w:szCs w:val="22"/>
                <w:u w:val="single"/>
              </w:rPr>
              <w:t>Dishwasher</w:t>
            </w:r>
          </w:p>
        </w:tc>
        <w:tc>
          <w:tcPr>
            <w:tcW w:w="1080" w:type="dxa"/>
          </w:tcPr>
          <w:p w14:paraId="4BAE4424" w14:textId="77777777" w:rsidR="003A70EF" w:rsidRPr="00F22A05" w:rsidRDefault="003A70EF" w:rsidP="001A0A31">
            <w:pPr>
              <w:jc w:val="center"/>
              <w:rPr>
                <w:b/>
                <w:bCs/>
                <w:sz w:val="22"/>
                <w:szCs w:val="22"/>
                <w:u w:val="single"/>
              </w:rPr>
            </w:pPr>
            <w:r w:rsidRPr="00F22A05">
              <w:rPr>
                <w:b/>
                <w:bCs/>
                <w:sz w:val="22"/>
                <w:szCs w:val="22"/>
                <w:u w:val="single"/>
              </w:rPr>
              <w:t>Range/</w:t>
            </w:r>
          </w:p>
          <w:p w14:paraId="7C127A03" w14:textId="3C9F7091" w:rsidR="001A0A31" w:rsidRPr="00F22A05" w:rsidRDefault="003A70EF" w:rsidP="00581A21">
            <w:pPr>
              <w:jc w:val="center"/>
              <w:rPr>
                <w:b/>
                <w:bCs/>
                <w:sz w:val="22"/>
                <w:szCs w:val="22"/>
                <w:u w:val="single"/>
              </w:rPr>
            </w:pPr>
            <w:r w:rsidRPr="00F22A05">
              <w:rPr>
                <w:b/>
                <w:bCs/>
                <w:sz w:val="22"/>
                <w:szCs w:val="22"/>
                <w:u w:val="single"/>
              </w:rPr>
              <w:t>Oven</w:t>
            </w:r>
          </w:p>
        </w:tc>
        <w:tc>
          <w:tcPr>
            <w:tcW w:w="1260" w:type="dxa"/>
          </w:tcPr>
          <w:p w14:paraId="2F04DBB9" w14:textId="02DCBF4D" w:rsidR="001A0A31" w:rsidRPr="00F22A05" w:rsidRDefault="003A70EF" w:rsidP="00581A21">
            <w:pPr>
              <w:jc w:val="center"/>
              <w:rPr>
                <w:b/>
                <w:bCs/>
                <w:sz w:val="22"/>
                <w:szCs w:val="22"/>
                <w:u w:val="single"/>
              </w:rPr>
            </w:pPr>
            <w:r w:rsidRPr="00F22A05">
              <w:rPr>
                <w:b/>
                <w:bCs/>
                <w:sz w:val="22"/>
                <w:szCs w:val="22"/>
                <w:u w:val="single"/>
              </w:rPr>
              <w:t>Televisions</w:t>
            </w:r>
          </w:p>
        </w:tc>
        <w:tc>
          <w:tcPr>
            <w:tcW w:w="1080" w:type="dxa"/>
          </w:tcPr>
          <w:p w14:paraId="5CDB24F8" w14:textId="7EFF4309" w:rsidR="001A0A31" w:rsidRPr="00F22A05" w:rsidRDefault="001A0A31" w:rsidP="00581A21">
            <w:pPr>
              <w:jc w:val="center"/>
              <w:rPr>
                <w:b/>
                <w:bCs/>
                <w:sz w:val="22"/>
                <w:szCs w:val="22"/>
                <w:u w:val="single"/>
              </w:rPr>
            </w:pPr>
            <w:r w:rsidRPr="00F22A05">
              <w:rPr>
                <w:b/>
                <w:bCs/>
                <w:sz w:val="22"/>
                <w:szCs w:val="22"/>
                <w:u w:val="single"/>
              </w:rPr>
              <w:t>Misc. Electric Loads</w:t>
            </w:r>
          </w:p>
        </w:tc>
      </w:tr>
      <w:tr w:rsidR="00F22A05" w:rsidRPr="00F22A05" w14:paraId="45433D5A" w14:textId="5FD2290E" w:rsidTr="00581A21">
        <w:trPr>
          <w:tblHeader/>
          <w:jc w:val="center"/>
        </w:trPr>
        <w:tc>
          <w:tcPr>
            <w:tcW w:w="805" w:type="dxa"/>
          </w:tcPr>
          <w:p w14:paraId="6FF5344B" w14:textId="3A98AAAB" w:rsidR="001A0A31" w:rsidRPr="00F22A05" w:rsidRDefault="001A0A31" w:rsidP="001A0A31">
            <w:pPr>
              <w:rPr>
                <w:u w:val="single"/>
              </w:rPr>
            </w:pPr>
            <w:r w:rsidRPr="00F22A05">
              <w:rPr>
                <w:sz w:val="22"/>
                <w:szCs w:val="22"/>
                <w:u w:val="single"/>
              </w:rPr>
              <w:t>0-1</w:t>
            </w:r>
          </w:p>
        </w:tc>
        <w:tc>
          <w:tcPr>
            <w:tcW w:w="1080" w:type="dxa"/>
          </w:tcPr>
          <w:p w14:paraId="2CE41696" w14:textId="3CF9AD19" w:rsidR="001A0A31" w:rsidRPr="00F22A05" w:rsidRDefault="001A0A31" w:rsidP="00581A21">
            <w:pPr>
              <w:jc w:val="center"/>
              <w:rPr>
                <w:u w:val="single"/>
              </w:rPr>
            </w:pPr>
            <w:r w:rsidRPr="00F22A05">
              <w:rPr>
                <w:sz w:val="22"/>
                <w:szCs w:val="22"/>
                <w:u w:val="single"/>
              </w:rPr>
              <w:t>0.009</w:t>
            </w:r>
          </w:p>
        </w:tc>
        <w:tc>
          <w:tcPr>
            <w:tcW w:w="990" w:type="dxa"/>
          </w:tcPr>
          <w:p w14:paraId="7D22AA44" w14:textId="2E0DA1F8" w:rsidR="001A0A31" w:rsidRPr="00F22A05" w:rsidRDefault="001A0A31" w:rsidP="00581A21">
            <w:pPr>
              <w:jc w:val="center"/>
              <w:rPr>
                <w:sz w:val="22"/>
                <w:szCs w:val="22"/>
                <w:u w:val="single"/>
              </w:rPr>
            </w:pPr>
            <w:r w:rsidRPr="00F22A05">
              <w:rPr>
                <w:sz w:val="22"/>
                <w:szCs w:val="22"/>
                <w:u w:val="single"/>
              </w:rPr>
              <w:t>0.010</w:t>
            </w:r>
          </w:p>
        </w:tc>
        <w:tc>
          <w:tcPr>
            <w:tcW w:w="1350" w:type="dxa"/>
          </w:tcPr>
          <w:p w14:paraId="17A9D3C5" w14:textId="3E1C5C7E" w:rsidR="001A0A31" w:rsidRPr="00F22A05" w:rsidRDefault="001A0A31" w:rsidP="00581A21">
            <w:pPr>
              <w:jc w:val="center"/>
              <w:rPr>
                <w:sz w:val="22"/>
                <w:szCs w:val="22"/>
                <w:u w:val="single"/>
              </w:rPr>
            </w:pPr>
            <w:r w:rsidRPr="00F22A05">
              <w:rPr>
                <w:sz w:val="22"/>
                <w:szCs w:val="22"/>
                <w:u w:val="single"/>
              </w:rPr>
              <w:t>0.015</w:t>
            </w:r>
          </w:p>
        </w:tc>
        <w:tc>
          <w:tcPr>
            <w:tcW w:w="1080" w:type="dxa"/>
          </w:tcPr>
          <w:p w14:paraId="20DB459E" w14:textId="01337F84" w:rsidR="001A0A31" w:rsidRPr="00F22A05" w:rsidRDefault="001A0A31" w:rsidP="00581A21">
            <w:pPr>
              <w:jc w:val="center"/>
              <w:rPr>
                <w:sz w:val="22"/>
                <w:szCs w:val="22"/>
                <w:u w:val="single"/>
              </w:rPr>
            </w:pPr>
            <w:r w:rsidRPr="00F22A05">
              <w:rPr>
                <w:sz w:val="22"/>
                <w:szCs w:val="22"/>
                <w:u w:val="single"/>
              </w:rPr>
              <w:t>0.008</w:t>
            </w:r>
          </w:p>
        </w:tc>
        <w:tc>
          <w:tcPr>
            <w:tcW w:w="1260" w:type="dxa"/>
          </w:tcPr>
          <w:p w14:paraId="53602A4B" w14:textId="7FD94E12" w:rsidR="001A0A31" w:rsidRPr="00F22A05" w:rsidRDefault="001A0A31" w:rsidP="00581A21">
            <w:pPr>
              <w:jc w:val="center"/>
              <w:rPr>
                <w:sz w:val="22"/>
                <w:szCs w:val="22"/>
                <w:u w:val="single"/>
              </w:rPr>
            </w:pPr>
            <w:r w:rsidRPr="00F22A05">
              <w:rPr>
                <w:sz w:val="22"/>
                <w:szCs w:val="22"/>
                <w:u w:val="single"/>
              </w:rPr>
              <w:t>0.014</w:t>
            </w:r>
          </w:p>
        </w:tc>
        <w:tc>
          <w:tcPr>
            <w:tcW w:w="1080" w:type="dxa"/>
          </w:tcPr>
          <w:p w14:paraId="479A7127" w14:textId="4495F8A7" w:rsidR="001A0A31" w:rsidRPr="00F22A05" w:rsidRDefault="001A0A31" w:rsidP="00581A21">
            <w:pPr>
              <w:jc w:val="center"/>
              <w:rPr>
                <w:sz w:val="22"/>
                <w:szCs w:val="22"/>
                <w:u w:val="single"/>
              </w:rPr>
            </w:pPr>
            <w:r w:rsidRPr="00F22A05">
              <w:rPr>
                <w:u w:val="single"/>
              </w:rPr>
              <w:t>0.036</w:t>
            </w:r>
          </w:p>
        </w:tc>
      </w:tr>
      <w:tr w:rsidR="00F22A05" w:rsidRPr="00F22A05" w14:paraId="5E30697E" w14:textId="5987F455" w:rsidTr="00581A21">
        <w:trPr>
          <w:tblHeader/>
          <w:jc w:val="center"/>
        </w:trPr>
        <w:tc>
          <w:tcPr>
            <w:tcW w:w="805" w:type="dxa"/>
          </w:tcPr>
          <w:p w14:paraId="4310101A" w14:textId="32A0F1E3" w:rsidR="001A0A31" w:rsidRPr="00F22A05" w:rsidRDefault="001A0A31" w:rsidP="001A0A31">
            <w:pPr>
              <w:rPr>
                <w:u w:val="single"/>
              </w:rPr>
            </w:pPr>
            <w:r w:rsidRPr="00F22A05">
              <w:rPr>
                <w:sz w:val="22"/>
                <w:szCs w:val="22"/>
                <w:u w:val="single"/>
              </w:rPr>
              <w:t>1-2</w:t>
            </w:r>
          </w:p>
        </w:tc>
        <w:tc>
          <w:tcPr>
            <w:tcW w:w="1080" w:type="dxa"/>
          </w:tcPr>
          <w:p w14:paraId="5A468385" w14:textId="527FB3F2" w:rsidR="001A0A31" w:rsidRPr="00F22A05" w:rsidRDefault="001A0A31" w:rsidP="00581A21">
            <w:pPr>
              <w:jc w:val="center"/>
              <w:rPr>
                <w:u w:val="single"/>
              </w:rPr>
            </w:pPr>
            <w:r w:rsidRPr="00F22A05">
              <w:rPr>
                <w:sz w:val="22"/>
                <w:szCs w:val="22"/>
                <w:u w:val="single"/>
              </w:rPr>
              <w:t>0.007</w:t>
            </w:r>
          </w:p>
        </w:tc>
        <w:tc>
          <w:tcPr>
            <w:tcW w:w="990" w:type="dxa"/>
          </w:tcPr>
          <w:p w14:paraId="21EF2C54" w14:textId="6185E89A" w:rsidR="001A0A31" w:rsidRPr="00F22A05" w:rsidRDefault="001A0A31" w:rsidP="00581A21">
            <w:pPr>
              <w:jc w:val="center"/>
              <w:rPr>
                <w:sz w:val="22"/>
                <w:szCs w:val="22"/>
                <w:u w:val="single"/>
              </w:rPr>
            </w:pPr>
            <w:r w:rsidRPr="00F22A05">
              <w:rPr>
                <w:sz w:val="22"/>
                <w:szCs w:val="22"/>
                <w:u w:val="single"/>
              </w:rPr>
              <w:t>0.006</w:t>
            </w:r>
          </w:p>
        </w:tc>
        <w:tc>
          <w:tcPr>
            <w:tcW w:w="1350" w:type="dxa"/>
          </w:tcPr>
          <w:p w14:paraId="39D49850" w14:textId="54E4F9C4" w:rsidR="001A0A31" w:rsidRPr="00F22A05" w:rsidRDefault="001A0A31" w:rsidP="00581A21">
            <w:pPr>
              <w:jc w:val="center"/>
              <w:rPr>
                <w:sz w:val="22"/>
                <w:szCs w:val="22"/>
                <w:u w:val="single"/>
              </w:rPr>
            </w:pPr>
            <w:r w:rsidRPr="00F22A05">
              <w:rPr>
                <w:sz w:val="22"/>
                <w:szCs w:val="22"/>
                <w:u w:val="single"/>
              </w:rPr>
              <w:t>0.007</w:t>
            </w:r>
          </w:p>
        </w:tc>
        <w:tc>
          <w:tcPr>
            <w:tcW w:w="1080" w:type="dxa"/>
          </w:tcPr>
          <w:p w14:paraId="7C99D70E" w14:textId="3921460A" w:rsidR="001A0A31" w:rsidRPr="00F22A05" w:rsidRDefault="001A0A31" w:rsidP="00581A21">
            <w:pPr>
              <w:jc w:val="center"/>
              <w:rPr>
                <w:sz w:val="22"/>
                <w:szCs w:val="22"/>
                <w:u w:val="single"/>
              </w:rPr>
            </w:pPr>
            <w:r w:rsidRPr="00F22A05">
              <w:rPr>
                <w:sz w:val="22"/>
                <w:szCs w:val="22"/>
                <w:u w:val="single"/>
              </w:rPr>
              <w:t>0.008</w:t>
            </w:r>
          </w:p>
        </w:tc>
        <w:tc>
          <w:tcPr>
            <w:tcW w:w="1260" w:type="dxa"/>
          </w:tcPr>
          <w:p w14:paraId="4CD388B3" w14:textId="345995A6" w:rsidR="001A0A31" w:rsidRPr="00F22A05" w:rsidRDefault="001A0A31" w:rsidP="00581A21">
            <w:pPr>
              <w:jc w:val="center"/>
              <w:rPr>
                <w:sz w:val="22"/>
                <w:szCs w:val="22"/>
                <w:u w:val="single"/>
              </w:rPr>
            </w:pPr>
            <w:r w:rsidRPr="00F22A05">
              <w:rPr>
                <w:sz w:val="22"/>
                <w:szCs w:val="22"/>
                <w:u w:val="single"/>
              </w:rPr>
              <w:t>0.007</w:t>
            </w:r>
          </w:p>
        </w:tc>
        <w:tc>
          <w:tcPr>
            <w:tcW w:w="1080" w:type="dxa"/>
          </w:tcPr>
          <w:p w14:paraId="536E945F" w14:textId="7A5AE4DE" w:rsidR="001A0A31" w:rsidRPr="00F22A05" w:rsidRDefault="001A0A31" w:rsidP="00581A21">
            <w:pPr>
              <w:jc w:val="center"/>
              <w:rPr>
                <w:sz w:val="22"/>
                <w:szCs w:val="22"/>
                <w:u w:val="single"/>
              </w:rPr>
            </w:pPr>
            <w:r w:rsidRPr="00F22A05">
              <w:rPr>
                <w:u w:val="single"/>
              </w:rPr>
              <w:t>0.036</w:t>
            </w:r>
          </w:p>
        </w:tc>
      </w:tr>
      <w:tr w:rsidR="00F22A05" w:rsidRPr="00F22A05" w14:paraId="0FA4C69B" w14:textId="79500F89" w:rsidTr="00581A21">
        <w:trPr>
          <w:tblHeader/>
          <w:jc w:val="center"/>
        </w:trPr>
        <w:tc>
          <w:tcPr>
            <w:tcW w:w="805" w:type="dxa"/>
          </w:tcPr>
          <w:p w14:paraId="666A39D8" w14:textId="20A2B67F" w:rsidR="001A0A31" w:rsidRPr="00F22A05" w:rsidRDefault="001A0A31" w:rsidP="001A0A31">
            <w:pPr>
              <w:rPr>
                <w:u w:val="single"/>
              </w:rPr>
            </w:pPr>
            <w:r w:rsidRPr="00F22A05">
              <w:rPr>
                <w:sz w:val="22"/>
                <w:szCs w:val="22"/>
                <w:u w:val="single"/>
              </w:rPr>
              <w:t>2-3</w:t>
            </w:r>
          </w:p>
        </w:tc>
        <w:tc>
          <w:tcPr>
            <w:tcW w:w="1080" w:type="dxa"/>
          </w:tcPr>
          <w:p w14:paraId="1439FCD2" w14:textId="382FAF51" w:rsidR="001A0A31" w:rsidRPr="00F22A05" w:rsidRDefault="001A0A31" w:rsidP="00581A21">
            <w:pPr>
              <w:jc w:val="center"/>
              <w:rPr>
                <w:u w:val="single"/>
              </w:rPr>
            </w:pPr>
            <w:r w:rsidRPr="00F22A05">
              <w:rPr>
                <w:sz w:val="22"/>
                <w:szCs w:val="22"/>
                <w:u w:val="single"/>
              </w:rPr>
              <w:t>0.004</w:t>
            </w:r>
          </w:p>
        </w:tc>
        <w:tc>
          <w:tcPr>
            <w:tcW w:w="990" w:type="dxa"/>
          </w:tcPr>
          <w:p w14:paraId="492E469D" w14:textId="09E3C352" w:rsidR="001A0A31" w:rsidRPr="00F22A05" w:rsidRDefault="001A0A31" w:rsidP="00581A21">
            <w:pPr>
              <w:jc w:val="center"/>
              <w:rPr>
                <w:sz w:val="22"/>
                <w:szCs w:val="22"/>
                <w:u w:val="single"/>
              </w:rPr>
            </w:pPr>
            <w:r w:rsidRPr="00F22A05">
              <w:rPr>
                <w:sz w:val="22"/>
                <w:szCs w:val="22"/>
                <w:u w:val="single"/>
              </w:rPr>
              <w:t>0.004</w:t>
            </w:r>
          </w:p>
        </w:tc>
        <w:tc>
          <w:tcPr>
            <w:tcW w:w="1350" w:type="dxa"/>
          </w:tcPr>
          <w:p w14:paraId="325C8978" w14:textId="10DD225E" w:rsidR="001A0A31" w:rsidRPr="00F22A05" w:rsidRDefault="001A0A31" w:rsidP="00581A21">
            <w:pPr>
              <w:jc w:val="center"/>
              <w:rPr>
                <w:sz w:val="22"/>
                <w:szCs w:val="22"/>
                <w:u w:val="single"/>
              </w:rPr>
            </w:pPr>
            <w:r w:rsidRPr="00F22A05">
              <w:rPr>
                <w:sz w:val="22"/>
                <w:szCs w:val="22"/>
                <w:u w:val="single"/>
              </w:rPr>
              <w:t>0.005</w:t>
            </w:r>
          </w:p>
        </w:tc>
        <w:tc>
          <w:tcPr>
            <w:tcW w:w="1080" w:type="dxa"/>
          </w:tcPr>
          <w:p w14:paraId="0F9C50B9" w14:textId="4F384E37" w:rsidR="001A0A31" w:rsidRPr="00F22A05" w:rsidRDefault="001A0A31" w:rsidP="00581A21">
            <w:pPr>
              <w:jc w:val="center"/>
              <w:rPr>
                <w:sz w:val="22"/>
                <w:szCs w:val="22"/>
                <w:u w:val="single"/>
              </w:rPr>
            </w:pPr>
            <w:r w:rsidRPr="00F22A05">
              <w:rPr>
                <w:sz w:val="22"/>
                <w:szCs w:val="22"/>
                <w:u w:val="single"/>
              </w:rPr>
              <w:t>0.008</w:t>
            </w:r>
          </w:p>
        </w:tc>
        <w:tc>
          <w:tcPr>
            <w:tcW w:w="1260" w:type="dxa"/>
          </w:tcPr>
          <w:p w14:paraId="512E6010" w14:textId="0D357E7F" w:rsidR="001A0A31" w:rsidRPr="00F22A05" w:rsidRDefault="001A0A31" w:rsidP="00581A21">
            <w:pPr>
              <w:jc w:val="center"/>
              <w:rPr>
                <w:sz w:val="22"/>
                <w:szCs w:val="22"/>
                <w:u w:val="single"/>
              </w:rPr>
            </w:pPr>
            <w:r w:rsidRPr="00F22A05">
              <w:rPr>
                <w:sz w:val="22"/>
                <w:szCs w:val="22"/>
                <w:u w:val="single"/>
              </w:rPr>
              <w:t>0.004</w:t>
            </w:r>
          </w:p>
        </w:tc>
        <w:tc>
          <w:tcPr>
            <w:tcW w:w="1080" w:type="dxa"/>
          </w:tcPr>
          <w:p w14:paraId="3D874E91" w14:textId="08B2C9E3" w:rsidR="001A0A31" w:rsidRPr="00F22A05" w:rsidRDefault="001A0A31" w:rsidP="00581A21">
            <w:pPr>
              <w:jc w:val="center"/>
              <w:rPr>
                <w:sz w:val="22"/>
                <w:szCs w:val="22"/>
                <w:u w:val="single"/>
              </w:rPr>
            </w:pPr>
            <w:r w:rsidRPr="00F22A05">
              <w:rPr>
                <w:u w:val="single"/>
              </w:rPr>
              <w:t>0.036</w:t>
            </w:r>
          </w:p>
        </w:tc>
      </w:tr>
      <w:tr w:rsidR="00F22A05" w:rsidRPr="00F22A05" w14:paraId="2F3DF7D2" w14:textId="35BD2E1E" w:rsidTr="00581A21">
        <w:trPr>
          <w:tblHeader/>
          <w:jc w:val="center"/>
        </w:trPr>
        <w:tc>
          <w:tcPr>
            <w:tcW w:w="805" w:type="dxa"/>
          </w:tcPr>
          <w:p w14:paraId="6545FCE5" w14:textId="32A28C09" w:rsidR="001A0A31" w:rsidRPr="00F22A05" w:rsidRDefault="001A0A31" w:rsidP="001A0A31">
            <w:pPr>
              <w:rPr>
                <w:u w:val="single"/>
              </w:rPr>
            </w:pPr>
            <w:r w:rsidRPr="00F22A05">
              <w:rPr>
                <w:sz w:val="22"/>
                <w:szCs w:val="22"/>
                <w:u w:val="single"/>
              </w:rPr>
              <w:t>3-4</w:t>
            </w:r>
          </w:p>
        </w:tc>
        <w:tc>
          <w:tcPr>
            <w:tcW w:w="1080" w:type="dxa"/>
          </w:tcPr>
          <w:p w14:paraId="4903BB87" w14:textId="418279F3" w:rsidR="001A0A31" w:rsidRPr="00F22A05" w:rsidRDefault="001A0A31" w:rsidP="00581A21">
            <w:pPr>
              <w:jc w:val="center"/>
              <w:rPr>
                <w:u w:val="single"/>
              </w:rPr>
            </w:pPr>
            <w:r w:rsidRPr="00F22A05">
              <w:rPr>
                <w:sz w:val="22"/>
                <w:szCs w:val="22"/>
                <w:u w:val="single"/>
              </w:rPr>
              <w:t>0.004</w:t>
            </w:r>
          </w:p>
        </w:tc>
        <w:tc>
          <w:tcPr>
            <w:tcW w:w="990" w:type="dxa"/>
          </w:tcPr>
          <w:p w14:paraId="55C47826" w14:textId="5356E248" w:rsidR="001A0A31" w:rsidRPr="00F22A05" w:rsidRDefault="001A0A31" w:rsidP="00581A21">
            <w:pPr>
              <w:jc w:val="center"/>
              <w:rPr>
                <w:sz w:val="22"/>
                <w:szCs w:val="22"/>
                <w:u w:val="single"/>
              </w:rPr>
            </w:pPr>
            <w:r w:rsidRPr="00F22A05">
              <w:rPr>
                <w:sz w:val="22"/>
                <w:szCs w:val="22"/>
                <w:u w:val="single"/>
              </w:rPr>
              <w:t>0.002</w:t>
            </w:r>
          </w:p>
        </w:tc>
        <w:tc>
          <w:tcPr>
            <w:tcW w:w="1350" w:type="dxa"/>
          </w:tcPr>
          <w:p w14:paraId="322C830D" w14:textId="261B3C2D" w:rsidR="001A0A31" w:rsidRPr="00F22A05" w:rsidRDefault="001A0A31" w:rsidP="00581A21">
            <w:pPr>
              <w:jc w:val="center"/>
              <w:rPr>
                <w:sz w:val="22"/>
                <w:szCs w:val="22"/>
                <w:u w:val="single"/>
              </w:rPr>
            </w:pPr>
            <w:r w:rsidRPr="00F22A05">
              <w:rPr>
                <w:sz w:val="22"/>
                <w:szCs w:val="22"/>
                <w:u w:val="single"/>
              </w:rPr>
              <w:t>0.003</w:t>
            </w:r>
          </w:p>
        </w:tc>
        <w:tc>
          <w:tcPr>
            <w:tcW w:w="1080" w:type="dxa"/>
          </w:tcPr>
          <w:p w14:paraId="7E482D01" w14:textId="1EC1D88D" w:rsidR="001A0A31" w:rsidRPr="00F22A05" w:rsidRDefault="001A0A31" w:rsidP="00581A21">
            <w:pPr>
              <w:jc w:val="center"/>
              <w:rPr>
                <w:sz w:val="22"/>
                <w:szCs w:val="22"/>
                <w:u w:val="single"/>
              </w:rPr>
            </w:pPr>
            <w:r w:rsidRPr="00F22A05">
              <w:rPr>
                <w:sz w:val="22"/>
                <w:szCs w:val="22"/>
                <w:u w:val="single"/>
              </w:rPr>
              <w:t>0.008</w:t>
            </w:r>
          </w:p>
        </w:tc>
        <w:tc>
          <w:tcPr>
            <w:tcW w:w="1260" w:type="dxa"/>
          </w:tcPr>
          <w:p w14:paraId="27523328" w14:textId="688E29F0" w:rsidR="001A0A31" w:rsidRPr="00F22A05" w:rsidRDefault="001A0A31" w:rsidP="00581A21">
            <w:pPr>
              <w:jc w:val="center"/>
              <w:rPr>
                <w:sz w:val="22"/>
                <w:szCs w:val="22"/>
                <w:u w:val="single"/>
              </w:rPr>
            </w:pPr>
            <w:r w:rsidRPr="00F22A05">
              <w:rPr>
                <w:sz w:val="22"/>
                <w:szCs w:val="22"/>
                <w:u w:val="single"/>
              </w:rPr>
              <w:t>0.003</w:t>
            </w:r>
          </w:p>
        </w:tc>
        <w:tc>
          <w:tcPr>
            <w:tcW w:w="1080" w:type="dxa"/>
          </w:tcPr>
          <w:p w14:paraId="3D118606" w14:textId="5E2BB6C8" w:rsidR="001A0A31" w:rsidRPr="00F22A05" w:rsidRDefault="001A0A31" w:rsidP="00581A21">
            <w:pPr>
              <w:jc w:val="center"/>
              <w:rPr>
                <w:sz w:val="22"/>
                <w:szCs w:val="22"/>
                <w:u w:val="single"/>
              </w:rPr>
            </w:pPr>
            <w:r w:rsidRPr="00F22A05">
              <w:rPr>
                <w:u w:val="single"/>
              </w:rPr>
              <w:t>0.036</w:t>
            </w:r>
          </w:p>
        </w:tc>
      </w:tr>
      <w:tr w:rsidR="00F22A05" w:rsidRPr="00F22A05" w14:paraId="6B01CEF6" w14:textId="6D75F975" w:rsidTr="00581A21">
        <w:trPr>
          <w:tblHeader/>
          <w:jc w:val="center"/>
        </w:trPr>
        <w:tc>
          <w:tcPr>
            <w:tcW w:w="805" w:type="dxa"/>
          </w:tcPr>
          <w:p w14:paraId="65A72C70" w14:textId="57476A40" w:rsidR="001A0A31" w:rsidRPr="00F22A05" w:rsidRDefault="001A0A31" w:rsidP="001A0A31">
            <w:pPr>
              <w:rPr>
                <w:u w:val="single"/>
              </w:rPr>
            </w:pPr>
            <w:r w:rsidRPr="00F22A05">
              <w:rPr>
                <w:sz w:val="22"/>
                <w:szCs w:val="22"/>
                <w:u w:val="single"/>
              </w:rPr>
              <w:t>4-5</w:t>
            </w:r>
          </w:p>
        </w:tc>
        <w:tc>
          <w:tcPr>
            <w:tcW w:w="1080" w:type="dxa"/>
          </w:tcPr>
          <w:p w14:paraId="5960A0B3" w14:textId="21C9978F" w:rsidR="001A0A31" w:rsidRPr="00F22A05" w:rsidRDefault="001A0A31" w:rsidP="00581A21">
            <w:pPr>
              <w:jc w:val="center"/>
              <w:rPr>
                <w:u w:val="single"/>
              </w:rPr>
            </w:pPr>
            <w:r w:rsidRPr="00F22A05">
              <w:rPr>
                <w:sz w:val="22"/>
                <w:szCs w:val="22"/>
                <w:u w:val="single"/>
              </w:rPr>
              <w:t>0.007</w:t>
            </w:r>
          </w:p>
        </w:tc>
        <w:tc>
          <w:tcPr>
            <w:tcW w:w="990" w:type="dxa"/>
          </w:tcPr>
          <w:p w14:paraId="41249D29" w14:textId="0D84A3C1" w:rsidR="001A0A31" w:rsidRPr="00F22A05" w:rsidRDefault="001A0A31" w:rsidP="00581A21">
            <w:pPr>
              <w:jc w:val="center"/>
              <w:rPr>
                <w:sz w:val="22"/>
                <w:szCs w:val="22"/>
                <w:u w:val="single"/>
              </w:rPr>
            </w:pPr>
            <w:r w:rsidRPr="00F22A05">
              <w:rPr>
                <w:sz w:val="22"/>
                <w:szCs w:val="22"/>
                <w:u w:val="single"/>
              </w:rPr>
              <w:t>0.004</w:t>
            </w:r>
          </w:p>
        </w:tc>
        <w:tc>
          <w:tcPr>
            <w:tcW w:w="1350" w:type="dxa"/>
          </w:tcPr>
          <w:p w14:paraId="3AB9393F" w14:textId="4DE6EA0F" w:rsidR="001A0A31" w:rsidRPr="00F22A05" w:rsidRDefault="001A0A31" w:rsidP="00581A21">
            <w:pPr>
              <w:jc w:val="center"/>
              <w:rPr>
                <w:sz w:val="22"/>
                <w:szCs w:val="22"/>
                <w:u w:val="single"/>
              </w:rPr>
            </w:pPr>
            <w:r w:rsidRPr="00F22A05">
              <w:rPr>
                <w:sz w:val="22"/>
                <w:szCs w:val="22"/>
                <w:u w:val="single"/>
              </w:rPr>
              <w:t>0.003</w:t>
            </w:r>
          </w:p>
        </w:tc>
        <w:tc>
          <w:tcPr>
            <w:tcW w:w="1080" w:type="dxa"/>
          </w:tcPr>
          <w:p w14:paraId="26FF7ECA" w14:textId="6BE60EAF" w:rsidR="001A0A31" w:rsidRPr="00F22A05" w:rsidRDefault="001A0A31" w:rsidP="00581A21">
            <w:pPr>
              <w:jc w:val="center"/>
              <w:rPr>
                <w:sz w:val="22"/>
                <w:szCs w:val="22"/>
                <w:u w:val="single"/>
              </w:rPr>
            </w:pPr>
            <w:r w:rsidRPr="00F22A05">
              <w:rPr>
                <w:sz w:val="22"/>
                <w:szCs w:val="22"/>
                <w:u w:val="single"/>
              </w:rPr>
              <w:t>0.008</w:t>
            </w:r>
          </w:p>
        </w:tc>
        <w:tc>
          <w:tcPr>
            <w:tcW w:w="1260" w:type="dxa"/>
          </w:tcPr>
          <w:p w14:paraId="5236D058" w14:textId="4D169432" w:rsidR="001A0A31" w:rsidRPr="00F22A05" w:rsidRDefault="001A0A31" w:rsidP="00581A21">
            <w:pPr>
              <w:jc w:val="center"/>
              <w:rPr>
                <w:sz w:val="22"/>
                <w:szCs w:val="22"/>
                <w:u w:val="single"/>
              </w:rPr>
            </w:pPr>
            <w:r w:rsidRPr="00F22A05">
              <w:rPr>
                <w:sz w:val="22"/>
                <w:szCs w:val="22"/>
                <w:u w:val="single"/>
              </w:rPr>
              <w:t>0.004</w:t>
            </w:r>
          </w:p>
        </w:tc>
        <w:tc>
          <w:tcPr>
            <w:tcW w:w="1080" w:type="dxa"/>
          </w:tcPr>
          <w:p w14:paraId="4C9D0327" w14:textId="136570B6" w:rsidR="001A0A31" w:rsidRPr="00F22A05" w:rsidRDefault="001A0A31" w:rsidP="00581A21">
            <w:pPr>
              <w:jc w:val="center"/>
              <w:rPr>
                <w:sz w:val="22"/>
                <w:szCs w:val="22"/>
                <w:u w:val="single"/>
              </w:rPr>
            </w:pPr>
            <w:r w:rsidRPr="00F22A05">
              <w:rPr>
                <w:u w:val="single"/>
              </w:rPr>
              <w:t>0.036</w:t>
            </w:r>
          </w:p>
        </w:tc>
      </w:tr>
      <w:tr w:rsidR="00F22A05" w:rsidRPr="00F22A05" w14:paraId="2A53173A" w14:textId="7EFBA72F" w:rsidTr="00581A21">
        <w:trPr>
          <w:tblHeader/>
          <w:jc w:val="center"/>
        </w:trPr>
        <w:tc>
          <w:tcPr>
            <w:tcW w:w="805" w:type="dxa"/>
          </w:tcPr>
          <w:p w14:paraId="62D3FF6D" w14:textId="18EADBC0" w:rsidR="001A0A31" w:rsidRPr="00F22A05" w:rsidRDefault="001A0A31" w:rsidP="001A0A31">
            <w:pPr>
              <w:rPr>
                <w:u w:val="single"/>
              </w:rPr>
            </w:pPr>
            <w:r w:rsidRPr="00F22A05">
              <w:rPr>
                <w:sz w:val="22"/>
                <w:szCs w:val="22"/>
                <w:u w:val="single"/>
              </w:rPr>
              <w:t>5-6</w:t>
            </w:r>
          </w:p>
        </w:tc>
        <w:tc>
          <w:tcPr>
            <w:tcW w:w="1080" w:type="dxa"/>
          </w:tcPr>
          <w:p w14:paraId="79FAEC95" w14:textId="7DCF0119" w:rsidR="001A0A31" w:rsidRPr="00F22A05" w:rsidRDefault="001A0A31" w:rsidP="00581A21">
            <w:pPr>
              <w:jc w:val="center"/>
              <w:rPr>
                <w:u w:val="single"/>
              </w:rPr>
            </w:pPr>
            <w:r w:rsidRPr="00F22A05">
              <w:rPr>
                <w:sz w:val="22"/>
                <w:szCs w:val="22"/>
                <w:u w:val="single"/>
              </w:rPr>
              <w:t>0.011</w:t>
            </w:r>
          </w:p>
        </w:tc>
        <w:tc>
          <w:tcPr>
            <w:tcW w:w="990" w:type="dxa"/>
          </w:tcPr>
          <w:p w14:paraId="5ABE1006" w14:textId="43569619" w:rsidR="001A0A31" w:rsidRPr="00F22A05" w:rsidRDefault="001A0A31" w:rsidP="00581A21">
            <w:pPr>
              <w:jc w:val="center"/>
              <w:rPr>
                <w:sz w:val="22"/>
                <w:szCs w:val="22"/>
                <w:u w:val="single"/>
              </w:rPr>
            </w:pPr>
            <w:r w:rsidRPr="00F22A05">
              <w:rPr>
                <w:sz w:val="22"/>
                <w:szCs w:val="22"/>
                <w:u w:val="single"/>
              </w:rPr>
              <w:t>0.006</w:t>
            </w:r>
          </w:p>
        </w:tc>
        <w:tc>
          <w:tcPr>
            <w:tcW w:w="1350" w:type="dxa"/>
          </w:tcPr>
          <w:p w14:paraId="23ED61B8" w14:textId="1DF9BC78" w:rsidR="001A0A31" w:rsidRPr="00F22A05" w:rsidRDefault="001A0A31" w:rsidP="00581A21">
            <w:pPr>
              <w:jc w:val="center"/>
              <w:rPr>
                <w:sz w:val="22"/>
                <w:szCs w:val="22"/>
                <w:u w:val="single"/>
              </w:rPr>
            </w:pPr>
            <w:r w:rsidRPr="00F22A05">
              <w:rPr>
                <w:sz w:val="22"/>
                <w:szCs w:val="22"/>
                <w:u w:val="single"/>
              </w:rPr>
              <w:t>0.010</w:t>
            </w:r>
          </w:p>
        </w:tc>
        <w:tc>
          <w:tcPr>
            <w:tcW w:w="1080" w:type="dxa"/>
          </w:tcPr>
          <w:p w14:paraId="39BCFC13" w14:textId="2F96F8A5" w:rsidR="001A0A31" w:rsidRPr="00F22A05" w:rsidRDefault="001A0A31" w:rsidP="00581A21">
            <w:pPr>
              <w:jc w:val="center"/>
              <w:rPr>
                <w:sz w:val="22"/>
                <w:szCs w:val="22"/>
                <w:u w:val="single"/>
              </w:rPr>
            </w:pPr>
            <w:r w:rsidRPr="00F22A05">
              <w:rPr>
                <w:sz w:val="22"/>
                <w:szCs w:val="22"/>
                <w:u w:val="single"/>
              </w:rPr>
              <w:t>0.015</w:t>
            </w:r>
          </w:p>
        </w:tc>
        <w:tc>
          <w:tcPr>
            <w:tcW w:w="1260" w:type="dxa"/>
          </w:tcPr>
          <w:p w14:paraId="1F7523A6" w14:textId="63640A6F" w:rsidR="001A0A31" w:rsidRPr="00F22A05" w:rsidRDefault="001A0A31" w:rsidP="00581A21">
            <w:pPr>
              <w:jc w:val="center"/>
              <w:rPr>
                <w:sz w:val="22"/>
                <w:szCs w:val="22"/>
                <w:u w:val="single"/>
              </w:rPr>
            </w:pPr>
            <w:r w:rsidRPr="00F22A05">
              <w:rPr>
                <w:sz w:val="22"/>
                <w:szCs w:val="22"/>
                <w:u w:val="single"/>
              </w:rPr>
              <w:t>0.006</w:t>
            </w:r>
          </w:p>
        </w:tc>
        <w:tc>
          <w:tcPr>
            <w:tcW w:w="1080" w:type="dxa"/>
          </w:tcPr>
          <w:p w14:paraId="076F0A81" w14:textId="32EDA299" w:rsidR="001A0A31" w:rsidRPr="00F22A05" w:rsidRDefault="001A0A31" w:rsidP="00581A21">
            <w:pPr>
              <w:jc w:val="center"/>
              <w:rPr>
                <w:sz w:val="22"/>
                <w:szCs w:val="22"/>
                <w:u w:val="single"/>
              </w:rPr>
            </w:pPr>
            <w:r w:rsidRPr="00F22A05">
              <w:rPr>
                <w:u w:val="single"/>
              </w:rPr>
              <w:t>0.036</w:t>
            </w:r>
          </w:p>
        </w:tc>
      </w:tr>
      <w:tr w:rsidR="00F22A05" w:rsidRPr="00F22A05" w14:paraId="74A82EC0" w14:textId="6910FADB" w:rsidTr="00581A21">
        <w:trPr>
          <w:tblHeader/>
          <w:jc w:val="center"/>
        </w:trPr>
        <w:tc>
          <w:tcPr>
            <w:tcW w:w="805" w:type="dxa"/>
          </w:tcPr>
          <w:p w14:paraId="5A38B6CD" w14:textId="1297F51D" w:rsidR="001A0A31" w:rsidRPr="00F22A05" w:rsidRDefault="001A0A31" w:rsidP="001A0A31">
            <w:pPr>
              <w:rPr>
                <w:u w:val="single"/>
              </w:rPr>
            </w:pPr>
            <w:r w:rsidRPr="00F22A05">
              <w:rPr>
                <w:sz w:val="22"/>
                <w:szCs w:val="22"/>
                <w:u w:val="single"/>
              </w:rPr>
              <w:t>6-7</w:t>
            </w:r>
          </w:p>
        </w:tc>
        <w:tc>
          <w:tcPr>
            <w:tcW w:w="1080" w:type="dxa"/>
          </w:tcPr>
          <w:p w14:paraId="4CC9CC1C" w14:textId="10251080" w:rsidR="001A0A31" w:rsidRPr="00F22A05" w:rsidRDefault="001A0A31" w:rsidP="00581A21">
            <w:pPr>
              <w:jc w:val="center"/>
              <w:rPr>
                <w:u w:val="single"/>
              </w:rPr>
            </w:pPr>
            <w:r w:rsidRPr="00F22A05">
              <w:rPr>
                <w:sz w:val="22"/>
                <w:szCs w:val="22"/>
                <w:u w:val="single"/>
              </w:rPr>
              <w:t>0.022</w:t>
            </w:r>
          </w:p>
        </w:tc>
        <w:tc>
          <w:tcPr>
            <w:tcW w:w="990" w:type="dxa"/>
          </w:tcPr>
          <w:p w14:paraId="771708D2" w14:textId="2D557BA1" w:rsidR="001A0A31" w:rsidRPr="00F22A05" w:rsidRDefault="001A0A31" w:rsidP="00581A21">
            <w:pPr>
              <w:jc w:val="center"/>
              <w:rPr>
                <w:sz w:val="22"/>
                <w:szCs w:val="22"/>
                <w:u w:val="single"/>
              </w:rPr>
            </w:pPr>
            <w:r w:rsidRPr="00F22A05">
              <w:rPr>
                <w:sz w:val="22"/>
                <w:szCs w:val="22"/>
                <w:u w:val="single"/>
              </w:rPr>
              <w:t>0.016</w:t>
            </w:r>
          </w:p>
        </w:tc>
        <w:tc>
          <w:tcPr>
            <w:tcW w:w="1350" w:type="dxa"/>
          </w:tcPr>
          <w:p w14:paraId="51D62EE4" w14:textId="6ABC6DC6" w:rsidR="001A0A31" w:rsidRPr="00F22A05" w:rsidRDefault="001A0A31" w:rsidP="00581A21">
            <w:pPr>
              <w:jc w:val="center"/>
              <w:rPr>
                <w:sz w:val="22"/>
                <w:szCs w:val="22"/>
                <w:u w:val="single"/>
              </w:rPr>
            </w:pPr>
            <w:r w:rsidRPr="00F22A05">
              <w:rPr>
                <w:sz w:val="22"/>
                <w:szCs w:val="22"/>
                <w:u w:val="single"/>
              </w:rPr>
              <w:t>0.020</w:t>
            </w:r>
          </w:p>
        </w:tc>
        <w:tc>
          <w:tcPr>
            <w:tcW w:w="1080" w:type="dxa"/>
          </w:tcPr>
          <w:p w14:paraId="0546CDC7" w14:textId="0CDB3726" w:rsidR="001A0A31" w:rsidRPr="00F22A05" w:rsidRDefault="001A0A31" w:rsidP="00581A21">
            <w:pPr>
              <w:jc w:val="center"/>
              <w:rPr>
                <w:sz w:val="22"/>
                <w:szCs w:val="22"/>
                <w:u w:val="single"/>
              </w:rPr>
            </w:pPr>
            <w:r w:rsidRPr="00F22A05">
              <w:rPr>
                <w:sz w:val="22"/>
                <w:szCs w:val="22"/>
                <w:u w:val="single"/>
              </w:rPr>
              <w:t>0.023</w:t>
            </w:r>
          </w:p>
        </w:tc>
        <w:tc>
          <w:tcPr>
            <w:tcW w:w="1260" w:type="dxa"/>
          </w:tcPr>
          <w:p w14:paraId="27B908D8" w14:textId="23248B59" w:rsidR="001A0A31" w:rsidRPr="00F22A05" w:rsidRDefault="001A0A31" w:rsidP="00581A21">
            <w:pPr>
              <w:jc w:val="center"/>
              <w:rPr>
                <w:sz w:val="22"/>
                <w:szCs w:val="22"/>
                <w:u w:val="single"/>
              </w:rPr>
            </w:pPr>
            <w:r w:rsidRPr="00F22A05">
              <w:rPr>
                <w:sz w:val="22"/>
                <w:szCs w:val="22"/>
                <w:u w:val="single"/>
              </w:rPr>
              <w:t>0.010</w:t>
            </w:r>
          </w:p>
        </w:tc>
        <w:tc>
          <w:tcPr>
            <w:tcW w:w="1080" w:type="dxa"/>
          </w:tcPr>
          <w:p w14:paraId="55E816BA" w14:textId="1D54C4AD" w:rsidR="001A0A31" w:rsidRPr="00F22A05" w:rsidRDefault="001A0A31" w:rsidP="00581A21">
            <w:pPr>
              <w:jc w:val="center"/>
              <w:rPr>
                <w:sz w:val="22"/>
                <w:szCs w:val="22"/>
                <w:u w:val="single"/>
              </w:rPr>
            </w:pPr>
            <w:r w:rsidRPr="00F22A05">
              <w:rPr>
                <w:u w:val="single"/>
              </w:rPr>
              <w:t>0.038</w:t>
            </w:r>
          </w:p>
        </w:tc>
      </w:tr>
      <w:tr w:rsidR="00F22A05" w:rsidRPr="00F22A05" w14:paraId="5FA0D1D0" w14:textId="23918A90" w:rsidTr="00581A21">
        <w:trPr>
          <w:tblHeader/>
          <w:jc w:val="center"/>
        </w:trPr>
        <w:tc>
          <w:tcPr>
            <w:tcW w:w="805" w:type="dxa"/>
          </w:tcPr>
          <w:p w14:paraId="014F3ABE" w14:textId="0FDD9AE4" w:rsidR="001A0A31" w:rsidRPr="00F22A05" w:rsidRDefault="001A0A31" w:rsidP="001A0A31">
            <w:pPr>
              <w:rPr>
                <w:u w:val="single"/>
              </w:rPr>
            </w:pPr>
            <w:r w:rsidRPr="00F22A05">
              <w:rPr>
                <w:sz w:val="22"/>
                <w:szCs w:val="22"/>
                <w:u w:val="single"/>
              </w:rPr>
              <w:t>7-8</w:t>
            </w:r>
          </w:p>
        </w:tc>
        <w:tc>
          <w:tcPr>
            <w:tcW w:w="1080" w:type="dxa"/>
          </w:tcPr>
          <w:p w14:paraId="578D37C1" w14:textId="67A03C8A" w:rsidR="001A0A31" w:rsidRPr="00F22A05" w:rsidRDefault="001A0A31" w:rsidP="00581A21">
            <w:pPr>
              <w:jc w:val="center"/>
              <w:rPr>
                <w:u w:val="single"/>
              </w:rPr>
            </w:pPr>
            <w:r w:rsidRPr="00F22A05">
              <w:rPr>
                <w:sz w:val="22"/>
                <w:szCs w:val="22"/>
                <w:u w:val="single"/>
              </w:rPr>
              <w:t>0.049</w:t>
            </w:r>
          </w:p>
        </w:tc>
        <w:tc>
          <w:tcPr>
            <w:tcW w:w="990" w:type="dxa"/>
          </w:tcPr>
          <w:p w14:paraId="2CB9BA1F" w14:textId="5E6B3EC8" w:rsidR="001A0A31" w:rsidRPr="00F22A05" w:rsidRDefault="001A0A31" w:rsidP="00581A21">
            <w:pPr>
              <w:jc w:val="center"/>
              <w:rPr>
                <w:sz w:val="22"/>
                <w:szCs w:val="22"/>
                <w:u w:val="single"/>
              </w:rPr>
            </w:pPr>
            <w:r w:rsidRPr="00F22A05">
              <w:rPr>
                <w:sz w:val="22"/>
                <w:szCs w:val="22"/>
                <w:u w:val="single"/>
              </w:rPr>
              <w:t>0.032</w:t>
            </w:r>
          </w:p>
        </w:tc>
        <w:tc>
          <w:tcPr>
            <w:tcW w:w="1350" w:type="dxa"/>
          </w:tcPr>
          <w:p w14:paraId="35621FE9" w14:textId="681877AF" w:rsidR="001A0A31" w:rsidRPr="00F22A05" w:rsidRDefault="001A0A31" w:rsidP="00581A21">
            <w:pPr>
              <w:jc w:val="center"/>
              <w:rPr>
                <w:sz w:val="22"/>
                <w:szCs w:val="22"/>
                <w:u w:val="single"/>
              </w:rPr>
            </w:pPr>
            <w:r w:rsidRPr="00F22A05">
              <w:rPr>
                <w:sz w:val="22"/>
                <w:szCs w:val="22"/>
                <w:u w:val="single"/>
              </w:rPr>
              <w:t>0.031</w:t>
            </w:r>
          </w:p>
        </w:tc>
        <w:tc>
          <w:tcPr>
            <w:tcW w:w="1080" w:type="dxa"/>
          </w:tcPr>
          <w:p w14:paraId="6AEC3CFC" w14:textId="5ADA770A" w:rsidR="001A0A31" w:rsidRPr="00F22A05" w:rsidRDefault="001A0A31" w:rsidP="00581A21">
            <w:pPr>
              <w:jc w:val="center"/>
              <w:rPr>
                <w:sz w:val="22"/>
                <w:szCs w:val="22"/>
                <w:u w:val="single"/>
              </w:rPr>
            </w:pPr>
            <w:r w:rsidRPr="00F22A05">
              <w:rPr>
                <w:sz w:val="22"/>
                <w:szCs w:val="22"/>
                <w:u w:val="single"/>
              </w:rPr>
              <w:t>0.039</w:t>
            </w:r>
          </w:p>
        </w:tc>
        <w:tc>
          <w:tcPr>
            <w:tcW w:w="1260" w:type="dxa"/>
          </w:tcPr>
          <w:p w14:paraId="1D136806" w14:textId="7971F1AD" w:rsidR="001A0A31" w:rsidRPr="00F22A05" w:rsidRDefault="001A0A31" w:rsidP="00581A21">
            <w:pPr>
              <w:jc w:val="center"/>
              <w:rPr>
                <w:sz w:val="22"/>
                <w:szCs w:val="22"/>
                <w:u w:val="single"/>
              </w:rPr>
            </w:pPr>
            <w:r w:rsidRPr="00F22A05">
              <w:rPr>
                <w:sz w:val="22"/>
                <w:szCs w:val="22"/>
                <w:u w:val="single"/>
              </w:rPr>
              <w:t>0.015</w:t>
            </w:r>
          </w:p>
        </w:tc>
        <w:tc>
          <w:tcPr>
            <w:tcW w:w="1080" w:type="dxa"/>
          </w:tcPr>
          <w:p w14:paraId="5A66B29F" w14:textId="0809135F" w:rsidR="001A0A31" w:rsidRPr="00F22A05" w:rsidRDefault="001A0A31" w:rsidP="00581A21">
            <w:pPr>
              <w:jc w:val="center"/>
              <w:rPr>
                <w:sz w:val="22"/>
                <w:szCs w:val="22"/>
                <w:u w:val="single"/>
              </w:rPr>
            </w:pPr>
            <w:r w:rsidRPr="00F22A05">
              <w:rPr>
                <w:u w:val="single"/>
              </w:rPr>
              <w:t>0.041</w:t>
            </w:r>
          </w:p>
        </w:tc>
      </w:tr>
      <w:tr w:rsidR="00F22A05" w:rsidRPr="00F22A05" w14:paraId="44C18B56" w14:textId="1B00437B" w:rsidTr="00581A21">
        <w:trPr>
          <w:tblHeader/>
          <w:jc w:val="center"/>
        </w:trPr>
        <w:tc>
          <w:tcPr>
            <w:tcW w:w="805" w:type="dxa"/>
          </w:tcPr>
          <w:p w14:paraId="3369A5C7" w14:textId="2043B49D" w:rsidR="001A0A31" w:rsidRPr="00F22A05" w:rsidRDefault="001A0A31" w:rsidP="001A0A31">
            <w:pPr>
              <w:rPr>
                <w:u w:val="single"/>
              </w:rPr>
            </w:pPr>
            <w:r w:rsidRPr="00F22A05">
              <w:rPr>
                <w:sz w:val="22"/>
                <w:szCs w:val="22"/>
                <w:u w:val="single"/>
              </w:rPr>
              <w:t>8-9</w:t>
            </w:r>
          </w:p>
        </w:tc>
        <w:tc>
          <w:tcPr>
            <w:tcW w:w="1080" w:type="dxa"/>
          </w:tcPr>
          <w:p w14:paraId="77098F0B" w14:textId="77789C29" w:rsidR="001A0A31" w:rsidRPr="00F22A05" w:rsidRDefault="001A0A31" w:rsidP="00581A21">
            <w:pPr>
              <w:jc w:val="center"/>
              <w:rPr>
                <w:u w:val="single"/>
              </w:rPr>
            </w:pPr>
            <w:r w:rsidRPr="00F22A05">
              <w:rPr>
                <w:sz w:val="22"/>
                <w:szCs w:val="22"/>
                <w:u w:val="single"/>
              </w:rPr>
              <w:t>0.073</w:t>
            </w:r>
          </w:p>
        </w:tc>
        <w:tc>
          <w:tcPr>
            <w:tcW w:w="990" w:type="dxa"/>
          </w:tcPr>
          <w:p w14:paraId="7F0351EA" w14:textId="045629EF" w:rsidR="001A0A31" w:rsidRPr="00F22A05" w:rsidRDefault="001A0A31" w:rsidP="00581A21">
            <w:pPr>
              <w:jc w:val="center"/>
              <w:rPr>
                <w:sz w:val="22"/>
                <w:szCs w:val="22"/>
                <w:u w:val="single"/>
              </w:rPr>
            </w:pPr>
            <w:r w:rsidRPr="00F22A05">
              <w:rPr>
                <w:sz w:val="22"/>
                <w:szCs w:val="22"/>
                <w:u w:val="single"/>
              </w:rPr>
              <w:t>0.048</w:t>
            </w:r>
          </w:p>
        </w:tc>
        <w:tc>
          <w:tcPr>
            <w:tcW w:w="1350" w:type="dxa"/>
          </w:tcPr>
          <w:p w14:paraId="1BADAD86" w14:textId="4C328A03" w:rsidR="001A0A31" w:rsidRPr="00F22A05" w:rsidRDefault="001A0A31" w:rsidP="00581A21">
            <w:pPr>
              <w:jc w:val="center"/>
              <w:rPr>
                <w:sz w:val="22"/>
                <w:szCs w:val="22"/>
                <w:u w:val="single"/>
              </w:rPr>
            </w:pPr>
            <w:r w:rsidRPr="00F22A05">
              <w:rPr>
                <w:sz w:val="22"/>
                <w:szCs w:val="22"/>
                <w:u w:val="single"/>
              </w:rPr>
              <w:t>0.058</w:t>
            </w:r>
          </w:p>
        </w:tc>
        <w:tc>
          <w:tcPr>
            <w:tcW w:w="1080" w:type="dxa"/>
          </w:tcPr>
          <w:p w14:paraId="63116DF1" w14:textId="02F72577" w:rsidR="001A0A31" w:rsidRPr="00F22A05" w:rsidRDefault="001A0A31" w:rsidP="00581A21">
            <w:pPr>
              <w:jc w:val="center"/>
              <w:rPr>
                <w:sz w:val="22"/>
                <w:szCs w:val="22"/>
                <w:u w:val="single"/>
              </w:rPr>
            </w:pPr>
            <w:r w:rsidRPr="00F22A05">
              <w:rPr>
                <w:sz w:val="22"/>
                <w:szCs w:val="22"/>
                <w:u w:val="single"/>
              </w:rPr>
              <w:t>0.046</w:t>
            </w:r>
          </w:p>
        </w:tc>
        <w:tc>
          <w:tcPr>
            <w:tcW w:w="1260" w:type="dxa"/>
          </w:tcPr>
          <w:p w14:paraId="7ADA82A9" w14:textId="5FB30A1F" w:rsidR="001A0A31" w:rsidRPr="00F22A05" w:rsidRDefault="001A0A31" w:rsidP="00581A21">
            <w:pPr>
              <w:jc w:val="center"/>
              <w:rPr>
                <w:sz w:val="22"/>
                <w:szCs w:val="22"/>
                <w:u w:val="single"/>
              </w:rPr>
            </w:pPr>
            <w:r w:rsidRPr="00F22A05">
              <w:rPr>
                <w:sz w:val="22"/>
                <w:szCs w:val="22"/>
                <w:u w:val="single"/>
              </w:rPr>
              <w:t>0.020</w:t>
            </w:r>
          </w:p>
        </w:tc>
        <w:tc>
          <w:tcPr>
            <w:tcW w:w="1080" w:type="dxa"/>
          </w:tcPr>
          <w:p w14:paraId="5C31731A" w14:textId="5DA79C9A" w:rsidR="001A0A31" w:rsidRPr="00F22A05" w:rsidRDefault="001A0A31" w:rsidP="00581A21">
            <w:pPr>
              <w:jc w:val="center"/>
              <w:rPr>
                <w:sz w:val="22"/>
                <w:szCs w:val="22"/>
                <w:u w:val="single"/>
              </w:rPr>
            </w:pPr>
            <w:r w:rsidRPr="00F22A05">
              <w:rPr>
                <w:u w:val="single"/>
              </w:rPr>
              <w:t>0.04</w:t>
            </w:r>
            <w:r w:rsidR="00757846" w:rsidRPr="00F22A05">
              <w:rPr>
                <w:u w:val="single"/>
              </w:rPr>
              <w:t>2</w:t>
            </w:r>
          </w:p>
        </w:tc>
      </w:tr>
      <w:tr w:rsidR="00F22A05" w:rsidRPr="00F22A05" w14:paraId="164CDC7B" w14:textId="57A6A207" w:rsidTr="00581A21">
        <w:trPr>
          <w:tblHeader/>
          <w:jc w:val="center"/>
        </w:trPr>
        <w:tc>
          <w:tcPr>
            <w:tcW w:w="805" w:type="dxa"/>
          </w:tcPr>
          <w:p w14:paraId="757F94AC" w14:textId="7C84F983" w:rsidR="001A0A31" w:rsidRPr="00F22A05" w:rsidRDefault="001A0A31" w:rsidP="001A0A31">
            <w:pPr>
              <w:rPr>
                <w:u w:val="single"/>
              </w:rPr>
            </w:pPr>
            <w:r w:rsidRPr="00F22A05">
              <w:rPr>
                <w:sz w:val="22"/>
                <w:szCs w:val="22"/>
                <w:u w:val="single"/>
              </w:rPr>
              <w:t>9-10</w:t>
            </w:r>
          </w:p>
        </w:tc>
        <w:tc>
          <w:tcPr>
            <w:tcW w:w="1080" w:type="dxa"/>
          </w:tcPr>
          <w:p w14:paraId="3A778598" w14:textId="01D561C7" w:rsidR="001A0A31" w:rsidRPr="00F22A05" w:rsidRDefault="001A0A31" w:rsidP="00581A21">
            <w:pPr>
              <w:jc w:val="center"/>
              <w:rPr>
                <w:u w:val="single"/>
              </w:rPr>
            </w:pPr>
            <w:r w:rsidRPr="00F22A05">
              <w:rPr>
                <w:sz w:val="22"/>
                <w:szCs w:val="22"/>
                <w:u w:val="single"/>
              </w:rPr>
              <w:t>0.086</w:t>
            </w:r>
          </w:p>
        </w:tc>
        <w:tc>
          <w:tcPr>
            <w:tcW w:w="990" w:type="dxa"/>
          </w:tcPr>
          <w:p w14:paraId="35F83440" w14:textId="214FF371" w:rsidR="001A0A31" w:rsidRPr="00F22A05" w:rsidRDefault="001A0A31" w:rsidP="00581A21">
            <w:pPr>
              <w:jc w:val="center"/>
              <w:rPr>
                <w:sz w:val="22"/>
                <w:szCs w:val="22"/>
                <w:u w:val="single"/>
              </w:rPr>
            </w:pPr>
            <w:r w:rsidRPr="00F22A05">
              <w:rPr>
                <w:sz w:val="22"/>
                <w:szCs w:val="22"/>
                <w:u w:val="single"/>
              </w:rPr>
              <w:t>0.068</w:t>
            </w:r>
          </w:p>
        </w:tc>
        <w:tc>
          <w:tcPr>
            <w:tcW w:w="1350" w:type="dxa"/>
          </w:tcPr>
          <w:p w14:paraId="16CD7C1D" w14:textId="587F164C" w:rsidR="001A0A31" w:rsidRPr="00F22A05" w:rsidRDefault="001A0A31" w:rsidP="00581A21">
            <w:pPr>
              <w:jc w:val="center"/>
              <w:rPr>
                <w:sz w:val="22"/>
                <w:szCs w:val="22"/>
                <w:u w:val="single"/>
              </w:rPr>
            </w:pPr>
            <w:r w:rsidRPr="00F22A05">
              <w:rPr>
                <w:sz w:val="22"/>
                <w:szCs w:val="22"/>
                <w:u w:val="single"/>
              </w:rPr>
              <w:t>0.065</w:t>
            </w:r>
          </w:p>
        </w:tc>
        <w:tc>
          <w:tcPr>
            <w:tcW w:w="1080" w:type="dxa"/>
          </w:tcPr>
          <w:p w14:paraId="164B4A00" w14:textId="463CAE39" w:rsidR="001A0A31" w:rsidRPr="00F22A05" w:rsidRDefault="001A0A31" w:rsidP="00581A21">
            <w:pPr>
              <w:jc w:val="center"/>
              <w:rPr>
                <w:sz w:val="22"/>
                <w:szCs w:val="22"/>
                <w:u w:val="single"/>
              </w:rPr>
            </w:pPr>
            <w:r w:rsidRPr="00F22A05">
              <w:rPr>
                <w:sz w:val="22"/>
                <w:szCs w:val="22"/>
                <w:u w:val="single"/>
              </w:rPr>
              <w:t>0.046</w:t>
            </w:r>
          </w:p>
        </w:tc>
        <w:tc>
          <w:tcPr>
            <w:tcW w:w="1260" w:type="dxa"/>
          </w:tcPr>
          <w:p w14:paraId="7D556489" w14:textId="63D6B326" w:rsidR="001A0A31" w:rsidRPr="00F22A05" w:rsidRDefault="001A0A31" w:rsidP="00581A21">
            <w:pPr>
              <w:jc w:val="center"/>
              <w:rPr>
                <w:sz w:val="22"/>
                <w:szCs w:val="22"/>
                <w:u w:val="single"/>
              </w:rPr>
            </w:pPr>
            <w:r w:rsidRPr="00F22A05">
              <w:rPr>
                <w:sz w:val="22"/>
                <w:szCs w:val="22"/>
                <w:u w:val="single"/>
              </w:rPr>
              <w:t>0.025</w:t>
            </w:r>
          </w:p>
        </w:tc>
        <w:tc>
          <w:tcPr>
            <w:tcW w:w="1080" w:type="dxa"/>
          </w:tcPr>
          <w:p w14:paraId="7414F112" w14:textId="2751322E" w:rsidR="001A0A31" w:rsidRPr="00F22A05" w:rsidRDefault="001A0A31" w:rsidP="00581A21">
            <w:pPr>
              <w:jc w:val="center"/>
              <w:rPr>
                <w:sz w:val="22"/>
                <w:szCs w:val="22"/>
                <w:u w:val="single"/>
              </w:rPr>
            </w:pPr>
            <w:r w:rsidRPr="00F22A05">
              <w:rPr>
                <w:u w:val="single"/>
              </w:rPr>
              <w:t>0.042</w:t>
            </w:r>
          </w:p>
        </w:tc>
      </w:tr>
      <w:tr w:rsidR="00F22A05" w:rsidRPr="00F22A05" w14:paraId="366BB5E3" w14:textId="16E6D5A5" w:rsidTr="00581A21">
        <w:trPr>
          <w:tblHeader/>
          <w:jc w:val="center"/>
        </w:trPr>
        <w:tc>
          <w:tcPr>
            <w:tcW w:w="805" w:type="dxa"/>
          </w:tcPr>
          <w:p w14:paraId="1AC75992" w14:textId="7B9CD861" w:rsidR="001A0A31" w:rsidRPr="00F22A05" w:rsidRDefault="001A0A31" w:rsidP="001A0A31">
            <w:pPr>
              <w:rPr>
                <w:u w:val="single"/>
              </w:rPr>
            </w:pPr>
            <w:r w:rsidRPr="00F22A05">
              <w:rPr>
                <w:sz w:val="22"/>
                <w:szCs w:val="22"/>
                <w:u w:val="single"/>
              </w:rPr>
              <w:t>10-11</w:t>
            </w:r>
          </w:p>
        </w:tc>
        <w:tc>
          <w:tcPr>
            <w:tcW w:w="1080" w:type="dxa"/>
          </w:tcPr>
          <w:p w14:paraId="6CC4011D" w14:textId="091B3FF1" w:rsidR="001A0A31" w:rsidRPr="00F22A05" w:rsidRDefault="001A0A31" w:rsidP="00581A21">
            <w:pPr>
              <w:jc w:val="center"/>
              <w:rPr>
                <w:u w:val="single"/>
              </w:rPr>
            </w:pPr>
            <w:r w:rsidRPr="00F22A05">
              <w:rPr>
                <w:sz w:val="22"/>
                <w:szCs w:val="22"/>
                <w:u w:val="single"/>
              </w:rPr>
              <w:t>0.084</w:t>
            </w:r>
          </w:p>
        </w:tc>
        <w:tc>
          <w:tcPr>
            <w:tcW w:w="990" w:type="dxa"/>
          </w:tcPr>
          <w:p w14:paraId="21079D12" w14:textId="02C23F2C" w:rsidR="001A0A31" w:rsidRPr="00F22A05" w:rsidRDefault="001A0A31" w:rsidP="00581A21">
            <w:pPr>
              <w:jc w:val="center"/>
              <w:rPr>
                <w:sz w:val="22"/>
                <w:szCs w:val="22"/>
                <w:u w:val="single"/>
              </w:rPr>
            </w:pPr>
            <w:r w:rsidRPr="00F22A05">
              <w:rPr>
                <w:sz w:val="22"/>
                <w:szCs w:val="22"/>
                <w:u w:val="single"/>
              </w:rPr>
              <w:t>0.078</w:t>
            </w:r>
          </w:p>
        </w:tc>
        <w:tc>
          <w:tcPr>
            <w:tcW w:w="1350" w:type="dxa"/>
          </w:tcPr>
          <w:p w14:paraId="24FF2DB0" w14:textId="6196FE8F" w:rsidR="001A0A31" w:rsidRPr="00F22A05" w:rsidRDefault="001A0A31" w:rsidP="00581A21">
            <w:pPr>
              <w:jc w:val="center"/>
              <w:rPr>
                <w:sz w:val="22"/>
                <w:szCs w:val="22"/>
                <w:u w:val="single"/>
              </w:rPr>
            </w:pPr>
            <w:r w:rsidRPr="00F22A05">
              <w:rPr>
                <w:sz w:val="22"/>
                <w:szCs w:val="22"/>
                <w:u w:val="single"/>
              </w:rPr>
              <w:t>0.056</w:t>
            </w:r>
          </w:p>
        </w:tc>
        <w:tc>
          <w:tcPr>
            <w:tcW w:w="1080" w:type="dxa"/>
          </w:tcPr>
          <w:p w14:paraId="584F899E" w14:textId="29AC3F81" w:rsidR="001A0A31" w:rsidRPr="00F22A05" w:rsidRDefault="001A0A31" w:rsidP="00581A21">
            <w:pPr>
              <w:jc w:val="center"/>
              <w:rPr>
                <w:sz w:val="22"/>
                <w:szCs w:val="22"/>
                <w:u w:val="single"/>
              </w:rPr>
            </w:pPr>
            <w:r w:rsidRPr="00F22A05">
              <w:rPr>
                <w:sz w:val="22"/>
                <w:szCs w:val="22"/>
                <w:u w:val="single"/>
              </w:rPr>
              <w:t>0.046</w:t>
            </w:r>
          </w:p>
        </w:tc>
        <w:tc>
          <w:tcPr>
            <w:tcW w:w="1260" w:type="dxa"/>
          </w:tcPr>
          <w:p w14:paraId="6FE014D0" w14:textId="1C11AA3E" w:rsidR="001A0A31" w:rsidRPr="00F22A05" w:rsidRDefault="001A0A31" w:rsidP="00581A21">
            <w:pPr>
              <w:jc w:val="center"/>
              <w:rPr>
                <w:sz w:val="22"/>
                <w:szCs w:val="22"/>
                <w:u w:val="single"/>
              </w:rPr>
            </w:pPr>
            <w:r w:rsidRPr="00F22A05">
              <w:rPr>
                <w:sz w:val="22"/>
                <w:szCs w:val="22"/>
                <w:u w:val="single"/>
              </w:rPr>
              <w:t>0.028</w:t>
            </w:r>
          </w:p>
        </w:tc>
        <w:tc>
          <w:tcPr>
            <w:tcW w:w="1080" w:type="dxa"/>
          </w:tcPr>
          <w:p w14:paraId="551850E2" w14:textId="23F5A572" w:rsidR="001A0A31" w:rsidRPr="00F22A05" w:rsidRDefault="001A0A31" w:rsidP="00581A21">
            <w:pPr>
              <w:jc w:val="center"/>
              <w:rPr>
                <w:sz w:val="22"/>
                <w:szCs w:val="22"/>
                <w:u w:val="single"/>
              </w:rPr>
            </w:pPr>
            <w:r w:rsidRPr="00F22A05">
              <w:rPr>
                <w:u w:val="single"/>
              </w:rPr>
              <w:t>0.042</w:t>
            </w:r>
          </w:p>
        </w:tc>
      </w:tr>
      <w:tr w:rsidR="00F22A05" w:rsidRPr="00F22A05" w14:paraId="27544232" w14:textId="2DF1954C" w:rsidTr="00581A21">
        <w:trPr>
          <w:tblHeader/>
          <w:jc w:val="center"/>
        </w:trPr>
        <w:tc>
          <w:tcPr>
            <w:tcW w:w="805" w:type="dxa"/>
          </w:tcPr>
          <w:p w14:paraId="0D2DB7E8" w14:textId="13D020F3" w:rsidR="001A0A31" w:rsidRPr="00F22A05" w:rsidRDefault="001A0A31" w:rsidP="001A0A31">
            <w:pPr>
              <w:rPr>
                <w:u w:val="single"/>
              </w:rPr>
            </w:pPr>
            <w:r w:rsidRPr="00F22A05">
              <w:rPr>
                <w:sz w:val="22"/>
                <w:szCs w:val="22"/>
                <w:u w:val="single"/>
              </w:rPr>
              <w:t>11-12</w:t>
            </w:r>
          </w:p>
        </w:tc>
        <w:tc>
          <w:tcPr>
            <w:tcW w:w="1080" w:type="dxa"/>
          </w:tcPr>
          <w:p w14:paraId="2DF4E725" w14:textId="5DB71702" w:rsidR="001A0A31" w:rsidRPr="00F22A05" w:rsidRDefault="001A0A31" w:rsidP="00581A21">
            <w:pPr>
              <w:jc w:val="center"/>
              <w:rPr>
                <w:u w:val="single"/>
              </w:rPr>
            </w:pPr>
            <w:r w:rsidRPr="00F22A05">
              <w:rPr>
                <w:sz w:val="22"/>
                <w:szCs w:val="22"/>
                <w:u w:val="single"/>
              </w:rPr>
              <w:t>0.075</w:t>
            </w:r>
          </w:p>
        </w:tc>
        <w:tc>
          <w:tcPr>
            <w:tcW w:w="990" w:type="dxa"/>
          </w:tcPr>
          <w:p w14:paraId="54FC9E37" w14:textId="4B9CF11B" w:rsidR="001A0A31" w:rsidRPr="00F22A05" w:rsidRDefault="001A0A31" w:rsidP="00581A21">
            <w:pPr>
              <w:jc w:val="center"/>
              <w:rPr>
                <w:sz w:val="22"/>
                <w:szCs w:val="22"/>
                <w:u w:val="single"/>
              </w:rPr>
            </w:pPr>
            <w:r w:rsidRPr="00F22A05">
              <w:rPr>
                <w:sz w:val="22"/>
                <w:szCs w:val="22"/>
                <w:u w:val="single"/>
              </w:rPr>
              <w:t>0.081</w:t>
            </w:r>
          </w:p>
        </w:tc>
        <w:tc>
          <w:tcPr>
            <w:tcW w:w="1350" w:type="dxa"/>
          </w:tcPr>
          <w:p w14:paraId="1402D3E3" w14:textId="7FEB3F43" w:rsidR="001A0A31" w:rsidRPr="00F22A05" w:rsidRDefault="001A0A31" w:rsidP="00581A21">
            <w:pPr>
              <w:jc w:val="center"/>
              <w:rPr>
                <w:sz w:val="22"/>
                <w:szCs w:val="22"/>
                <w:u w:val="single"/>
              </w:rPr>
            </w:pPr>
            <w:r w:rsidRPr="00F22A05">
              <w:rPr>
                <w:sz w:val="22"/>
                <w:szCs w:val="22"/>
                <w:u w:val="single"/>
              </w:rPr>
              <w:t>0.048</w:t>
            </w:r>
          </w:p>
        </w:tc>
        <w:tc>
          <w:tcPr>
            <w:tcW w:w="1080" w:type="dxa"/>
          </w:tcPr>
          <w:p w14:paraId="59F5BE49" w14:textId="7D02B5EE" w:rsidR="001A0A31" w:rsidRPr="00F22A05" w:rsidRDefault="001A0A31" w:rsidP="00581A21">
            <w:pPr>
              <w:jc w:val="center"/>
              <w:rPr>
                <w:sz w:val="22"/>
                <w:szCs w:val="22"/>
                <w:u w:val="single"/>
              </w:rPr>
            </w:pPr>
            <w:r w:rsidRPr="00F22A05">
              <w:rPr>
                <w:sz w:val="22"/>
                <w:szCs w:val="22"/>
                <w:u w:val="single"/>
              </w:rPr>
              <w:t>0.054</w:t>
            </w:r>
          </w:p>
        </w:tc>
        <w:tc>
          <w:tcPr>
            <w:tcW w:w="1260" w:type="dxa"/>
          </w:tcPr>
          <w:p w14:paraId="5A9FE420" w14:textId="63954FC0" w:rsidR="001A0A31" w:rsidRPr="00F22A05" w:rsidRDefault="001A0A31" w:rsidP="00581A21">
            <w:pPr>
              <w:jc w:val="center"/>
              <w:rPr>
                <w:sz w:val="22"/>
                <w:szCs w:val="22"/>
                <w:u w:val="single"/>
              </w:rPr>
            </w:pPr>
            <w:r w:rsidRPr="00F22A05">
              <w:rPr>
                <w:sz w:val="22"/>
                <w:szCs w:val="22"/>
                <w:u w:val="single"/>
              </w:rPr>
              <w:t>0.031</w:t>
            </w:r>
          </w:p>
        </w:tc>
        <w:tc>
          <w:tcPr>
            <w:tcW w:w="1080" w:type="dxa"/>
          </w:tcPr>
          <w:p w14:paraId="52F2D7E1" w14:textId="040B354A" w:rsidR="001A0A31" w:rsidRPr="00F22A05" w:rsidRDefault="001A0A31" w:rsidP="00581A21">
            <w:pPr>
              <w:jc w:val="center"/>
              <w:rPr>
                <w:sz w:val="22"/>
                <w:szCs w:val="22"/>
                <w:u w:val="single"/>
              </w:rPr>
            </w:pPr>
            <w:r w:rsidRPr="00F22A05">
              <w:rPr>
                <w:u w:val="single"/>
              </w:rPr>
              <w:t>0.042</w:t>
            </w:r>
          </w:p>
        </w:tc>
      </w:tr>
      <w:tr w:rsidR="00F22A05" w:rsidRPr="00F22A05" w14:paraId="45925680" w14:textId="20645446" w:rsidTr="00581A21">
        <w:trPr>
          <w:tblHeader/>
          <w:jc w:val="center"/>
        </w:trPr>
        <w:tc>
          <w:tcPr>
            <w:tcW w:w="805" w:type="dxa"/>
          </w:tcPr>
          <w:p w14:paraId="69FE7502" w14:textId="78861BA4" w:rsidR="001A0A31" w:rsidRPr="00F22A05" w:rsidRDefault="001A0A31" w:rsidP="001A0A31">
            <w:pPr>
              <w:rPr>
                <w:u w:val="single"/>
              </w:rPr>
            </w:pPr>
            <w:r w:rsidRPr="00F22A05">
              <w:rPr>
                <w:sz w:val="22"/>
                <w:szCs w:val="22"/>
                <w:u w:val="single"/>
              </w:rPr>
              <w:t>12-13</w:t>
            </w:r>
          </w:p>
        </w:tc>
        <w:tc>
          <w:tcPr>
            <w:tcW w:w="1080" w:type="dxa"/>
          </w:tcPr>
          <w:p w14:paraId="61DBBA98" w14:textId="5575920A" w:rsidR="001A0A31" w:rsidRPr="00F22A05" w:rsidRDefault="001A0A31" w:rsidP="00581A21">
            <w:pPr>
              <w:jc w:val="center"/>
              <w:rPr>
                <w:u w:val="single"/>
              </w:rPr>
            </w:pPr>
            <w:r w:rsidRPr="00F22A05">
              <w:rPr>
                <w:sz w:val="22"/>
                <w:szCs w:val="22"/>
                <w:u w:val="single"/>
              </w:rPr>
              <w:t>0.067</w:t>
            </w:r>
          </w:p>
        </w:tc>
        <w:tc>
          <w:tcPr>
            <w:tcW w:w="990" w:type="dxa"/>
          </w:tcPr>
          <w:p w14:paraId="6CE41C9B" w14:textId="64295030" w:rsidR="001A0A31" w:rsidRPr="00F22A05" w:rsidRDefault="001A0A31" w:rsidP="00581A21">
            <w:pPr>
              <w:jc w:val="center"/>
              <w:rPr>
                <w:sz w:val="22"/>
                <w:szCs w:val="22"/>
                <w:u w:val="single"/>
              </w:rPr>
            </w:pPr>
            <w:r w:rsidRPr="00F22A05">
              <w:rPr>
                <w:sz w:val="22"/>
                <w:szCs w:val="22"/>
                <w:u w:val="single"/>
              </w:rPr>
              <w:t>0.074</w:t>
            </w:r>
          </w:p>
        </w:tc>
        <w:tc>
          <w:tcPr>
            <w:tcW w:w="1350" w:type="dxa"/>
          </w:tcPr>
          <w:p w14:paraId="59FF01F5" w14:textId="2EFC18E0" w:rsidR="001A0A31" w:rsidRPr="00F22A05" w:rsidRDefault="001A0A31" w:rsidP="00581A21">
            <w:pPr>
              <w:jc w:val="center"/>
              <w:rPr>
                <w:sz w:val="22"/>
                <w:szCs w:val="22"/>
                <w:u w:val="single"/>
              </w:rPr>
            </w:pPr>
            <w:r w:rsidRPr="00F22A05">
              <w:rPr>
                <w:sz w:val="22"/>
                <w:szCs w:val="22"/>
                <w:u w:val="single"/>
              </w:rPr>
              <w:t>0.04</w:t>
            </w:r>
            <w:r w:rsidR="00757846" w:rsidRPr="00F22A05">
              <w:rPr>
                <w:sz w:val="22"/>
                <w:szCs w:val="22"/>
                <w:u w:val="single"/>
              </w:rPr>
              <w:t>2</w:t>
            </w:r>
          </w:p>
        </w:tc>
        <w:tc>
          <w:tcPr>
            <w:tcW w:w="1080" w:type="dxa"/>
          </w:tcPr>
          <w:p w14:paraId="44F58004" w14:textId="0C85AB0D" w:rsidR="001A0A31" w:rsidRPr="00F22A05" w:rsidRDefault="001A0A31" w:rsidP="00581A21">
            <w:pPr>
              <w:jc w:val="center"/>
              <w:rPr>
                <w:sz w:val="22"/>
                <w:szCs w:val="22"/>
                <w:u w:val="single"/>
              </w:rPr>
            </w:pPr>
            <w:r w:rsidRPr="00F22A05">
              <w:rPr>
                <w:sz w:val="22"/>
                <w:szCs w:val="22"/>
                <w:u w:val="single"/>
              </w:rPr>
              <w:t>0.062</w:t>
            </w:r>
          </w:p>
        </w:tc>
        <w:tc>
          <w:tcPr>
            <w:tcW w:w="1260" w:type="dxa"/>
          </w:tcPr>
          <w:p w14:paraId="2741C6C3" w14:textId="35B8A1A4" w:rsidR="001A0A31" w:rsidRPr="00F22A05" w:rsidRDefault="001A0A31" w:rsidP="00581A21">
            <w:pPr>
              <w:jc w:val="center"/>
              <w:rPr>
                <w:sz w:val="22"/>
                <w:szCs w:val="22"/>
                <w:u w:val="single"/>
              </w:rPr>
            </w:pPr>
            <w:r w:rsidRPr="00F22A05">
              <w:rPr>
                <w:sz w:val="22"/>
                <w:szCs w:val="22"/>
                <w:u w:val="single"/>
              </w:rPr>
              <w:t>0.033</w:t>
            </w:r>
          </w:p>
        </w:tc>
        <w:tc>
          <w:tcPr>
            <w:tcW w:w="1080" w:type="dxa"/>
          </w:tcPr>
          <w:p w14:paraId="169ED469" w14:textId="1E194630" w:rsidR="001A0A31" w:rsidRPr="00F22A05" w:rsidRDefault="001A0A31" w:rsidP="00581A21">
            <w:pPr>
              <w:jc w:val="center"/>
              <w:rPr>
                <w:sz w:val="22"/>
                <w:szCs w:val="22"/>
                <w:u w:val="single"/>
              </w:rPr>
            </w:pPr>
            <w:r w:rsidRPr="00F22A05">
              <w:rPr>
                <w:u w:val="single"/>
              </w:rPr>
              <w:t>0.042</w:t>
            </w:r>
          </w:p>
        </w:tc>
      </w:tr>
      <w:tr w:rsidR="00F22A05" w:rsidRPr="00F22A05" w14:paraId="060F5857" w14:textId="3CB94830" w:rsidTr="00581A21">
        <w:trPr>
          <w:tblHeader/>
          <w:jc w:val="center"/>
        </w:trPr>
        <w:tc>
          <w:tcPr>
            <w:tcW w:w="805" w:type="dxa"/>
          </w:tcPr>
          <w:p w14:paraId="458F936B" w14:textId="6D1A8666" w:rsidR="001A0A31" w:rsidRPr="00F22A05" w:rsidRDefault="001A0A31" w:rsidP="001A0A31">
            <w:pPr>
              <w:rPr>
                <w:u w:val="single"/>
              </w:rPr>
            </w:pPr>
            <w:r w:rsidRPr="00F22A05">
              <w:rPr>
                <w:sz w:val="22"/>
                <w:szCs w:val="22"/>
                <w:u w:val="single"/>
              </w:rPr>
              <w:t>13-14</w:t>
            </w:r>
          </w:p>
        </w:tc>
        <w:tc>
          <w:tcPr>
            <w:tcW w:w="1080" w:type="dxa"/>
          </w:tcPr>
          <w:p w14:paraId="301739C0" w14:textId="5B4E6643" w:rsidR="001A0A31" w:rsidRPr="00F22A05" w:rsidRDefault="001A0A31" w:rsidP="00581A21">
            <w:pPr>
              <w:jc w:val="center"/>
              <w:rPr>
                <w:u w:val="single"/>
              </w:rPr>
            </w:pPr>
            <w:r w:rsidRPr="00F22A05">
              <w:rPr>
                <w:sz w:val="22"/>
                <w:szCs w:val="22"/>
                <w:u w:val="single"/>
              </w:rPr>
              <w:t>0.060</w:t>
            </w:r>
          </w:p>
        </w:tc>
        <w:tc>
          <w:tcPr>
            <w:tcW w:w="990" w:type="dxa"/>
          </w:tcPr>
          <w:p w14:paraId="50D74898" w14:textId="07CA55D7" w:rsidR="001A0A31" w:rsidRPr="00F22A05" w:rsidRDefault="001A0A31" w:rsidP="00581A21">
            <w:pPr>
              <w:jc w:val="center"/>
              <w:rPr>
                <w:sz w:val="22"/>
                <w:szCs w:val="22"/>
                <w:u w:val="single"/>
              </w:rPr>
            </w:pPr>
            <w:r w:rsidRPr="00F22A05">
              <w:rPr>
                <w:sz w:val="22"/>
                <w:szCs w:val="22"/>
                <w:u w:val="single"/>
              </w:rPr>
              <w:t>0.067</w:t>
            </w:r>
          </w:p>
        </w:tc>
        <w:tc>
          <w:tcPr>
            <w:tcW w:w="1350" w:type="dxa"/>
          </w:tcPr>
          <w:p w14:paraId="2AF17ECB" w14:textId="0CEBF936" w:rsidR="001A0A31" w:rsidRPr="00F22A05" w:rsidRDefault="001A0A31" w:rsidP="00581A21">
            <w:pPr>
              <w:jc w:val="center"/>
              <w:rPr>
                <w:sz w:val="22"/>
                <w:szCs w:val="22"/>
                <w:u w:val="single"/>
              </w:rPr>
            </w:pPr>
            <w:r w:rsidRPr="00F22A05">
              <w:rPr>
                <w:sz w:val="22"/>
                <w:szCs w:val="22"/>
                <w:u w:val="single"/>
              </w:rPr>
              <w:t>0.046</w:t>
            </w:r>
          </w:p>
        </w:tc>
        <w:tc>
          <w:tcPr>
            <w:tcW w:w="1080" w:type="dxa"/>
          </w:tcPr>
          <w:p w14:paraId="74281406" w14:textId="2D59CDAF" w:rsidR="001A0A31" w:rsidRPr="00F22A05" w:rsidRDefault="001A0A31" w:rsidP="00581A21">
            <w:pPr>
              <w:jc w:val="center"/>
              <w:rPr>
                <w:sz w:val="22"/>
                <w:szCs w:val="22"/>
                <w:u w:val="single"/>
              </w:rPr>
            </w:pPr>
            <w:r w:rsidRPr="00F22A05">
              <w:rPr>
                <w:sz w:val="22"/>
                <w:szCs w:val="22"/>
                <w:u w:val="single"/>
              </w:rPr>
              <w:t>0.046</w:t>
            </w:r>
          </w:p>
        </w:tc>
        <w:tc>
          <w:tcPr>
            <w:tcW w:w="1260" w:type="dxa"/>
          </w:tcPr>
          <w:p w14:paraId="623455C8" w14:textId="1B0AC916" w:rsidR="001A0A31" w:rsidRPr="00F22A05" w:rsidRDefault="001A0A31" w:rsidP="00581A21">
            <w:pPr>
              <w:jc w:val="center"/>
              <w:rPr>
                <w:sz w:val="22"/>
                <w:szCs w:val="22"/>
                <w:u w:val="single"/>
              </w:rPr>
            </w:pPr>
            <w:r w:rsidRPr="00F22A05">
              <w:rPr>
                <w:sz w:val="22"/>
                <w:szCs w:val="22"/>
                <w:u w:val="single"/>
              </w:rPr>
              <w:t>0.038</w:t>
            </w:r>
          </w:p>
        </w:tc>
        <w:tc>
          <w:tcPr>
            <w:tcW w:w="1080" w:type="dxa"/>
          </w:tcPr>
          <w:p w14:paraId="74F9BDDA" w14:textId="7A1AF073" w:rsidR="001A0A31" w:rsidRPr="00F22A05" w:rsidRDefault="001A0A31" w:rsidP="00581A21">
            <w:pPr>
              <w:jc w:val="center"/>
              <w:rPr>
                <w:sz w:val="22"/>
                <w:szCs w:val="22"/>
                <w:u w:val="single"/>
              </w:rPr>
            </w:pPr>
            <w:r w:rsidRPr="00F22A05">
              <w:rPr>
                <w:u w:val="single"/>
              </w:rPr>
              <w:t>0.042</w:t>
            </w:r>
          </w:p>
        </w:tc>
      </w:tr>
      <w:tr w:rsidR="00F22A05" w:rsidRPr="00F22A05" w14:paraId="01F94B86" w14:textId="6E211EE6" w:rsidTr="00581A21">
        <w:trPr>
          <w:tblHeader/>
          <w:jc w:val="center"/>
        </w:trPr>
        <w:tc>
          <w:tcPr>
            <w:tcW w:w="805" w:type="dxa"/>
          </w:tcPr>
          <w:p w14:paraId="697C8177" w14:textId="4468CC61" w:rsidR="001A0A31" w:rsidRPr="00F22A05" w:rsidRDefault="001A0A31" w:rsidP="001A0A31">
            <w:pPr>
              <w:rPr>
                <w:u w:val="single"/>
              </w:rPr>
            </w:pPr>
            <w:r w:rsidRPr="00F22A05">
              <w:rPr>
                <w:sz w:val="22"/>
                <w:szCs w:val="22"/>
                <w:u w:val="single"/>
              </w:rPr>
              <w:t>14-15</w:t>
            </w:r>
          </w:p>
        </w:tc>
        <w:tc>
          <w:tcPr>
            <w:tcW w:w="1080" w:type="dxa"/>
          </w:tcPr>
          <w:p w14:paraId="687F980E" w14:textId="4CEC7BB2" w:rsidR="001A0A31" w:rsidRPr="00F22A05" w:rsidRDefault="001A0A31" w:rsidP="00581A21">
            <w:pPr>
              <w:jc w:val="center"/>
              <w:rPr>
                <w:u w:val="single"/>
              </w:rPr>
            </w:pPr>
            <w:r w:rsidRPr="00F22A05">
              <w:rPr>
                <w:sz w:val="22"/>
                <w:szCs w:val="22"/>
                <w:u w:val="single"/>
              </w:rPr>
              <w:t>0.049</w:t>
            </w:r>
          </w:p>
        </w:tc>
        <w:tc>
          <w:tcPr>
            <w:tcW w:w="990" w:type="dxa"/>
          </w:tcPr>
          <w:p w14:paraId="6B1D3382" w14:textId="3C242C1E" w:rsidR="001A0A31" w:rsidRPr="00F22A05" w:rsidRDefault="001A0A31" w:rsidP="00581A21">
            <w:pPr>
              <w:jc w:val="center"/>
              <w:rPr>
                <w:sz w:val="22"/>
                <w:szCs w:val="22"/>
                <w:u w:val="single"/>
              </w:rPr>
            </w:pPr>
            <w:r w:rsidRPr="00F22A05">
              <w:rPr>
                <w:sz w:val="22"/>
                <w:szCs w:val="22"/>
                <w:u w:val="single"/>
              </w:rPr>
              <w:t>0.05</w:t>
            </w:r>
            <w:r w:rsidR="00757846" w:rsidRPr="00F22A05">
              <w:rPr>
                <w:sz w:val="22"/>
                <w:szCs w:val="22"/>
                <w:u w:val="single"/>
              </w:rPr>
              <w:t>8</w:t>
            </w:r>
          </w:p>
        </w:tc>
        <w:tc>
          <w:tcPr>
            <w:tcW w:w="1350" w:type="dxa"/>
          </w:tcPr>
          <w:p w14:paraId="114E96E6" w14:textId="56159C22" w:rsidR="001A0A31" w:rsidRPr="00F22A05" w:rsidRDefault="001A0A31" w:rsidP="00581A21">
            <w:pPr>
              <w:jc w:val="center"/>
              <w:rPr>
                <w:sz w:val="22"/>
                <w:szCs w:val="22"/>
                <w:u w:val="single"/>
              </w:rPr>
            </w:pPr>
            <w:r w:rsidRPr="00F22A05">
              <w:rPr>
                <w:sz w:val="22"/>
                <w:szCs w:val="22"/>
                <w:u w:val="single"/>
              </w:rPr>
              <w:t>0.036</w:t>
            </w:r>
          </w:p>
        </w:tc>
        <w:tc>
          <w:tcPr>
            <w:tcW w:w="1080" w:type="dxa"/>
          </w:tcPr>
          <w:p w14:paraId="7E1DF798" w14:textId="0B23FE68" w:rsidR="001A0A31" w:rsidRPr="00F22A05" w:rsidRDefault="001A0A31" w:rsidP="00581A21">
            <w:pPr>
              <w:jc w:val="center"/>
              <w:rPr>
                <w:sz w:val="22"/>
                <w:szCs w:val="22"/>
                <w:u w:val="single"/>
              </w:rPr>
            </w:pPr>
            <w:r w:rsidRPr="00F22A05">
              <w:rPr>
                <w:sz w:val="22"/>
                <w:szCs w:val="22"/>
                <w:u w:val="single"/>
              </w:rPr>
              <w:t>0.039</w:t>
            </w:r>
          </w:p>
        </w:tc>
        <w:tc>
          <w:tcPr>
            <w:tcW w:w="1260" w:type="dxa"/>
          </w:tcPr>
          <w:p w14:paraId="47A3B797" w14:textId="79E1F552" w:rsidR="001A0A31" w:rsidRPr="00F22A05" w:rsidRDefault="001A0A31" w:rsidP="00581A21">
            <w:pPr>
              <w:jc w:val="center"/>
              <w:rPr>
                <w:sz w:val="22"/>
                <w:szCs w:val="22"/>
                <w:u w:val="single"/>
              </w:rPr>
            </w:pPr>
            <w:r w:rsidRPr="00F22A05">
              <w:rPr>
                <w:sz w:val="22"/>
                <w:szCs w:val="22"/>
                <w:u w:val="single"/>
              </w:rPr>
              <w:t>0.042</w:t>
            </w:r>
          </w:p>
        </w:tc>
        <w:tc>
          <w:tcPr>
            <w:tcW w:w="1080" w:type="dxa"/>
          </w:tcPr>
          <w:p w14:paraId="0D60E31E" w14:textId="00B9E419" w:rsidR="001A0A31" w:rsidRPr="00F22A05" w:rsidRDefault="001A0A31" w:rsidP="00581A21">
            <w:pPr>
              <w:jc w:val="center"/>
              <w:rPr>
                <w:sz w:val="22"/>
                <w:szCs w:val="22"/>
                <w:u w:val="single"/>
              </w:rPr>
            </w:pPr>
            <w:r w:rsidRPr="00F22A05">
              <w:rPr>
                <w:u w:val="single"/>
              </w:rPr>
              <w:t>0.042</w:t>
            </w:r>
          </w:p>
        </w:tc>
      </w:tr>
      <w:tr w:rsidR="00F22A05" w:rsidRPr="00F22A05" w14:paraId="224D9F75" w14:textId="41BE751E" w:rsidTr="00581A21">
        <w:trPr>
          <w:tblHeader/>
          <w:jc w:val="center"/>
        </w:trPr>
        <w:tc>
          <w:tcPr>
            <w:tcW w:w="805" w:type="dxa"/>
          </w:tcPr>
          <w:p w14:paraId="06922960" w14:textId="4B3BBA0A" w:rsidR="001A0A31" w:rsidRPr="00F22A05" w:rsidRDefault="001A0A31" w:rsidP="001A0A31">
            <w:pPr>
              <w:rPr>
                <w:u w:val="single"/>
              </w:rPr>
            </w:pPr>
            <w:r w:rsidRPr="00F22A05">
              <w:rPr>
                <w:sz w:val="22"/>
                <w:szCs w:val="22"/>
                <w:u w:val="single"/>
              </w:rPr>
              <w:t>15-16</w:t>
            </w:r>
          </w:p>
        </w:tc>
        <w:tc>
          <w:tcPr>
            <w:tcW w:w="1080" w:type="dxa"/>
          </w:tcPr>
          <w:p w14:paraId="304A0279" w14:textId="3CF86D41" w:rsidR="001A0A31" w:rsidRPr="00F22A05" w:rsidRDefault="001A0A31" w:rsidP="00581A21">
            <w:pPr>
              <w:jc w:val="center"/>
              <w:rPr>
                <w:u w:val="single"/>
              </w:rPr>
            </w:pPr>
            <w:r w:rsidRPr="00F22A05">
              <w:rPr>
                <w:sz w:val="22"/>
                <w:szCs w:val="22"/>
                <w:u w:val="single"/>
              </w:rPr>
              <w:t>0.05</w:t>
            </w:r>
            <w:r w:rsidR="00757846" w:rsidRPr="00F22A05">
              <w:rPr>
                <w:sz w:val="22"/>
                <w:szCs w:val="22"/>
                <w:u w:val="single"/>
              </w:rPr>
              <w:t>1</w:t>
            </w:r>
          </w:p>
        </w:tc>
        <w:tc>
          <w:tcPr>
            <w:tcW w:w="990" w:type="dxa"/>
          </w:tcPr>
          <w:p w14:paraId="1970219B" w14:textId="10DF73AD" w:rsidR="001A0A31" w:rsidRPr="00F22A05" w:rsidRDefault="001A0A31" w:rsidP="00581A21">
            <w:pPr>
              <w:jc w:val="center"/>
              <w:rPr>
                <w:sz w:val="22"/>
                <w:szCs w:val="22"/>
                <w:u w:val="single"/>
              </w:rPr>
            </w:pPr>
            <w:r w:rsidRPr="00F22A05">
              <w:rPr>
                <w:sz w:val="22"/>
                <w:szCs w:val="22"/>
                <w:u w:val="single"/>
              </w:rPr>
              <w:t>0.061</w:t>
            </w:r>
          </w:p>
        </w:tc>
        <w:tc>
          <w:tcPr>
            <w:tcW w:w="1350" w:type="dxa"/>
          </w:tcPr>
          <w:p w14:paraId="62110E78" w14:textId="3B55E900" w:rsidR="001A0A31" w:rsidRPr="00F22A05" w:rsidRDefault="001A0A31" w:rsidP="00581A21">
            <w:pPr>
              <w:jc w:val="center"/>
              <w:rPr>
                <w:sz w:val="22"/>
                <w:szCs w:val="22"/>
                <w:u w:val="single"/>
              </w:rPr>
            </w:pPr>
            <w:r w:rsidRPr="00F22A05">
              <w:rPr>
                <w:sz w:val="22"/>
                <w:szCs w:val="22"/>
                <w:u w:val="single"/>
              </w:rPr>
              <w:t>0.038</w:t>
            </w:r>
          </w:p>
        </w:tc>
        <w:tc>
          <w:tcPr>
            <w:tcW w:w="1080" w:type="dxa"/>
          </w:tcPr>
          <w:p w14:paraId="6F2BC1FF" w14:textId="32DCE063" w:rsidR="001A0A31" w:rsidRPr="00F22A05" w:rsidRDefault="001A0A31" w:rsidP="00581A21">
            <w:pPr>
              <w:jc w:val="center"/>
              <w:rPr>
                <w:sz w:val="22"/>
                <w:szCs w:val="22"/>
                <w:u w:val="single"/>
              </w:rPr>
            </w:pPr>
            <w:r w:rsidRPr="00F22A05">
              <w:rPr>
                <w:sz w:val="22"/>
                <w:szCs w:val="22"/>
                <w:u w:val="single"/>
              </w:rPr>
              <w:t>0.054</w:t>
            </w:r>
          </w:p>
        </w:tc>
        <w:tc>
          <w:tcPr>
            <w:tcW w:w="1260" w:type="dxa"/>
          </w:tcPr>
          <w:p w14:paraId="64E9EA24" w14:textId="322DF5EE" w:rsidR="001A0A31" w:rsidRPr="00F22A05" w:rsidRDefault="001A0A31" w:rsidP="00581A21">
            <w:pPr>
              <w:jc w:val="center"/>
              <w:rPr>
                <w:sz w:val="22"/>
                <w:szCs w:val="22"/>
                <w:u w:val="single"/>
              </w:rPr>
            </w:pPr>
            <w:r w:rsidRPr="00F22A05">
              <w:rPr>
                <w:sz w:val="22"/>
                <w:szCs w:val="22"/>
                <w:u w:val="single"/>
              </w:rPr>
              <w:t>0.046</w:t>
            </w:r>
          </w:p>
        </w:tc>
        <w:tc>
          <w:tcPr>
            <w:tcW w:w="1080" w:type="dxa"/>
          </w:tcPr>
          <w:p w14:paraId="2B2A8B4E" w14:textId="4C9A5FEA" w:rsidR="001A0A31" w:rsidRPr="00F22A05" w:rsidRDefault="001A0A31" w:rsidP="00581A21">
            <w:pPr>
              <w:jc w:val="center"/>
              <w:rPr>
                <w:sz w:val="22"/>
                <w:szCs w:val="22"/>
                <w:u w:val="single"/>
              </w:rPr>
            </w:pPr>
            <w:r w:rsidRPr="00F22A05">
              <w:rPr>
                <w:u w:val="single"/>
              </w:rPr>
              <w:t>0.044</w:t>
            </w:r>
          </w:p>
        </w:tc>
      </w:tr>
      <w:tr w:rsidR="00F22A05" w:rsidRPr="00F22A05" w14:paraId="0FCD4C07" w14:textId="254AC8C6" w:rsidTr="00581A21">
        <w:trPr>
          <w:tblHeader/>
          <w:jc w:val="center"/>
        </w:trPr>
        <w:tc>
          <w:tcPr>
            <w:tcW w:w="805" w:type="dxa"/>
          </w:tcPr>
          <w:p w14:paraId="3CD01708" w14:textId="16A04FE5" w:rsidR="001A0A31" w:rsidRPr="00F22A05" w:rsidRDefault="001A0A31" w:rsidP="001A0A31">
            <w:pPr>
              <w:rPr>
                <w:u w:val="single"/>
              </w:rPr>
            </w:pPr>
            <w:r w:rsidRPr="00F22A05">
              <w:rPr>
                <w:sz w:val="22"/>
                <w:szCs w:val="22"/>
                <w:u w:val="single"/>
              </w:rPr>
              <w:t>16-17</w:t>
            </w:r>
          </w:p>
        </w:tc>
        <w:tc>
          <w:tcPr>
            <w:tcW w:w="1080" w:type="dxa"/>
          </w:tcPr>
          <w:p w14:paraId="1610710A" w14:textId="06CCF83C" w:rsidR="001A0A31" w:rsidRPr="00F22A05" w:rsidRDefault="001A0A31" w:rsidP="00581A21">
            <w:pPr>
              <w:jc w:val="center"/>
              <w:rPr>
                <w:u w:val="single"/>
              </w:rPr>
            </w:pPr>
            <w:r w:rsidRPr="00F22A05">
              <w:rPr>
                <w:sz w:val="22"/>
                <w:szCs w:val="22"/>
                <w:u w:val="single"/>
              </w:rPr>
              <w:t>0.050</w:t>
            </w:r>
          </w:p>
        </w:tc>
        <w:tc>
          <w:tcPr>
            <w:tcW w:w="990" w:type="dxa"/>
          </w:tcPr>
          <w:p w14:paraId="5181389A" w14:textId="5BBE3A2E" w:rsidR="001A0A31" w:rsidRPr="00F22A05" w:rsidRDefault="001A0A31" w:rsidP="00581A21">
            <w:pPr>
              <w:jc w:val="center"/>
              <w:rPr>
                <w:sz w:val="22"/>
                <w:szCs w:val="22"/>
                <w:u w:val="single"/>
              </w:rPr>
            </w:pPr>
            <w:r w:rsidRPr="00F22A05">
              <w:rPr>
                <w:sz w:val="22"/>
                <w:szCs w:val="22"/>
                <w:u w:val="single"/>
              </w:rPr>
              <w:t>0.055</w:t>
            </w:r>
          </w:p>
        </w:tc>
        <w:tc>
          <w:tcPr>
            <w:tcW w:w="1350" w:type="dxa"/>
          </w:tcPr>
          <w:p w14:paraId="2EBD8A6E" w14:textId="1EE62ED3" w:rsidR="001A0A31" w:rsidRPr="00F22A05" w:rsidRDefault="001A0A31" w:rsidP="00581A21">
            <w:pPr>
              <w:jc w:val="center"/>
              <w:rPr>
                <w:sz w:val="22"/>
                <w:szCs w:val="22"/>
                <w:u w:val="single"/>
              </w:rPr>
            </w:pPr>
            <w:r w:rsidRPr="00F22A05">
              <w:rPr>
                <w:sz w:val="22"/>
                <w:szCs w:val="22"/>
                <w:u w:val="single"/>
              </w:rPr>
              <w:t>0.038</w:t>
            </w:r>
          </w:p>
        </w:tc>
        <w:tc>
          <w:tcPr>
            <w:tcW w:w="1080" w:type="dxa"/>
          </w:tcPr>
          <w:p w14:paraId="1AA28EE9" w14:textId="4FAC95C6" w:rsidR="001A0A31" w:rsidRPr="00F22A05" w:rsidRDefault="001A0A31" w:rsidP="00581A21">
            <w:pPr>
              <w:jc w:val="center"/>
              <w:rPr>
                <w:sz w:val="22"/>
                <w:szCs w:val="22"/>
                <w:u w:val="single"/>
              </w:rPr>
            </w:pPr>
            <w:r w:rsidRPr="00F22A05">
              <w:rPr>
                <w:sz w:val="22"/>
                <w:szCs w:val="22"/>
                <w:u w:val="single"/>
              </w:rPr>
              <w:t>0.07</w:t>
            </w:r>
            <w:r w:rsidR="00757846" w:rsidRPr="00F22A05">
              <w:rPr>
                <w:sz w:val="22"/>
                <w:szCs w:val="22"/>
                <w:u w:val="single"/>
              </w:rPr>
              <w:t>6</w:t>
            </w:r>
          </w:p>
        </w:tc>
        <w:tc>
          <w:tcPr>
            <w:tcW w:w="1260" w:type="dxa"/>
          </w:tcPr>
          <w:p w14:paraId="5F7A3A37" w14:textId="3E57F17B" w:rsidR="001A0A31" w:rsidRPr="00F22A05" w:rsidRDefault="001A0A31" w:rsidP="00581A21">
            <w:pPr>
              <w:jc w:val="center"/>
              <w:rPr>
                <w:sz w:val="22"/>
                <w:szCs w:val="22"/>
                <w:u w:val="single"/>
              </w:rPr>
            </w:pPr>
            <w:r w:rsidRPr="00F22A05">
              <w:rPr>
                <w:sz w:val="22"/>
                <w:szCs w:val="22"/>
                <w:u w:val="single"/>
              </w:rPr>
              <w:t>0.054</w:t>
            </w:r>
          </w:p>
        </w:tc>
        <w:tc>
          <w:tcPr>
            <w:tcW w:w="1080" w:type="dxa"/>
          </w:tcPr>
          <w:p w14:paraId="5B70C2E6" w14:textId="4875265F" w:rsidR="001A0A31" w:rsidRPr="00F22A05" w:rsidRDefault="001A0A31" w:rsidP="00581A21">
            <w:pPr>
              <w:jc w:val="center"/>
              <w:rPr>
                <w:sz w:val="22"/>
                <w:szCs w:val="22"/>
                <w:u w:val="single"/>
              </w:rPr>
            </w:pPr>
            <w:r w:rsidRPr="00F22A05">
              <w:rPr>
                <w:u w:val="single"/>
              </w:rPr>
              <w:t>0.047</w:t>
            </w:r>
          </w:p>
        </w:tc>
      </w:tr>
      <w:tr w:rsidR="00F22A05" w:rsidRPr="00F22A05" w14:paraId="6F039A6A" w14:textId="65ED964B" w:rsidTr="00581A21">
        <w:trPr>
          <w:tblHeader/>
          <w:jc w:val="center"/>
        </w:trPr>
        <w:tc>
          <w:tcPr>
            <w:tcW w:w="805" w:type="dxa"/>
          </w:tcPr>
          <w:p w14:paraId="393BBC66" w14:textId="369CA715" w:rsidR="001A0A31" w:rsidRPr="00F22A05" w:rsidRDefault="001A0A31" w:rsidP="001A0A31">
            <w:pPr>
              <w:rPr>
                <w:u w:val="single"/>
              </w:rPr>
            </w:pPr>
            <w:r w:rsidRPr="00F22A05">
              <w:rPr>
                <w:sz w:val="22"/>
                <w:szCs w:val="22"/>
                <w:u w:val="single"/>
              </w:rPr>
              <w:t>17-18</w:t>
            </w:r>
          </w:p>
        </w:tc>
        <w:tc>
          <w:tcPr>
            <w:tcW w:w="1080" w:type="dxa"/>
          </w:tcPr>
          <w:p w14:paraId="43B76DFF" w14:textId="6D2D1C24" w:rsidR="001A0A31" w:rsidRPr="00F22A05" w:rsidRDefault="001A0A31" w:rsidP="00581A21">
            <w:pPr>
              <w:jc w:val="center"/>
              <w:rPr>
                <w:u w:val="single"/>
              </w:rPr>
            </w:pPr>
            <w:r w:rsidRPr="00F22A05">
              <w:rPr>
                <w:sz w:val="22"/>
                <w:szCs w:val="22"/>
                <w:u w:val="single"/>
              </w:rPr>
              <w:t>0.049</w:t>
            </w:r>
          </w:p>
        </w:tc>
        <w:tc>
          <w:tcPr>
            <w:tcW w:w="990" w:type="dxa"/>
          </w:tcPr>
          <w:p w14:paraId="1A1E631C" w14:textId="119F99BD" w:rsidR="001A0A31" w:rsidRPr="00F22A05" w:rsidRDefault="001A0A31" w:rsidP="00581A21">
            <w:pPr>
              <w:jc w:val="center"/>
              <w:rPr>
                <w:sz w:val="22"/>
                <w:szCs w:val="22"/>
                <w:u w:val="single"/>
              </w:rPr>
            </w:pPr>
            <w:r w:rsidRPr="00F22A05">
              <w:rPr>
                <w:sz w:val="22"/>
                <w:szCs w:val="22"/>
                <w:u w:val="single"/>
              </w:rPr>
              <w:t>0.054</w:t>
            </w:r>
          </w:p>
        </w:tc>
        <w:tc>
          <w:tcPr>
            <w:tcW w:w="1350" w:type="dxa"/>
          </w:tcPr>
          <w:p w14:paraId="50D2740F" w14:textId="6046E937" w:rsidR="001A0A31" w:rsidRPr="00F22A05" w:rsidRDefault="001A0A31" w:rsidP="00581A21">
            <w:pPr>
              <w:jc w:val="center"/>
              <w:rPr>
                <w:sz w:val="22"/>
                <w:szCs w:val="22"/>
                <w:u w:val="single"/>
              </w:rPr>
            </w:pPr>
            <w:r w:rsidRPr="00F22A05">
              <w:rPr>
                <w:sz w:val="22"/>
                <w:szCs w:val="22"/>
                <w:u w:val="single"/>
              </w:rPr>
              <w:t>0.049</w:t>
            </w:r>
          </w:p>
        </w:tc>
        <w:tc>
          <w:tcPr>
            <w:tcW w:w="1080" w:type="dxa"/>
          </w:tcPr>
          <w:p w14:paraId="527BE82B" w14:textId="4E0DD89D" w:rsidR="001A0A31" w:rsidRPr="00F22A05" w:rsidRDefault="001A0A31" w:rsidP="00581A21">
            <w:pPr>
              <w:jc w:val="center"/>
              <w:rPr>
                <w:sz w:val="22"/>
                <w:szCs w:val="22"/>
                <w:u w:val="single"/>
              </w:rPr>
            </w:pPr>
            <w:r w:rsidRPr="00F22A05">
              <w:rPr>
                <w:sz w:val="22"/>
                <w:szCs w:val="22"/>
                <w:u w:val="single"/>
              </w:rPr>
              <w:t>0.13</w:t>
            </w:r>
            <w:r w:rsidR="00757846" w:rsidRPr="00F22A05">
              <w:rPr>
                <w:sz w:val="22"/>
                <w:szCs w:val="22"/>
                <w:u w:val="single"/>
              </w:rPr>
              <w:t>4</w:t>
            </w:r>
          </w:p>
        </w:tc>
        <w:tc>
          <w:tcPr>
            <w:tcW w:w="1260" w:type="dxa"/>
          </w:tcPr>
          <w:p w14:paraId="7021270F" w14:textId="152C6B85" w:rsidR="001A0A31" w:rsidRPr="00F22A05" w:rsidRDefault="001A0A31" w:rsidP="00581A21">
            <w:pPr>
              <w:jc w:val="center"/>
              <w:rPr>
                <w:sz w:val="22"/>
                <w:szCs w:val="22"/>
                <w:u w:val="single"/>
              </w:rPr>
            </w:pPr>
            <w:r w:rsidRPr="00F22A05">
              <w:rPr>
                <w:sz w:val="22"/>
                <w:szCs w:val="22"/>
                <w:u w:val="single"/>
              </w:rPr>
              <w:t>0.062</w:t>
            </w:r>
          </w:p>
        </w:tc>
        <w:tc>
          <w:tcPr>
            <w:tcW w:w="1080" w:type="dxa"/>
          </w:tcPr>
          <w:p w14:paraId="5C8E8B8F" w14:textId="10881DDE" w:rsidR="001A0A31" w:rsidRPr="00F22A05" w:rsidRDefault="001A0A31" w:rsidP="00581A21">
            <w:pPr>
              <w:jc w:val="center"/>
              <w:rPr>
                <w:sz w:val="22"/>
                <w:szCs w:val="22"/>
                <w:u w:val="single"/>
              </w:rPr>
            </w:pPr>
            <w:r w:rsidRPr="00F22A05">
              <w:rPr>
                <w:u w:val="single"/>
              </w:rPr>
              <w:t>0.050</w:t>
            </w:r>
          </w:p>
        </w:tc>
      </w:tr>
      <w:tr w:rsidR="00F22A05" w:rsidRPr="00F22A05" w14:paraId="6FDB8A64" w14:textId="64388673" w:rsidTr="00581A21">
        <w:trPr>
          <w:tblHeader/>
          <w:jc w:val="center"/>
        </w:trPr>
        <w:tc>
          <w:tcPr>
            <w:tcW w:w="805" w:type="dxa"/>
          </w:tcPr>
          <w:p w14:paraId="6C4E13A6" w14:textId="6794C90A" w:rsidR="001A0A31" w:rsidRPr="00F22A05" w:rsidRDefault="001A0A31" w:rsidP="001A0A31">
            <w:pPr>
              <w:rPr>
                <w:u w:val="single"/>
              </w:rPr>
            </w:pPr>
            <w:r w:rsidRPr="00F22A05">
              <w:rPr>
                <w:sz w:val="22"/>
                <w:szCs w:val="22"/>
                <w:u w:val="single"/>
              </w:rPr>
              <w:t>18-19</w:t>
            </w:r>
          </w:p>
        </w:tc>
        <w:tc>
          <w:tcPr>
            <w:tcW w:w="1080" w:type="dxa"/>
          </w:tcPr>
          <w:p w14:paraId="0A54BCCC" w14:textId="351B0A1C" w:rsidR="001A0A31" w:rsidRPr="00F22A05" w:rsidRDefault="001A0A31" w:rsidP="00581A21">
            <w:pPr>
              <w:jc w:val="center"/>
              <w:rPr>
                <w:u w:val="single"/>
              </w:rPr>
            </w:pPr>
            <w:r w:rsidRPr="00F22A05">
              <w:rPr>
                <w:sz w:val="22"/>
                <w:szCs w:val="22"/>
                <w:u w:val="single"/>
              </w:rPr>
              <w:t>0.049</w:t>
            </w:r>
          </w:p>
        </w:tc>
        <w:tc>
          <w:tcPr>
            <w:tcW w:w="990" w:type="dxa"/>
          </w:tcPr>
          <w:p w14:paraId="374AA43F" w14:textId="1733344C" w:rsidR="001A0A31" w:rsidRPr="00F22A05" w:rsidRDefault="001A0A31" w:rsidP="00581A21">
            <w:pPr>
              <w:jc w:val="center"/>
              <w:rPr>
                <w:sz w:val="22"/>
                <w:szCs w:val="22"/>
                <w:u w:val="single"/>
              </w:rPr>
            </w:pPr>
            <w:r w:rsidRPr="00F22A05">
              <w:rPr>
                <w:sz w:val="22"/>
                <w:szCs w:val="22"/>
                <w:u w:val="single"/>
              </w:rPr>
              <w:t>0.051</w:t>
            </w:r>
          </w:p>
        </w:tc>
        <w:tc>
          <w:tcPr>
            <w:tcW w:w="1350" w:type="dxa"/>
          </w:tcPr>
          <w:p w14:paraId="487D8FE8" w14:textId="5A5EA3CC" w:rsidR="001A0A31" w:rsidRPr="00F22A05" w:rsidRDefault="001A0A31" w:rsidP="00581A21">
            <w:pPr>
              <w:jc w:val="center"/>
              <w:rPr>
                <w:sz w:val="22"/>
                <w:szCs w:val="22"/>
                <w:u w:val="single"/>
              </w:rPr>
            </w:pPr>
            <w:r w:rsidRPr="00F22A05">
              <w:rPr>
                <w:sz w:val="22"/>
                <w:szCs w:val="22"/>
                <w:u w:val="single"/>
              </w:rPr>
              <w:t>0.087</w:t>
            </w:r>
          </w:p>
        </w:tc>
        <w:tc>
          <w:tcPr>
            <w:tcW w:w="1080" w:type="dxa"/>
          </w:tcPr>
          <w:p w14:paraId="1FF2DFE5" w14:textId="2F0D804E" w:rsidR="001A0A31" w:rsidRPr="00F22A05" w:rsidRDefault="001A0A31" w:rsidP="00581A21">
            <w:pPr>
              <w:jc w:val="center"/>
              <w:rPr>
                <w:sz w:val="22"/>
                <w:szCs w:val="22"/>
                <w:u w:val="single"/>
              </w:rPr>
            </w:pPr>
            <w:r w:rsidRPr="00F22A05">
              <w:rPr>
                <w:sz w:val="22"/>
                <w:szCs w:val="22"/>
                <w:u w:val="single"/>
              </w:rPr>
              <w:t>0.11</w:t>
            </w:r>
            <w:r w:rsidR="00757846" w:rsidRPr="00F22A05">
              <w:rPr>
                <w:sz w:val="22"/>
                <w:szCs w:val="22"/>
                <w:u w:val="single"/>
              </w:rPr>
              <w:t>4</w:t>
            </w:r>
          </w:p>
        </w:tc>
        <w:tc>
          <w:tcPr>
            <w:tcW w:w="1260" w:type="dxa"/>
          </w:tcPr>
          <w:p w14:paraId="5C6EED09" w14:textId="2B0C26CF" w:rsidR="001A0A31" w:rsidRPr="00F22A05" w:rsidRDefault="001A0A31" w:rsidP="00581A21">
            <w:pPr>
              <w:jc w:val="center"/>
              <w:rPr>
                <w:sz w:val="22"/>
                <w:szCs w:val="22"/>
                <w:u w:val="single"/>
              </w:rPr>
            </w:pPr>
            <w:r w:rsidRPr="00F22A05">
              <w:rPr>
                <w:sz w:val="22"/>
                <w:szCs w:val="22"/>
                <w:u w:val="single"/>
              </w:rPr>
              <w:t>0.080</w:t>
            </w:r>
          </w:p>
        </w:tc>
        <w:tc>
          <w:tcPr>
            <w:tcW w:w="1080" w:type="dxa"/>
          </w:tcPr>
          <w:p w14:paraId="3207F748" w14:textId="197703EA" w:rsidR="001A0A31" w:rsidRPr="00F22A05" w:rsidRDefault="001A0A31" w:rsidP="00581A21">
            <w:pPr>
              <w:jc w:val="center"/>
              <w:rPr>
                <w:sz w:val="22"/>
                <w:szCs w:val="22"/>
                <w:u w:val="single"/>
              </w:rPr>
            </w:pPr>
            <w:r w:rsidRPr="00F22A05">
              <w:rPr>
                <w:u w:val="single"/>
              </w:rPr>
              <w:t>0.051</w:t>
            </w:r>
          </w:p>
        </w:tc>
      </w:tr>
      <w:tr w:rsidR="00F22A05" w:rsidRPr="00F22A05" w14:paraId="325F4FDF" w14:textId="5772ECAC" w:rsidTr="00581A21">
        <w:trPr>
          <w:tblHeader/>
          <w:jc w:val="center"/>
        </w:trPr>
        <w:tc>
          <w:tcPr>
            <w:tcW w:w="805" w:type="dxa"/>
          </w:tcPr>
          <w:p w14:paraId="3C068283" w14:textId="2CB564A6" w:rsidR="001A0A31" w:rsidRPr="00F22A05" w:rsidRDefault="001A0A31" w:rsidP="001A0A31">
            <w:pPr>
              <w:rPr>
                <w:u w:val="single"/>
              </w:rPr>
            </w:pPr>
            <w:r w:rsidRPr="00F22A05">
              <w:rPr>
                <w:sz w:val="22"/>
                <w:szCs w:val="22"/>
                <w:u w:val="single"/>
              </w:rPr>
              <w:t>19-20</w:t>
            </w:r>
          </w:p>
        </w:tc>
        <w:tc>
          <w:tcPr>
            <w:tcW w:w="1080" w:type="dxa"/>
          </w:tcPr>
          <w:p w14:paraId="60C9A22C" w14:textId="3188BFCA" w:rsidR="001A0A31" w:rsidRPr="00F22A05" w:rsidRDefault="001A0A31" w:rsidP="00581A21">
            <w:pPr>
              <w:jc w:val="center"/>
              <w:rPr>
                <w:u w:val="single"/>
              </w:rPr>
            </w:pPr>
            <w:r w:rsidRPr="00F22A05">
              <w:rPr>
                <w:sz w:val="22"/>
                <w:szCs w:val="22"/>
                <w:u w:val="single"/>
              </w:rPr>
              <w:t>0.049</w:t>
            </w:r>
          </w:p>
        </w:tc>
        <w:tc>
          <w:tcPr>
            <w:tcW w:w="990" w:type="dxa"/>
          </w:tcPr>
          <w:p w14:paraId="5898A797" w14:textId="37F1B674" w:rsidR="001A0A31" w:rsidRPr="00F22A05" w:rsidRDefault="001A0A31" w:rsidP="00581A21">
            <w:pPr>
              <w:jc w:val="center"/>
              <w:rPr>
                <w:sz w:val="22"/>
                <w:szCs w:val="22"/>
                <w:u w:val="single"/>
              </w:rPr>
            </w:pPr>
            <w:r w:rsidRPr="00F22A05">
              <w:rPr>
                <w:sz w:val="22"/>
                <w:szCs w:val="22"/>
                <w:u w:val="single"/>
              </w:rPr>
              <w:t>0.051</w:t>
            </w:r>
          </w:p>
        </w:tc>
        <w:tc>
          <w:tcPr>
            <w:tcW w:w="1350" w:type="dxa"/>
          </w:tcPr>
          <w:p w14:paraId="6B6FD8A2" w14:textId="19F39C6E" w:rsidR="001A0A31" w:rsidRPr="00F22A05" w:rsidRDefault="001A0A31" w:rsidP="00581A21">
            <w:pPr>
              <w:jc w:val="center"/>
              <w:rPr>
                <w:sz w:val="22"/>
                <w:szCs w:val="22"/>
                <w:u w:val="single"/>
              </w:rPr>
            </w:pPr>
            <w:r w:rsidRPr="00F22A05">
              <w:rPr>
                <w:sz w:val="22"/>
                <w:szCs w:val="22"/>
                <w:u w:val="single"/>
              </w:rPr>
              <w:t>0.111</w:t>
            </w:r>
          </w:p>
        </w:tc>
        <w:tc>
          <w:tcPr>
            <w:tcW w:w="1080" w:type="dxa"/>
          </w:tcPr>
          <w:p w14:paraId="1126888B" w14:textId="6A6D8EF9" w:rsidR="001A0A31" w:rsidRPr="00F22A05" w:rsidRDefault="001A0A31" w:rsidP="00581A21">
            <w:pPr>
              <w:jc w:val="center"/>
              <w:rPr>
                <w:sz w:val="22"/>
                <w:szCs w:val="22"/>
                <w:u w:val="single"/>
              </w:rPr>
            </w:pPr>
            <w:r w:rsidRPr="00F22A05">
              <w:rPr>
                <w:sz w:val="22"/>
                <w:szCs w:val="22"/>
                <w:u w:val="single"/>
              </w:rPr>
              <w:t>0.058</w:t>
            </w:r>
          </w:p>
        </w:tc>
        <w:tc>
          <w:tcPr>
            <w:tcW w:w="1260" w:type="dxa"/>
          </w:tcPr>
          <w:p w14:paraId="57C79290" w14:textId="5894EE27" w:rsidR="001A0A31" w:rsidRPr="00F22A05" w:rsidRDefault="001A0A31" w:rsidP="00581A21">
            <w:pPr>
              <w:jc w:val="center"/>
              <w:rPr>
                <w:sz w:val="22"/>
                <w:szCs w:val="22"/>
                <w:u w:val="single"/>
              </w:rPr>
            </w:pPr>
            <w:r w:rsidRPr="00F22A05">
              <w:rPr>
                <w:sz w:val="22"/>
                <w:szCs w:val="22"/>
                <w:u w:val="single"/>
              </w:rPr>
              <w:t>0.110</w:t>
            </w:r>
          </w:p>
        </w:tc>
        <w:tc>
          <w:tcPr>
            <w:tcW w:w="1080" w:type="dxa"/>
          </w:tcPr>
          <w:p w14:paraId="47CAFE07" w14:textId="495EAC9B" w:rsidR="001A0A31" w:rsidRPr="00F22A05" w:rsidRDefault="001A0A31" w:rsidP="00581A21">
            <w:pPr>
              <w:jc w:val="center"/>
              <w:rPr>
                <w:sz w:val="22"/>
                <w:szCs w:val="22"/>
                <w:u w:val="single"/>
              </w:rPr>
            </w:pPr>
            <w:r w:rsidRPr="00F22A05">
              <w:rPr>
                <w:u w:val="single"/>
              </w:rPr>
              <w:t>0.050</w:t>
            </w:r>
          </w:p>
        </w:tc>
      </w:tr>
      <w:tr w:rsidR="00F22A05" w:rsidRPr="00F22A05" w14:paraId="27950FA9" w14:textId="53B3AAB2" w:rsidTr="00581A21">
        <w:trPr>
          <w:tblHeader/>
          <w:jc w:val="center"/>
        </w:trPr>
        <w:tc>
          <w:tcPr>
            <w:tcW w:w="805" w:type="dxa"/>
          </w:tcPr>
          <w:p w14:paraId="15B2C889" w14:textId="274B89E9" w:rsidR="001A0A31" w:rsidRPr="00F22A05" w:rsidRDefault="001A0A31" w:rsidP="001A0A31">
            <w:pPr>
              <w:rPr>
                <w:u w:val="single"/>
              </w:rPr>
            </w:pPr>
            <w:r w:rsidRPr="00F22A05">
              <w:rPr>
                <w:sz w:val="22"/>
                <w:szCs w:val="22"/>
                <w:u w:val="single"/>
              </w:rPr>
              <w:t>20-21</w:t>
            </w:r>
          </w:p>
        </w:tc>
        <w:tc>
          <w:tcPr>
            <w:tcW w:w="1080" w:type="dxa"/>
          </w:tcPr>
          <w:p w14:paraId="06C3FB87" w14:textId="627EEB58" w:rsidR="001A0A31" w:rsidRPr="00F22A05" w:rsidRDefault="001A0A31" w:rsidP="00581A21">
            <w:pPr>
              <w:jc w:val="center"/>
              <w:rPr>
                <w:u w:val="single"/>
              </w:rPr>
            </w:pPr>
            <w:r w:rsidRPr="00F22A05">
              <w:rPr>
                <w:sz w:val="22"/>
                <w:szCs w:val="22"/>
                <w:u w:val="single"/>
              </w:rPr>
              <w:t>0.049</w:t>
            </w:r>
          </w:p>
        </w:tc>
        <w:tc>
          <w:tcPr>
            <w:tcW w:w="990" w:type="dxa"/>
          </w:tcPr>
          <w:p w14:paraId="3C8D3FC8" w14:textId="33F0A743" w:rsidR="001A0A31" w:rsidRPr="00F22A05" w:rsidRDefault="001A0A31" w:rsidP="00581A21">
            <w:pPr>
              <w:jc w:val="center"/>
              <w:rPr>
                <w:sz w:val="22"/>
                <w:szCs w:val="22"/>
                <w:u w:val="single"/>
              </w:rPr>
            </w:pPr>
            <w:r w:rsidRPr="00F22A05">
              <w:rPr>
                <w:sz w:val="22"/>
                <w:szCs w:val="22"/>
                <w:u w:val="single"/>
              </w:rPr>
              <w:t>0.052</w:t>
            </w:r>
          </w:p>
        </w:tc>
        <w:tc>
          <w:tcPr>
            <w:tcW w:w="1350" w:type="dxa"/>
          </w:tcPr>
          <w:p w14:paraId="5ACD2CCF" w14:textId="634FB6D5" w:rsidR="001A0A31" w:rsidRPr="00F22A05" w:rsidRDefault="001A0A31" w:rsidP="00581A21">
            <w:pPr>
              <w:jc w:val="center"/>
              <w:rPr>
                <w:sz w:val="22"/>
                <w:szCs w:val="22"/>
                <w:u w:val="single"/>
              </w:rPr>
            </w:pPr>
            <w:r w:rsidRPr="00F22A05">
              <w:rPr>
                <w:sz w:val="22"/>
                <w:szCs w:val="22"/>
                <w:u w:val="single"/>
              </w:rPr>
              <w:t>0.090</w:t>
            </w:r>
          </w:p>
        </w:tc>
        <w:tc>
          <w:tcPr>
            <w:tcW w:w="1080" w:type="dxa"/>
          </w:tcPr>
          <w:p w14:paraId="770B35E5" w14:textId="3D766269" w:rsidR="001A0A31" w:rsidRPr="00F22A05" w:rsidRDefault="001A0A31" w:rsidP="00581A21">
            <w:pPr>
              <w:jc w:val="center"/>
              <w:rPr>
                <w:sz w:val="22"/>
                <w:szCs w:val="22"/>
                <w:u w:val="single"/>
              </w:rPr>
            </w:pPr>
            <w:r w:rsidRPr="00F22A05">
              <w:rPr>
                <w:sz w:val="22"/>
                <w:szCs w:val="22"/>
                <w:u w:val="single"/>
              </w:rPr>
              <w:t>0.039</w:t>
            </w:r>
          </w:p>
        </w:tc>
        <w:tc>
          <w:tcPr>
            <w:tcW w:w="1260" w:type="dxa"/>
          </w:tcPr>
          <w:p w14:paraId="3813F67C" w14:textId="52F6B6CD" w:rsidR="001A0A31" w:rsidRPr="00F22A05" w:rsidRDefault="001A0A31" w:rsidP="00581A21">
            <w:pPr>
              <w:jc w:val="center"/>
              <w:rPr>
                <w:sz w:val="22"/>
                <w:szCs w:val="22"/>
                <w:u w:val="single"/>
              </w:rPr>
            </w:pPr>
            <w:r w:rsidRPr="00F22A05">
              <w:rPr>
                <w:sz w:val="22"/>
                <w:szCs w:val="22"/>
                <w:u w:val="single"/>
              </w:rPr>
              <w:t>0.13</w:t>
            </w:r>
            <w:r w:rsidR="00757846" w:rsidRPr="00F22A05">
              <w:rPr>
                <w:sz w:val="22"/>
                <w:szCs w:val="22"/>
                <w:u w:val="single"/>
              </w:rPr>
              <w:t>2</w:t>
            </w:r>
          </w:p>
        </w:tc>
        <w:tc>
          <w:tcPr>
            <w:tcW w:w="1080" w:type="dxa"/>
          </w:tcPr>
          <w:p w14:paraId="37F3B197" w14:textId="601DE9CA" w:rsidR="001A0A31" w:rsidRPr="00F22A05" w:rsidRDefault="001A0A31" w:rsidP="00581A21">
            <w:pPr>
              <w:jc w:val="center"/>
              <w:rPr>
                <w:sz w:val="22"/>
                <w:szCs w:val="22"/>
                <w:u w:val="single"/>
              </w:rPr>
            </w:pPr>
            <w:r w:rsidRPr="00F22A05">
              <w:rPr>
                <w:u w:val="single"/>
              </w:rPr>
              <w:t>0.048</w:t>
            </w:r>
          </w:p>
        </w:tc>
      </w:tr>
      <w:tr w:rsidR="00F22A05" w:rsidRPr="00F22A05" w14:paraId="64265999" w14:textId="1A384F57" w:rsidTr="00581A21">
        <w:trPr>
          <w:tblHeader/>
          <w:jc w:val="center"/>
        </w:trPr>
        <w:tc>
          <w:tcPr>
            <w:tcW w:w="805" w:type="dxa"/>
          </w:tcPr>
          <w:p w14:paraId="12583838" w14:textId="45D199BF" w:rsidR="001A0A31" w:rsidRPr="00F22A05" w:rsidRDefault="001A0A31" w:rsidP="001A0A31">
            <w:pPr>
              <w:rPr>
                <w:u w:val="single"/>
              </w:rPr>
            </w:pPr>
            <w:r w:rsidRPr="00F22A05">
              <w:rPr>
                <w:sz w:val="22"/>
                <w:szCs w:val="22"/>
                <w:u w:val="single"/>
              </w:rPr>
              <w:t>21-22</w:t>
            </w:r>
          </w:p>
        </w:tc>
        <w:tc>
          <w:tcPr>
            <w:tcW w:w="1080" w:type="dxa"/>
          </w:tcPr>
          <w:p w14:paraId="5D7171C4" w14:textId="58BC4C11" w:rsidR="001A0A31" w:rsidRPr="00F22A05" w:rsidRDefault="001A0A31" w:rsidP="00581A21">
            <w:pPr>
              <w:jc w:val="center"/>
              <w:rPr>
                <w:u w:val="single"/>
              </w:rPr>
            </w:pPr>
            <w:r w:rsidRPr="00F22A05">
              <w:rPr>
                <w:sz w:val="22"/>
                <w:szCs w:val="22"/>
                <w:u w:val="single"/>
              </w:rPr>
              <w:t>0.047</w:t>
            </w:r>
          </w:p>
        </w:tc>
        <w:tc>
          <w:tcPr>
            <w:tcW w:w="990" w:type="dxa"/>
          </w:tcPr>
          <w:p w14:paraId="73522798" w14:textId="1F63869B" w:rsidR="001A0A31" w:rsidRPr="00F22A05" w:rsidRDefault="001A0A31" w:rsidP="00581A21">
            <w:pPr>
              <w:jc w:val="center"/>
              <w:rPr>
                <w:sz w:val="22"/>
                <w:szCs w:val="22"/>
                <w:u w:val="single"/>
              </w:rPr>
            </w:pPr>
            <w:r w:rsidRPr="00F22A05">
              <w:rPr>
                <w:sz w:val="22"/>
                <w:szCs w:val="22"/>
                <w:u w:val="single"/>
              </w:rPr>
              <w:t>0.054</w:t>
            </w:r>
          </w:p>
        </w:tc>
        <w:tc>
          <w:tcPr>
            <w:tcW w:w="1350" w:type="dxa"/>
          </w:tcPr>
          <w:p w14:paraId="69FFA650" w14:textId="69215587" w:rsidR="001A0A31" w:rsidRPr="00F22A05" w:rsidRDefault="001A0A31" w:rsidP="00581A21">
            <w:pPr>
              <w:jc w:val="center"/>
              <w:rPr>
                <w:sz w:val="22"/>
                <w:szCs w:val="22"/>
                <w:u w:val="single"/>
              </w:rPr>
            </w:pPr>
            <w:r w:rsidRPr="00F22A05">
              <w:rPr>
                <w:sz w:val="22"/>
                <w:szCs w:val="22"/>
                <w:u w:val="single"/>
              </w:rPr>
              <w:t>0.067</w:t>
            </w:r>
          </w:p>
        </w:tc>
        <w:tc>
          <w:tcPr>
            <w:tcW w:w="1080" w:type="dxa"/>
          </w:tcPr>
          <w:p w14:paraId="512438CC" w14:textId="76A970A0" w:rsidR="001A0A31" w:rsidRPr="00F22A05" w:rsidRDefault="001A0A31" w:rsidP="00581A21">
            <w:pPr>
              <w:jc w:val="center"/>
              <w:rPr>
                <w:sz w:val="22"/>
                <w:szCs w:val="22"/>
                <w:u w:val="single"/>
              </w:rPr>
            </w:pPr>
            <w:r w:rsidRPr="00F22A05">
              <w:rPr>
                <w:sz w:val="22"/>
                <w:szCs w:val="22"/>
                <w:u w:val="single"/>
              </w:rPr>
              <w:t>0.031</w:t>
            </w:r>
          </w:p>
        </w:tc>
        <w:tc>
          <w:tcPr>
            <w:tcW w:w="1260" w:type="dxa"/>
          </w:tcPr>
          <w:p w14:paraId="627F8AC7" w14:textId="45ADFDA9" w:rsidR="001A0A31" w:rsidRPr="00F22A05" w:rsidRDefault="001A0A31" w:rsidP="00581A21">
            <w:pPr>
              <w:jc w:val="center"/>
              <w:rPr>
                <w:sz w:val="22"/>
                <w:szCs w:val="22"/>
                <w:u w:val="single"/>
              </w:rPr>
            </w:pPr>
            <w:r w:rsidRPr="00F22A05">
              <w:rPr>
                <w:sz w:val="22"/>
                <w:szCs w:val="22"/>
                <w:u w:val="single"/>
              </w:rPr>
              <w:t>0.125</w:t>
            </w:r>
          </w:p>
        </w:tc>
        <w:tc>
          <w:tcPr>
            <w:tcW w:w="1080" w:type="dxa"/>
          </w:tcPr>
          <w:p w14:paraId="60EC5A84" w14:textId="10A79AB8" w:rsidR="001A0A31" w:rsidRPr="00F22A05" w:rsidRDefault="001A0A31" w:rsidP="00581A21">
            <w:pPr>
              <w:jc w:val="center"/>
              <w:rPr>
                <w:sz w:val="22"/>
                <w:szCs w:val="22"/>
                <w:u w:val="single"/>
              </w:rPr>
            </w:pPr>
            <w:r w:rsidRPr="00F22A05">
              <w:rPr>
                <w:u w:val="single"/>
              </w:rPr>
              <w:t>0.044</w:t>
            </w:r>
          </w:p>
        </w:tc>
      </w:tr>
      <w:tr w:rsidR="00F22A05" w:rsidRPr="00F22A05" w14:paraId="2AB669A7" w14:textId="47FBFC87" w:rsidTr="00581A21">
        <w:trPr>
          <w:tblHeader/>
          <w:jc w:val="center"/>
        </w:trPr>
        <w:tc>
          <w:tcPr>
            <w:tcW w:w="805" w:type="dxa"/>
          </w:tcPr>
          <w:p w14:paraId="1C63069A" w14:textId="2BC6F82D" w:rsidR="001A0A31" w:rsidRPr="00F22A05" w:rsidRDefault="001A0A31" w:rsidP="001A0A31">
            <w:pPr>
              <w:rPr>
                <w:sz w:val="22"/>
                <w:szCs w:val="22"/>
                <w:u w:val="single"/>
              </w:rPr>
            </w:pPr>
            <w:r w:rsidRPr="00F22A05">
              <w:rPr>
                <w:sz w:val="22"/>
                <w:szCs w:val="22"/>
                <w:u w:val="single"/>
              </w:rPr>
              <w:t>22-23</w:t>
            </w:r>
          </w:p>
        </w:tc>
        <w:tc>
          <w:tcPr>
            <w:tcW w:w="1080" w:type="dxa"/>
          </w:tcPr>
          <w:p w14:paraId="1E011604" w14:textId="222D7FFD" w:rsidR="001A0A31" w:rsidRPr="00F22A05" w:rsidRDefault="001A0A31" w:rsidP="00581A21">
            <w:pPr>
              <w:jc w:val="center"/>
              <w:rPr>
                <w:sz w:val="22"/>
                <w:szCs w:val="22"/>
                <w:u w:val="single"/>
              </w:rPr>
            </w:pPr>
            <w:r w:rsidRPr="00F22A05">
              <w:rPr>
                <w:sz w:val="22"/>
                <w:szCs w:val="22"/>
                <w:u w:val="single"/>
              </w:rPr>
              <w:t>0.032</w:t>
            </w:r>
          </w:p>
        </w:tc>
        <w:tc>
          <w:tcPr>
            <w:tcW w:w="990" w:type="dxa"/>
          </w:tcPr>
          <w:p w14:paraId="49BE0A7C" w14:textId="2ECC762E" w:rsidR="001A0A31" w:rsidRPr="00F22A05" w:rsidRDefault="001A0A31" w:rsidP="00581A21">
            <w:pPr>
              <w:jc w:val="center"/>
              <w:rPr>
                <w:sz w:val="22"/>
                <w:szCs w:val="22"/>
                <w:u w:val="single"/>
              </w:rPr>
            </w:pPr>
            <w:r w:rsidRPr="00F22A05">
              <w:rPr>
                <w:sz w:val="22"/>
                <w:szCs w:val="22"/>
                <w:u w:val="single"/>
              </w:rPr>
              <w:t>0.044</w:t>
            </w:r>
          </w:p>
        </w:tc>
        <w:tc>
          <w:tcPr>
            <w:tcW w:w="1350" w:type="dxa"/>
          </w:tcPr>
          <w:p w14:paraId="68367AE5" w14:textId="1834A0E9" w:rsidR="001A0A31" w:rsidRPr="00F22A05" w:rsidRDefault="001A0A31" w:rsidP="00581A21">
            <w:pPr>
              <w:jc w:val="center"/>
              <w:rPr>
                <w:sz w:val="22"/>
                <w:szCs w:val="22"/>
                <w:u w:val="single"/>
              </w:rPr>
            </w:pPr>
            <w:r w:rsidRPr="00F22A05">
              <w:rPr>
                <w:sz w:val="22"/>
                <w:szCs w:val="22"/>
                <w:u w:val="single"/>
              </w:rPr>
              <w:t>0.044</w:t>
            </w:r>
          </w:p>
        </w:tc>
        <w:tc>
          <w:tcPr>
            <w:tcW w:w="1080" w:type="dxa"/>
          </w:tcPr>
          <w:p w14:paraId="6A99DD2B" w14:textId="49A7ECE6" w:rsidR="001A0A31" w:rsidRPr="00F22A05" w:rsidRDefault="001A0A31" w:rsidP="00581A21">
            <w:pPr>
              <w:jc w:val="center"/>
              <w:rPr>
                <w:sz w:val="22"/>
                <w:szCs w:val="22"/>
                <w:u w:val="single"/>
              </w:rPr>
            </w:pPr>
            <w:r w:rsidRPr="00F22A05">
              <w:rPr>
                <w:sz w:val="22"/>
                <w:szCs w:val="22"/>
                <w:u w:val="single"/>
              </w:rPr>
              <w:t>0.023</w:t>
            </w:r>
          </w:p>
        </w:tc>
        <w:tc>
          <w:tcPr>
            <w:tcW w:w="1260" w:type="dxa"/>
          </w:tcPr>
          <w:p w14:paraId="381B6286" w14:textId="617E0359" w:rsidR="001A0A31" w:rsidRPr="00F22A05" w:rsidRDefault="001A0A31" w:rsidP="00581A21">
            <w:pPr>
              <w:jc w:val="center"/>
              <w:rPr>
                <w:sz w:val="22"/>
                <w:szCs w:val="22"/>
                <w:u w:val="single"/>
              </w:rPr>
            </w:pPr>
            <w:r w:rsidRPr="00F22A05">
              <w:rPr>
                <w:sz w:val="22"/>
                <w:szCs w:val="22"/>
                <w:u w:val="single"/>
              </w:rPr>
              <w:t>0.077</w:t>
            </w:r>
          </w:p>
        </w:tc>
        <w:tc>
          <w:tcPr>
            <w:tcW w:w="1080" w:type="dxa"/>
          </w:tcPr>
          <w:p w14:paraId="61896813" w14:textId="294E241B" w:rsidR="001A0A31" w:rsidRPr="00F22A05" w:rsidRDefault="001A0A31" w:rsidP="00581A21">
            <w:pPr>
              <w:jc w:val="center"/>
              <w:rPr>
                <w:sz w:val="22"/>
                <w:szCs w:val="22"/>
                <w:u w:val="single"/>
              </w:rPr>
            </w:pPr>
            <w:r w:rsidRPr="00F22A05">
              <w:rPr>
                <w:u w:val="single"/>
              </w:rPr>
              <w:t>0.040</w:t>
            </w:r>
          </w:p>
        </w:tc>
      </w:tr>
      <w:tr w:rsidR="00F22A05" w:rsidRPr="00F22A05" w14:paraId="0693832F" w14:textId="338A38FA" w:rsidTr="00581A21">
        <w:trPr>
          <w:tblHeader/>
          <w:jc w:val="center"/>
        </w:trPr>
        <w:tc>
          <w:tcPr>
            <w:tcW w:w="805" w:type="dxa"/>
          </w:tcPr>
          <w:p w14:paraId="0CCBADBC" w14:textId="68D41969" w:rsidR="001A0A31" w:rsidRPr="00F22A05" w:rsidRDefault="001A0A31" w:rsidP="001A0A31">
            <w:pPr>
              <w:rPr>
                <w:sz w:val="22"/>
                <w:szCs w:val="22"/>
                <w:u w:val="single"/>
              </w:rPr>
            </w:pPr>
            <w:r w:rsidRPr="00F22A05">
              <w:rPr>
                <w:sz w:val="22"/>
                <w:szCs w:val="22"/>
                <w:u w:val="single"/>
              </w:rPr>
              <w:t>23-24</w:t>
            </w:r>
          </w:p>
        </w:tc>
        <w:tc>
          <w:tcPr>
            <w:tcW w:w="1080" w:type="dxa"/>
          </w:tcPr>
          <w:p w14:paraId="7CD4B0E7" w14:textId="43C29CC3" w:rsidR="001A0A31" w:rsidRPr="00F22A05" w:rsidRDefault="001A0A31" w:rsidP="00581A21">
            <w:pPr>
              <w:jc w:val="center"/>
              <w:rPr>
                <w:sz w:val="22"/>
                <w:szCs w:val="22"/>
                <w:u w:val="single"/>
              </w:rPr>
            </w:pPr>
            <w:r w:rsidRPr="00F22A05">
              <w:rPr>
                <w:sz w:val="22"/>
                <w:szCs w:val="22"/>
                <w:u w:val="single"/>
              </w:rPr>
              <w:t>0.017</w:t>
            </w:r>
          </w:p>
        </w:tc>
        <w:tc>
          <w:tcPr>
            <w:tcW w:w="990" w:type="dxa"/>
          </w:tcPr>
          <w:p w14:paraId="18627364" w14:textId="7F920E2B" w:rsidR="001A0A31" w:rsidRPr="00F22A05" w:rsidRDefault="001A0A31" w:rsidP="00581A21">
            <w:pPr>
              <w:jc w:val="center"/>
              <w:rPr>
                <w:sz w:val="22"/>
                <w:szCs w:val="22"/>
                <w:u w:val="single"/>
              </w:rPr>
            </w:pPr>
            <w:r w:rsidRPr="00F22A05">
              <w:rPr>
                <w:sz w:val="22"/>
                <w:szCs w:val="22"/>
                <w:u w:val="single"/>
              </w:rPr>
              <w:t>0.024</w:t>
            </w:r>
          </w:p>
        </w:tc>
        <w:tc>
          <w:tcPr>
            <w:tcW w:w="1350" w:type="dxa"/>
          </w:tcPr>
          <w:p w14:paraId="61B224BD" w14:textId="44D47216" w:rsidR="001A0A31" w:rsidRPr="00F22A05" w:rsidRDefault="001A0A31" w:rsidP="00581A21">
            <w:pPr>
              <w:jc w:val="center"/>
              <w:rPr>
                <w:sz w:val="22"/>
                <w:szCs w:val="22"/>
                <w:u w:val="single"/>
              </w:rPr>
            </w:pPr>
            <w:r w:rsidRPr="00F22A05">
              <w:rPr>
                <w:sz w:val="22"/>
                <w:szCs w:val="22"/>
                <w:u w:val="single"/>
              </w:rPr>
              <w:t>0.031</w:t>
            </w:r>
          </w:p>
        </w:tc>
        <w:tc>
          <w:tcPr>
            <w:tcW w:w="1080" w:type="dxa"/>
          </w:tcPr>
          <w:p w14:paraId="5EDD8AB7" w14:textId="4900B336" w:rsidR="001A0A31" w:rsidRPr="00F22A05" w:rsidRDefault="001A0A31" w:rsidP="00581A21">
            <w:pPr>
              <w:jc w:val="center"/>
              <w:rPr>
                <w:sz w:val="22"/>
                <w:szCs w:val="22"/>
                <w:u w:val="single"/>
              </w:rPr>
            </w:pPr>
            <w:r w:rsidRPr="00F22A05">
              <w:rPr>
                <w:sz w:val="22"/>
                <w:szCs w:val="22"/>
                <w:u w:val="single"/>
              </w:rPr>
              <w:t>0.015</w:t>
            </w:r>
          </w:p>
        </w:tc>
        <w:tc>
          <w:tcPr>
            <w:tcW w:w="1260" w:type="dxa"/>
          </w:tcPr>
          <w:p w14:paraId="13C757E6" w14:textId="70644FF9" w:rsidR="001A0A31" w:rsidRPr="00F22A05" w:rsidRDefault="001A0A31" w:rsidP="00581A21">
            <w:pPr>
              <w:jc w:val="center"/>
              <w:rPr>
                <w:sz w:val="22"/>
                <w:szCs w:val="22"/>
                <w:u w:val="single"/>
              </w:rPr>
            </w:pPr>
            <w:r w:rsidRPr="00F22A05">
              <w:rPr>
                <w:sz w:val="22"/>
                <w:szCs w:val="22"/>
                <w:u w:val="single"/>
              </w:rPr>
              <w:t>0.034</w:t>
            </w:r>
          </w:p>
        </w:tc>
        <w:tc>
          <w:tcPr>
            <w:tcW w:w="1080" w:type="dxa"/>
          </w:tcPr>
          <w:p w14:paraId="173D3D26" w14:textId="3350D17C" w:rsidR="001A0A31" w:rsidRPr="00F22A05" w:rsidRDefault="001A0A31" w:rsidP="00581A21">
            <w:pPr>
              <w:jc w:val="center"/>
              <w:rPr>
                <w:sz w:val="22"/>
                <w:szCs w:val="22"/>
                <w:u w:val="single"/>
              </w:rPr>
            </w:pPr>
            <w:r w:rsidRPr="00F22A05">
              <w:rPr>
                <w:u w:val="single"/>
              </w:rPr>
              <w:t>0.037</w:t>
            </w:r>
          </w:p>
        </w:tc>
      </w:tr>
    </w:tbl>
    <w:p w14:paraId="62791037" w14:textId="752F89CE" w:rsidR="009D68F3" w:rsidRPr="00F22A05" w:rsidRDefault="009D68F3" w:rsidP="009D68F3">
      <w:pPr>
        <w:keepNext/>
        <w:jc w:val="center"/>
        <w:rPr>
          <w:rStyle w:val="Heading3Char"/>
          <w:u w:val="single"/>
        </w:rPr>
      </w:pPr>
      <w:r w:rsidRPr="00F22A05">
        <w:rPr>
          <w:rStyle w:val="Heading3Char"/>
          <w:u w:val="single"/>
        </w:rPr>
        <w:lastRenderedPageBreak/>
        <w:t xml:space="preserve">Table </w:t>
      </w:r>
      <w:r w:rsidR="000D4695" w:rsidRPr="00F22A05">
        <w:rPr>
          <w:rStyle w:val="Heading3Char"/>
          <w:u w:val="single"/>
        </w:rPr>
        <w:t>C.3(2)</w:t>
      </w:r>
      <w:r w:rsidRPr="00F22A05">
        <w:rPr>
          <w:rStyle w:val="Heading3Char"/>
          <w:u w:val="single"/>
        </w:rPr>
        <w:t xml:space="preserve"> Daily Refrigerator</w:t>
      </w:r>
      <w:r w:rsidR="005C2F7A" w:rsidRPr="00F22A05">
        <w:rPr>
          <w:rStyle w:val="Heading3Char"/>
          <w:u w:val="single"/>
        </w:rPr>
        <w:t xml:space="preserve"> </w:t>
      </w:r>
      <w:r w:rsidR="00AD4234" w:rsidRPr="00F22A05">
        <w:rPr>
          <w:rStyle w:val="Heading3Char"/>
          <w:u w:val="single"/>
        </w:rPr>
        <w:t>Coefficient Schedules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520"/>
        <w:gridCol w:w="2970"/>
      </w:tblGrid>
      <w:tr w:rsidR="00F22A05" w:rsidRPr="00F22A05" w14:paraId="1BBA7D5F" w14:textId="77777777" w:rsidTr="00DB2B80">
        <w:trPr>
          <w:trHeight w:val="62"/>
          <w:tblHeader/>
          <w:jc w:val="center"/>
        </w:trPr>
        <w:tc>
          <w:tcPr>
            <w:tcW w:w="1435" w:type="dxa"/>
          </w:tcPr>
          <w:p w14:paraId="596FF3CF" w14:textId="77777777" w:rsidR="004516D5" w:rsidRPr="00F22A05" w:rsidRDefault="004516D5" w:rsidP="004516D5">
            <w:pPr>
              <w:rPr>
                <w:b/>
                <w:bCs/>
                <w:u w:val="single"/>
              </w:rPr>
            </w:pPr>
            <w:r w:rsidRPr="00F22A05">
              <w:rPr>
                <w:b/>
                <w:bCs/>
                <w:sz w:val="22"/>
                <w:szCs w:val="22"/>
                <w:u w:val="single"/>
              </w:rPr>
              <w:t>Hour of Day</w:t>
            </w:r>
          </w:p>
        </w:tc>
        <w:tc>
          <w:tcPr>
            <w:tcW w:w="2520" w:type="dxa"/>
            <w:vAlign w:val="center"/>
          </w:tcPr>
          <w:p w14:paraId="36E92045" w14:textId="4027F7C1" w:rsidR="004516D5" w:rsidRPr="00F22A05" w:rsidRDefault="004516D5" w:rsidP="004516D5">
            <w:pPr>
              <w:jc w:val="center"/>
              <w:rPr>
                <w:b/>
                <w:bCs/>
                <w:u w:val="single"/>
              </w:rPr>
            </w:pPr>
            <w:r w:rsidRPr="00F22A05">
              <w:rPr>
                <w:b/>
                <w:bCs/>
                <w:sz w:val="22"/>
                <w:szCs w:val="22"/>
                <w:u w:val="single"/>
              </w:rPr>
              <w:t>Constant Coefficient (a)</w:t>
            </w:r>
          </w:p>
        </w:tc>
        <w:tc>
          <w:tcPr>
            <w:tcW w:w="2970" w:type="dxa"/>
            <w:vAlign w:val="center"/>
          </w:tcPr>
          <w:p w14:paraId="2887C944" w14:textId="2E031D9D" w:rsidR="004516D5" w:rsidRPr="00F22A05" w:rsidRDefault="004516D5" w:rsidP="004516D5">
            <w:pPr>
              <w:jc w:val="center"/>
              <w:rPr>
                <w:b/>
                <w:bCs/>
                <w:sz w:val="22"/>
                <w:szCs w:val="22"/>
                <w:u w:val="single"/>
              </w:rPr>
            </w:pPr>
            <w:r w:rsidRPr="00F22A05">
              <w:rPr>
                <w:b/>
                <w:bCs/>
                <w:sz w:val="22"/>
                <w:szCs w:val="22"/>
                <w:u w:val="single"/>
              </w:rPr>
              <w:t>Temperature Coefficient (b)</w:t>
            </w:r>
          </w:p>
        </w:tc>
      </w:tr>
      <w:tr w:rsidR="00F22A05" w:rsidRPr="00F22A05" w14:paraId="2485D17A" w14:textId="77777777" w:rsidTr="00DB2B80">
        <w:trPr>
          <w:tblHeader/>
          <w:jc w:val="center"/>
        </w:trPr>
        <w:tc>
          <w:tcPr>
            <w:tcW w:w="1435" w:type="dxa"/>
          </w:tcPr>
          <w:p w14:paraId="5C686F17" w14:textId="77777777" w:rsidR="004516D5" w:rsidRPr="00F22A05" w:rsidRDefault="004516D5" w:rsidP="004516D5">
            <w:pPr>
              <w:rPr>
                <w:u w:val="single"/>
              </w:rPr>
            </w:pPr>
            <w:r w:rsidRPr="00F22A05">
              <w:rPr>
                <w:sz w:val="22"/>
                <w:szCs w:val="22"/>
                <w:u w:val="single"/>
              </w:rPr>
              <w:t>0-1</w:t>
            </w:r>
          </w:p>
        </w:tc>
        <w:tc>
          <w:tcPr>
            <w:tcW w:w="2520" w:type="dxa"/>
            <w:vAlign w:val="bottom"/>
          </w:tcPr>
          <w:p w14:paraId="2D7AAD6F" w14:textId="78BF769A" w:rsidR="004516D5" w:rsidRPr="00F22A05" w:rsidRDefault="004516D5" w:rsidP="004516D5">
            <w:pPr>
              <w:jc w:val="center"/>
              <w:rPr>
                <w:u w:val="single"/>
              </w:rPr>
            </w:pPr>
            <w:r w:rsidRPr="00F22A05">
              <w:rPr>
                <w:u w:val="single"/>
              </w:rPr>
              <w:t>-0.487</w:t>
            </w:r>
          </w:p>
        </w:tc>
        <w:tc>
          <w:tcPr>
            <w:tcW w:w="2970" w:type="dxa"/>
            <w:vAlign w:val="bottom"/>
          </w:tcPr>
          <w:p w14:paraId="565C3A43" w14:textId="0432D202" w:rsidR="004516D5" w:rsidRPr="00F22A05" w:rsidRDefault="004516D5" w:rsidP="004516D5">
            <w:pPr>
              <w:jc w:val="center"/>
              <w:rPr>
                <w:sz w:val="22"/>
                <w:szCs w:val="22"/>
                <w:u w:val="single"/>
              </w:rPr>
            </w:pPr>
            <w:r w:rsidRPr="00F22A05">
              <w:rPr>
                <w:u w:val="single"/>
              </w:rPr>
              <w:t>0.019</w:t>
            </w:r>
          </w:p>
        </w:tc>
      </w:tr>
      <w:tr w:rsidR="00F22A05" w:rsidRPr="00F22A05" w14:paraId="78328360" w14:textId="77777777" w:rsidTr="00DB2B80">
        <w:trPr>
          <w:tblHeader/>
          <w:jc w:val="center"/>
        </w:trPr>
        <w:tc>
          <w:tcPr>
            <w:tcW w:w="1435" w:type="dxa"/>
          </w:tcPr>
          <w:p w14:paraId="3CC201E6" w14:textId="77777777" w:rsidR="004516D5" w:rsidRPr="00F22A05" w:rsidRDefault="004516D5" w:rsidP="004516D5">
            <w:pPr>
              <w:rPr>
                <w:u w:val="single"/>
              </w:rPr>
            </w:pPr>
            <w:r w:rsidRPr="00F22A05">
              <w:rPr>
                <w:sz w:val="22"/>
                <w:szCs w:val="22"/>
                <w:u w:val="single"/>
              </w:rPr>
              <w:t>1-2</w:t>
            </w:r>
          </w:p>
        </w:tc>
        <w:tc>
          <w:tcPr>
            <w:tcW w:w="2520" w:type="dxa"/>
            <w:vAlign w:val="bottom"/>
          </w:tcPr>
          <w:p w14:paraId="79CFA074" w14:textId="5A4BAF3F" w:rsidR="004516D5" w:rsidRPr="00F22A05" w:rsidRDefault="004516D5" w:rsidP="004516D5">
            <w:pPr>
              <w:jc w:val="center"/>
              <w:rPr>
                <w:u w:val="single"/>
              </w:rPr>
            </w:pPr>
            <w:r w:rsidRPr="00F22A05">
              <w:rPr>
                <w:u w:val="single"/>
              </w:rPr>
              <w:t>-0.340</w:t>
            </w:r>
          </w:p>
        </w:tc>
        <w:tc>
          <w:tcPr>
            <w:tcW w:w="2970" w:type="dxa"/>
            <w:vAlign w:val="bottom"/>
          </w:tcPr>
          <w:p w14:paraId="2D4B826B" w14:textId="16F9E476" w:rsidR="004516D5" w:rsidRPr="00F22A05" w:rsidRDefault="004516D5" w:rsidP="004516D5">
            <w:pPr>
              <w:jc w:val="center"/>
              <w:rPr>
                <w:sz w:val="22"/>
                <w:szCs w:val="22"/>
                <w:u w:val="single"/>
              </w:rPr>
            </w:pPr>
            <w:r w:rsidRPr="00F22A05">
              <w:rPr>
                <w:u w:val="single"/>
              </w:rPr>
              <w:t>0.016</w:t>
            </w:r>
          </w:p>
        </w:tc>
      </w:tr>
      <w:tr w:rsidR="00F22A05" w:rsidRPr="00F22A05" w14:paraId="6DC36DF1" w14:textId="77777777" w:rsidTr="00DB2B80">
        <w:trPr>
          <w:tblHeader/>
          <w:jc w:val="center"/>
        </w:trPr>
        <w:tc>
          <w:tcPr>
            <w:tcW w:w="1435" w:type="dxa"/>
          </w:tcPr>
          <w:p w14:paraId="44E702FE" w14:textId="77777777" w:rsidR="004516D5" w:rsidRPr="00F22A05" w:rsidRDefault="004516D5" w:rsidP="004516D5">
            <w:pPr>
              <w:rPr>
                <w:u w:val="single"/>
              </w:rPr>
            </w:pPr>
            <w:r w:rsidRPr="00F22A05">
              <w:rPr>
                <w:sz w:val="22"/>
                <w:szCs w:val="22"/>
                <w:u w:val="single"/>
              </w:rPr>
              <w:t>2-3</w:t>
            </w:r>
          </w:p>
        </w:tc>
        <w:tc>
          <w:tcPr>
            <w:tcW w:w="2520" w:type="dxa"/>
            <w:vAlign w:val="bottom"/>
          </w:tcPr>
          <w:p w14:paraId="6D6AB3B2" w14:textId="1DF22038" w:rsidR="004516D5" w:rsidRPr="00F22A05" w:rsidRDefault="004516D5" w:rsidP="004516D5">
            <w:pPr>
              <w:jc w:val="center"/>
              <w:rPr>
                <w:u w:val="single"/>
              </w:rPr>
            </w:pPr>
            <w:r w:rsidRPr="00F22A05">
              <w:rPr>
                <w:u w:val="single"/>
              </w:rPr>
              <w:t>-0.370</w:t>
            </w:r>
          </w:p>
        </w:tc>
        <w:tc>
          <w:tcPr>
            <w:tcW w:w="2970" w:type="dxa"/>
            <w:vAlign w:val="bottom"/>
          </w:tcPr>
          <w:p w14:paraId="317CA34F" w14:textId="37512C98" w:rsidR="004516D5" w:rsidRPr="00F22A05" w:rsidRDefault="004516D5" w:rsidP="004516D5">
            <w:pPr>
              <w:jc w:val="center"/>
              <w:rPr>
                <w:sz w:val="22"/>
                <w:szCs w:val="22"/>
                <w:u w:val="single"/>
              </w:rPr>
            </w:pPr>
            <w:r w:rsidRPr="00F22A05">
              <w:rPr>
                <w:u w:val="single"/>
              </w:rPr>
              <w:t>0.017</w:t>
            </w:r>
          </w:p>
        </w:tc>
      </w:tr>
      <w:tr w:rsidR="00F22A05" w:rsidRPr="00F22A05" w14:paraId="41B6BF4A" w14:textId="77777777" w:rsidTr="00DB2B80">
        <w:trPr>
          <w:tblHeader/>
          <w:jc w:val="center"/>
        </w:trPr>
        <w:tc>
          <w:tcPr>
            <w:tcW w:w="1435" w:type="dxa"/>
          </w:tcPr>
          <w:p w14:paraId="7D5D9C9A" w14:textId="77777777" w:rsidR="004516D5" w:rsidRPr="00F22A05" w:rsidRDefault="004516D5" w:rsidP="004516D5">
            <w:pPr>
              <w:rPr>
                <w:u w:val="single"/>
              </w:rPr>
            </w:pPr>
            <w:r w:rsidRPr="00F22A05">
              <w:rPr>
                <w:sz w:val="22"/>
                <w:szCs w:val="22"/>
                <w:u w:val="single"/>
              </w:rPr>
              <w:t>3-4</w:t>
            </w:r>
          </w:p>
        </w:tc>
        <w:tc>
          <w:tcPr>
            <w:tcW w:w="2520" w:type="dxa"/>
            <w:vAlign w:val="bottom"/>
          </w:tcPr>
          <w:p w14:paraId="0B4DA913" w14:textId="6D41469B" w:rsidR="004516D5" w:rsidRPr="00F22A05" w:rsidRDefault="004516D5" w:rsidP="004516D5">
            <w:pPr>
              <w:jc w:val="center"/>
              <w:rPr>
                <w:u w:val="single"/>
              </w:rPr>
            </w:pPr>
            <w:r w:rsidRPr="00F22A05">
              <w:rPr>
                <w:u w:val="single"/>
              </w:rPr>
              <w:t>-0.361</w:t>
            </w:r>
          </w:p>
        </w:tc>
        <w:tc>
          <w:tcPr>
            <w:tcW w:w="2970" w:type="dxa"/>
            <w:vAlign w:val="bottom"/>
          </w:tcPr>
          <w:p w14:paraId="3D5BEB62" w14:textId="0A7D3F38" w:rsidR="004516D5" w:rsidRPr="00F22A05" w:rsidRDefault="004516D5" w:rsidP="004516D5">
            <w:pPr>
              <w:jc w:val="center"/>
              <w:rPr>
                <w:sz w:val="22"/>
                <w:szCs w:val="22"/>
                <w:u w:val="single"/>
              </w:rPr>
            </w:pPr>
            <w:r w:rsidRPr="00F22A05">
              <w:rPr>
                <w:u w:val="single"/>
              </w:rPr>
              <w:t>0.016</w:t>
            </w:r>
          </w:p>
        </w:tc>
      </w:tr>
      <w:tr w:rsidR="00F22A05" w:rsidRPr="00F22A05" w14:paraId="02780DAB" w14:textId="77777777" w:rsidTr="00DB2B80">
        <w:trPr>
          <w:tblHeader/>
          <w:jc w:val="center"/>
        </w:trPr>
        <w:tc>
          <w:tcPr>
            <w:tcW w:w="1435" w:type="dxa"/>
          </w:tcPr>
          <w:p w14:paraId="1AD55E5D" w14:textId="77777777" w:rsidR="004516D5" w:rsidRPr="00F22A05" w:rsidRDefault="004516D5" w:rsidP="004516D5">
            <w:pPr>
              <w:rPr>
                <w:u w:val="single"/>
              </w:rPr>
            </w:pPr>
            <w:r w:rsidRPr="00F22A05">
              <w:rPr>
                <w:sz w:val="22"/>
                <w:szCs w:val="22"/>
                <w:u w:val="single"/>
              </w:rPr>
              <w:t>4-5</w:t>
            </w:r>
          </w:p>
        </w:tc>
        <w:tc>
          <w:tcPr>
            <w:tcW w:w="2520" w:type="dxa"/>
            <w:vAlign w:val="bottom"/>
          </w:tcPr>
          <w:p w14:paraId="0691DF85" w14:textId="4A5DC1D6" w:rsidR="004516D5" w:rsidRPr="00F22A05" w:rsidRDefault="004516D5" w:rsidP="004516D5">
            <w:pPr>
              <w:jc w:val="center"/>
              <w:rPr>
                <w:u w:val="single"/>
              </w:rPr>
            </w:pPr>
            <w:r w:rsidRPr="00F22A05">
              <w:rPr>
                <w:u w:val="single"/>
              </w:rPr>
              <w:t>-0.515</w:t>
            </w:r>
          </w:p>
        </w:tc>
        <w:tc>
          <w:tcPr>
            <w:tcW w:w="2970" w:type="dxa"/>
            <w:vAlign w:val="bottom"/>
          </w:tcPr>
          <w:p w14:paraId="25389A9B" w14:textId="411991AA" w:rsidR="004516D5" w:rsidRPr="00F22A05" w:rsidRDefault="004516D5" w:rsidP="004516D5">
            <w:pPr>
              <w:jc w:val="center"/>
              <w:rPr>
                <w:sz w:val="22"/>
                <w:szCs w:val="22"/>
                <w:u w:val="single"/>
              </w:rPr>
            </w:pPr>
            <w:r w:rsidRPr="00F22A05">
              <w:rPr>
                <w:u w:val="single"/>
              </w:rPr>
              <w:t>0.018</w:t>
            </w:r>
          </w:p>
        </w:tc>
      </w:tr>
      <w:tr w:rsidR="00F22A05" w:rsidRPr="00F22A05" w14:paraId="4927993A" w14:textId="77777777" w:rsidTr="00DB2B80">
        <w:trPr>
          <w:tblHeader/>
          <w:jc w:val="center"/>
        </w:trPr>
        <w:tc>
          <w:tcPr>
            <w:tcW w:w="1435" w:type="dxa"/>
          </w:tcPr>
          <w:p w14:paraId="52B0FB10" w14:textId="77777777" w:rsidR="004516D5" w:rsidRPr="00F22A05" w:rsidRDefault="004516D5" w:rsidP="004516D5">
            <w:pPr>
              <w:rPr>
                <w:u w:val="single"/>
              </w:rPr>
            </w:pPr>
            <w:r w:rsidRPr="00F22A05">
              <w:rPr>
                <w:sz w:val="22"/>
                <w:szCs w:val="22"/>
                <w:u w:val="single"/>
              </w:rPr>
              <w:t>5-6</w:t>
            </w:r>
          </w:p>
        </w:tc>
        <w:tc>
          <w:tcPr>
            <w:tcW w:w="2520" w:type="dxa"/>
            <w:vAlign w:val="bottom"/>
          </w:tcPr>
          <w:p w14:paraId="6A9C7984" w14:textId="53AA28F4" w:rsidR="004516D5" w:rsidRPr="00F22A05" w:rsidRDefault="004516D5" w:rsidP="004516D5">
            <w:pPr>
              <w:jc w:val="center"/>
              <w:rPr>
                <w:u w:val="single"/>
              </w:rPr>
            </w:pPr>
            <w:r w:rsidRPr="00F22A05">
              <w:rPr>
                <w:u w:val="single"/>
              </w:rPr>
              <w:t>-0.684</w:t>
            </w:r>
          </w:p>
        </w:tc>
        <w:tc>
          <w:tcPr>
            <w:tcW w:w="2970" w:type="dxa"/>
            <w:vAlign w:val="bottom"/>
          </w:tcPr>
          <w:p w14:paraId="0FEEB298" w14:textId="7A324761" w:rsidR="004516D5" w:rsidRPr="00F22A05" w:rsidRDefault="004516D5" w:rsidP="004516D5">
            <w:pPr>
              <w:jc w:val="center"/>
              <w:rPr>
                <w:sz w:val="22"/>
                <w:szCs w:val="22"/>
                <w:u w:val="single"/>
              </w:rPr>
            </w:pPr>
            <w:r w:rsidRPr="00F22A05">
              <w:rPr>
                <w:u w:val="single"/>
              </w:rPr>
              <w:t>0.021</w:t>
            </w:r>
          </w:p>
        </w:tc>
      </w:tr>
      <w:tr w:rsidR="00F22A05" w:rsidRPr="00F22A05" w14:paraId="16F3528B" w14:textId="77777777" w:rsidTr="00DB2B80">
        <w:trPr>
          <w:tblHeader/>
          <w:jc w:val="center"/>
        </w:trPr>
        <w:tc>
          <w:tcPr>
            <w:tcW w:w="1435" w:type="dxa"/>
          </w:tcPr>
          <w:p w14:paraId="0F2E2B61" w14:textId="77777777" w:rsidR="004516D5" w:rsidRPr="00F22A05" w:rsidRDefault="004516D5" w:rsidP="004516D5">
            <w:pPr>
              <w:rPr>
                <w:u w:val="single"/>
              </w:rPr>
            </w:pPr>
            <w:r w:rsidRPr="00F22A05">
              <w:rPr>
                <w:sz w:val="22"/>
                <w:szCs w:val="22"/>
                <w:u w:val="single"/>
              </w:rPr>
              <w:t>6-7</w:t>
            </w:r>
          </w:p>
        </w:tc>
        <w:tc>
          <w:tcPr>
            <w:tcW w:w="2520" w:type="dxa"/>
            <w:vAlign w:val="bottom"/>
          </w:tcPr>
          <w:p w14:paraId="7942E288" w14:textId="109344AB" w:rsidR="004516D5" w:rsidRPr="00F22A05" w:rsidRDefault="004516D5" w:rsidP="004516D5">
            <w:pPr>
              <w:jc w:val="center"/>
              <w:rPr>
                <w:u w:val="single"/>
              </w:rPr>
            </w:pPr>
            <w:r w:rsidRPr="00F22A05">
              <w:rPr>
                <w:u w:val="single"/>
              </w:rPr>
              <w:t>-0.471</w:t>
            </w:r>
          </w:p>
        </w:tc>
        <w:tc>
          <w:tcPr>
            <w:tcW w:w="2970" w:type="dxa"/>
            <w:vAlign w:val="bottom"/>
          </w:tcPr>
          <w:p w14:paraId="15F96163" w14:textId="2438A799" w:rsidR="004516D5" w:rsidRPr="00F22A05" w:rsidRDefault="004516D5" w:rsidP="004516D5">
            <w:pPr>
              <w:jc w:val="center"/>
              <w:rPr>
                <w:sz w:val="22"/>
                <w:szCs w:val="22"/>
                <w:u w:val="single"/>
              </w:rPr>
            </w:pPr>
            <w:r w:rsidRPr="00F22A05">
              <w:rPr>
                <w:u w:val="single"/>
              </w:rPr>
              <w:t>0.019</w:t>
            </w:r>
          </w:p>
        </w:tc>
      </w:tr>
      <w:tr w:rsidR="00F22A05" w:rsidRPr="00F22A05" w14:paraId="18D040EB" w14:textId="77777777" w:rsidTr="00DB2B80">
        <w:trPr>
          <w:tblHeader/>
          <w:jc w:val="center"/>
        </w:trPr>
        <w:tc>
          <w:tcPr>
            <w:tcW w:w="1435" w:type="dxa"/>
          </w:tcPr>
          <w:p w14:paraId="0FB26754" w14:textId="77777777" w:rsidR="004516D5" w:rsidRPr="00F22A05" w:rsidRDefault="004516D5" w:rsidP="004516D5">
            <w:pPr>
              <w:rPr>
                <w:u w:val="single"/>
              </w:rPr>
            </w:pPr>
            <w:r w:rsidRPr="00F22A05">
              <w:rPr>
                <w:sz w:val="22"/>
                <w:szCs w:val="22"/>
                <w:u w:val="single"/>
              </w:rPr>
              <w:t>7-8</w:t>
            </w:r>
          </w:p>
        </w:tc>
        <w:tc>
          <w:tcPr>
            <w:tcW w:w="2520" w:type="dxa"/>
            <w:vAlign w:val="bottom"/>
          </w:tcPr>
          <w:p w14:paraId="4A32CA45" w14:textId="1ED79FAC" w:rsidR="004516D5" w:rsidRPr="00F22A05" w:rsidRDefault="004516D5" w:rsidP="004516D5">
            <w:pPr>
              <w:jc w:val="center"/>
              <w:rPr>
                <w:u w:val="single"/>
              </w:rPr>
            </w:pPr>
            <w:r w:rsidRPr="00F22A05">
              <w:rPr>
                <w:u w:val="single"/>
              </w:rPr>
              <w:t>-0.159</w:t>
            </w:r>
          </w:p>
        </w:tc>
        <w:tc>
          <w:tcPr>
            <w:tcW w:w="2970" w:type="dxa"/>
            <w:vAlign w:val="bottom"/>
          </w:tcPr>
          <w:p w14:paraId="1986A138" w14:textId="3B8204FB" w:rsidR="004516D5" w:rsidRPr="00F22A05" w:rsidRDefault="004516D5" w:rsidP="004516D5">
            <w:pPr>
              <w:jc w:val="center"/>
              <w:rPr>
                <w:sz w:val="22"/>
                <w:szCs w:val="22"/>
                <w:u w:val="single"/>
              </w:rPr>
            </w:pPr>
            <w:r w:rsidRPr="00F22A05">
              <w:rPr>
                <w:u w:val="single"/>
              </w:rPr>
              <w:t>0.015</w:t>
            </w:r>
          </w:p>
        </w:tc>
      </w:tr>
      <w:tr w:rsidR="00F22A05" w:rsidRPr="00F22A05" w14:paraId="23CAF523" w14:textId="77777777" w:rsidTr="00DB2B80">
        <w:trPr>
          <w:tblHeader/>
          <w:jc w:val="center"/>
        </w:trPr>
        <w:tc>
          <w:tcPr>
            <w:tcW w:w="1435" w:type="dxa"/>
          </w:tcPr>
          <w:p w14:paraId="08573E68" w14:textId="77777777" w:rsidR="004516D5" w:rsidRPr="00F22A05" w:rsidRDefault="004516D5" w:rsidP="004516D5">
            <w:pPr>
              <w:rPr>
                <w:u w:val="single"/>
              </w:rPr>
            </w:pPr>
            <w:r w:rsidRPr="00F22A05">
              <w:rPr>
                <w:sz w:val="22"/>
                <w:szCs w:val="22"/>
                <w:u w:val="single"/>
              </w:rPr>
              <w:t>8-9</w:t>
            </w:r>
          </w:p>
        </w:tc>
        <w:tc>
          <w:tcPr>
            <w:tcW w:w="2520" w:type="dxa"/>
            <w:vAlign w:val="bottom"/>
          </w:tcPr>
          <w:p w14:paraId="1601D6C1" w14:textId="2C94912A" w:rsidR="004516D5" w:rsidRPr="00F22A05" w:rsidRDefault="004516D5" w:rsidP="004516D5">
            <w:pPr>
              <w:jc w:val="center"/>
              <w:rPr>
                <w:u w:val="single"/>
              </w:rPr>
            </w:pPr>
            <w:r w:rsidRPr="00F22A05">
              <w:rPr>
                <w:u w:val="single"/>
              </w:rPr>
              <w:t>-0.079</w:t>
            </w:r>
          </w:p>
        </w:tc>
        <w:tc>
          <w:tcPr>
            <w:tcW w:w="2970" w:type="dxa"/>
            <w:vAlign w:val="bottom"/>
          </w:tcPr>
          <w:p w14:paraId="5F985BB7" w14:textId="22F74BA4" w:rsidR="004516D5" w:rsidRPr="00F22A05" w:rsidRDefault="004516D5" w:rsidP="004516D5">
            <w:pPr>
              <w:jc w:val="center"/>
              <w:rPr>
                <w:sz w:val="22"/>
                <w:szCs w:val="22"/>
                <w:u w:val="single"/>
              </w:rPr>
            </w:pPr>
            <w:r w:rsidRPr="00F22A05">
              <w:rPr>
                <w:u w:val="single"/>
              </w:rPr>
              <w:t>0.015</w:t>
            </w:r>
          </w:p>
        </w:tc>
      </w:tr>
      <w:tr w:rsidR="00F22A05" w:rsidRPr="00F22A05" w14:paraId="5ADA8FD8" w14:textId="77777777" w:rsidTr="00DB2B80">
        <w:trPr>
          <w:tblHeader/>
          <w:jc w:val="center"/>
        </w:trPr>
        <w:tc>
          <w:tcPr>
            <w:tcW w:w="1435" w:type="dxa"/>
          </w:tcPr>
          <w:p w14:paraId="3C2B1835" w14:textId="77777777" w:rsidR="004516D5" w:rsidRPr="00F22A05" w:rsidRDefault="004516D5" w:rsidP="004516D5">
            <w:pPr>
              <w:rPr>
                <w:u w:val="single"/>
              </w:rPr>
            </w:pPr>
            <w:r w:rsidRPr="00F22A05">
              <w:rPr>
                <w:sz w:val="22"/>
                <w:szCs w:val="22"/>
                <w:u w:val="single"/>
              </w:rPr>
              <w:t>9-10</w:t>
            </w:r>
          </w:p>
        </w:tc>
        <w:tc>
          <w:tcPr>
            <w:tcW w:w="2520" w:type="dxa"/>
            <w:vAlign w:val="bottom"/>
          </w:tcPr>
          <w:p w14:paraId="5C4C7096" w14:textId="7F167170" w:rsidR="004516D5" w:rsidRPr="00F22A05" w:rsidRDefault="004516D5" w:rsidP="004516D5">
            <w:pPr>
              <w:jc w:val="center"/>
              <w:rPr>
                <w:u w:val="single"/>
              </w:rPr>
            </w:pPr>
            <w:r w:rsidRPr="00F22A05">
              <w:rPr>
                <w:u w:val="single"/>
              </w:rPr>
              <w:t>-0.417</w:t>
            </w:r>
          </w:p>
        </w:tc>
        <w:tc>
          <w:tcPr>
            <w:tcW w:w="2970" w:type="dxa"/>
            <w:vAlign w:val="bottom"/>
          </w:tcPr>
          <w:p w14:paraId="7B880155" w14:textId="0BA50798" w:rsidR="004516D5" w:rsidRPr="00F22A05" w:rsidRDefault="004516D5" w:rsidP="004516D5">
            <w:pPr>
              <w:jc w:val="center"/>
              <w:rPr>
                <w:sz w:val="22"/>
                <w:szCs w:val="22"/>
                <w:u w:val="single"/>
              </w:rPr>
            </w:pPr>
            <w:r w:rsidRPr="00F22A05">
              <w:rPr>
                <w:u w:val="single"/>
              </w:rPr>
              <w:t>0.019</w:t>
            </w:r>
          </w:p>
        </w:tc>
      </w:tr>
      <w:tr w:rsidR="00F22A05" w:rsidRPr="00F22A05" w14:paraId="241A520B" w14:textId="77777777" w:rsidTr="00DB2B80">
        <w:trPr>
          <w:tblHeader/>
          <w:jc w:val="center"/>
        </w:trPr>
        <w:tc>
          <w:tcPr>
            <w:tcW w:w="1435" w:type="dxa"/>
          </w:tcPr>
          <w:p w14:paraId="0DCD2D1C" w14:textId="77777777" w:rsidR="004516D5" w:rsidRPr="00F22A05" w:rsidRDefault="004516D5" w:rsidP="004516D5">
            <w:pPr>
              <w:rPr>
                <w:u w:val="single"/>
              </w:rPr>
            </w:pPr>
            <w:r w:rsidRPr="00F22A05">
              <w:rPr>
                <w:sz w:val="22"/>
                <w:szCs w:val="22"/>
                <w:u w:val="single"/>
              </w:rPr>
              <w:t>10-11</w:t>
            </w:r>
          </w:p>
        </w:tc>
        <w:tc>
          <w:tcPr>
            <w:tcW w:w="2520" w:type="dxa"/>
            <w:vAlign w:val="bottom"/>
          </w:tcPr>
          <w:p w14:paraId="13484445" w14:textId="6E5D3569" w:rsidR="004516D5" w:rsidRPr="00F22A05" w:rsidRDefault="004516D5" w:rsidP="004516D5">
            <w:pPr>
              <w:jc w:val="center"/>
              <w:rPr>
                <w:u w:val="single"/>
              </w:rPr>
            </w:pPr>
            <w:r w:rsidRPr="00F22A05">
              <w:rPr>
                <w:u w:val="single"/>
              </w:rPr>
              <w:t>-0.411</w:t>
            </w:r>
          </w:p>
        </w:tc>
        <w:tc>
          <w:tcPr>
            <w:tcW w:w="2970" w:type="dxa"/>
            <w:vAlign w:val="bottom"/>
          </w:tcPr>
          <w:p w14:paraId="566FCE47" w14:textId="3AF8AEB2" w:rsidR="004516D5" w:rsidRPr="00F22A05" w:rsidRDefault="004516D5" w:rsidP="004516D5">
            <w:pPr>
              <w:jc w:val="center"/>
              <w:rPr>
                <w:sz w:val="22"/>
                <w:szCs w:val="22"/>
                <w:u w:val="single"/>
              </w:rPr>
            </w:pPr>
            <w:r w:rsidRPr="00F22A05">
              <w:rPr>
                <w:u w:val="single"/>
              </w:rPr>
              <w:t>0.018</w:t>
            </w:r>
          </w:p>
        </w:tc>
      </w:tr>
      <w:tr w:rsidR="00F22A05" w:rsidRPr="00F22A05" w14:paraId="36AEBC1C" w14:textId="77777777" w:rsidTr="00DB2B80">
        <w:trPr>
          <w:tblHeader/>
          <w:jc w:val="center"/>
        </w:trPr>
        <w:tc>
          <w:tcPr>
            <w:tcW w:w="1435" w:type="dxa"/>
          </w:tcPr>
          <w:p w14:paraId="20CA3442" w14:textId="77777777" w:rsidR="004516D5" w:rsidRPr="00F22A05" w:rsidRDefault="004516D5" w:rsidP="004516D5">
            <w:pPr>
              <w:rPr>
                <w:u w:val="single"/>
              </w:rPr>
            </w:pPr>
            <w:r w:rsidRPr="00F22A05">
              <w:rPr>
                <w:sz w:val="22"/>
                <w:szCs w:val="22"/>
                <w:u w:val="single"/>
              </w:rPr>
              <w:t>11-12</w:t>
            </w:r>
          </w:p>
        </w:tc>
        <w:tc>
          <w:tcPr>
            <w:tcW w:w="2520" w:type="dxa"/>
            <w:vAlign w:val="bottom"/>
          </w:tcPr>
          <w:p w14:paraId="08438DAA" w14:textId="0FDF7DFA" w:rsidR="004516D5" w:rsidRPr="00F22A05" w:rsidRDefault="004516D5" w:rsidP="004516D5">
            <w:pPr>
              <w:jc w:val="center"/>
              <w:rPr>
                <w:u w:val="single"/>
              </w:rPr>
            </w:pPr>
            <w:r w:rsidRPr="00F22A05">
              <w:rPr>
                <w:u w:val="single"/>
              </w:rPr>
              <w:t>-0.386</w:t>
            </w:r>
          </w:p>
        </w:tc>
        <w:tc>
          <w:tcPr>
            <w:tcW w:w="2970" w:type="dxa"/>
            <w:vAlign w:val="bottom"/>
          </w:tcPr>
          <w:p w14:paraId="229E6363" w14:textId="26CB623B" w:rsidR="004516D5" w:rsidRPr="00F22A05" w:rsidRDefault="004516D5" w:rsidP="004516D5">
            <w:pPr>
              <w:jc w:val="center"/>
              <w:rPr>
                <w:sz w:val="22"/>
                <w:szCs w:val="22"/>
                <w:u w:val="single"/>
              </w:rPr>
            </w:pPr>
            <w:r w:rsidRPr="00F22A05">
              <w:rPr>
                <w:u w:val="single"/>
              </w:rPr>
              <w:t>0.018</w:t>
            </w:r>
          </w:p>
        </w:tc>
      </w:tr>
      <w:tr w:rsidR="00F22A05" w:rsidRPr="00F22A05" w14:paraId="22FEF51B" w14:textId="77777777" w:rsidTr="00DB2B80">
        <w:trPr>
          <w:tblHeader/>
          <w:jc w:val="center"/>
        </w:trPr>
        <w:tc>
          <w:tcPr>
            <w:tcW w:w="1435" w:type="dxa"/>
          </w:tcPr>
          <w:p w14:paraId="68733E3C" w14:textId="77777777" w:rsidR="004516D5" w:rsidRPr="00F22A05" w:rsidRDefault="004516D5" w:rsidP="004516D5">
            <w:pPr>
              <w:rPr>
                <w:u w:val="single"/>
              </w:rPr>
            </w:pPr>
            <w:r w:rsidRPr="00F22A05">
              <w:rPr>
                <w:sz w:val="22"/>
                <w:szCs w:val="22"/>
                <w:u w:val="single"/>
              </w:rPr>
              <w:t>12-13</w:t>
            </w:r>
          </w:p>
        </w:tc>
        <w:tc>
          <w:tcPr>
            <w:tcW w:w="2520" w:type="dxa"/>
            <w:vAlign w:val="bottom"/>
          </w:tcPr>
          <w:p w14:paraId="28276940" w14:textId="64E112C1" w:rsidR="004516D5" w:rsidRPr="00F22A05" w:rsidRDefault="004516D5" w:rsidP="004516D5">
            <w:pPr>
              <w:jc w:val="center"/>
              <w:rPr>
                <w:u w:val="single"/>
              </w:rPr>
            </w:pPr>
            <w:r w:rsidRPr="00F22A05">
              <w:rPr>
                <w:u w:val="single"/>
              </w:rPr>
              <w:t>-0.240</w:t>
            </w:r>
          </w:p>
        </w:tc>
        <w:tc>
          <w:tcPr>
            <w:tcW w:w="2970" w:type="dxa"/>
            <w:vAlign w:val="bottom"/>
          </w:tcPr>
          <w:p w14:paraId="0AFD93D8" w14:textId="7E881CAA" w:rsidR="004516D5" w:rsidRPr="00F22A05" w:rsidRDefault="004516D5" w:rsidP="004516D5">
            <w:pPr>
              <w:jc w:val="center"/>
              <w:rPr>
                <w:sz w:val="22"/>
                <w:szCs w:val="22"/>
                <w:u w:val="single"/>
              </w:rPr>
            </w:pPr>
            <w:r w:rsidRPr="00F22A05">
              <w:rPr>
                <w:u w:val="single"/>
              </w:rPr>
              <w:t>0.016</w:t>
            </w:r>
          </w:p>
        </w:tc>
      </w:tr>
      <w:tr w:rsidR="00F22A05" w:rsidRPr="00F22A05" w14:paraId="4E10E577" w14:textId="77777777" w:rsidTr="00DB2B80">
        <w:trPr>
          <w:tblHeader/>
          <w:jc w:val="center"/>
        </w:trPr>
        <w:tc>
          <w:tcPr>
            <w:tcW w:w="1435" w:type="dxa"/>
          </w:tcPr>
          <w:p w14:paraId="2A0DDBDC" w14:textId="77777777" w:rsidR="004516D5" w:rsidRPr="00F22A05" w:rsidRDefault="004516D5" w:rsidP="004516D5">
            <w:pPr>
              <w:rPr>
                <w:u w:val="single"/>
              </w:rPr>
            </w:pPr>
            <w:r w:rsidRPr="00F22A05">
              <w:rPr>
                <w:sz w:val="22"/>
                <w:szCs w:val="22"/>
                <w:u w:val="single"/>
              </w:rPr>
              <w:t>13-14</w:t>
            </w:r>
          </w:p>
        </w:tc>
        <w:tc>
          <w:tcPr>
            <w:tcW w:w="2520" w:type="dxa"/>
            <w:vAlign w:val="bottom"/>
          </w:tcPr>
          <w:p w14:paraId="70B85299" w14:textId="674FA440" w:rsidR="004516D5" w:rsidRPr="00F22A05" w:rsidRDefault="004516D5" w:rsidP="004516D5">
            <w:pPr>
              <w:jc w:val="center"/>
              <w:rPr>
                <w:u w:val="single"/>
              </w:rPr>
            </w:pPr>
            <w:r w:rsidRPr="00F22A05">
              <w:rPr>
                <w:u w:val="single"/>
              </w:rPr>
              <w:t>-0.314</w:t>
            </w:r>
          </w:p>
        </w:tc>
        <w:tc>
          <w:tcPr>
            <w:tcW w:w="2970" w:type="dxa"/>
            <w:vAlign w:val="bottom"/>
          </w:tcPr>
          <w:p w14:paraId="6A45A2F4" w14:textId="10170CCF" w:rsidR="004516D5" w:rsidRPr="00F22A05" w:rsidRDefault="004516D5" w:rsidP="004516D5">
            <w:pPr>
              <w:jc w:val="center"/>
              <w:rPr>
                <w:sz w:val="22"/>
                <w:szCs w:val="22"/>
                <w:u w:val="single"/>
              </w:rPr>
            </w:pPr>
            <w:r w:rsidRPr="00F22A05">
              <w:rPr>
                <w:u w:val="single"/>
              </w:rPr>
              <w:t>0.017</w:t>
            </w:r>
          </w:p>
        </w:tc>
      </w:tr>
      <w:tr w:rsidR="00F22A05" w:rsidRPr="00F22A05" w14:paraId="11A6C7F7" w14:textId="77777777" w:rsidTr="00DB2B80">
        <w:trPr>
          <w:tblHeader/>
          <w:jc w:val="center"/>
        </w:trPr>
        <w:tc>
          <w:tcPr>
            <w:tcW w:w="1435" w:type="dxa"/>
          </w:tcPr>
          <w:p w14:paraId="793FE2EA" w14:textId="77777777" w:rsidR="004516D5" w:rsidRPr="00F22A05" w:rsidRDefault="004516D5" w:rsidP="004516D5">
            <w:pPr>
              <w:rPr>
                <w:u w:val="single"/>
              </w:rPr>
            </w:pPr>
            <w:r w:rsidRPr="00F22A05">
              <w:rPr>
                <w:sz w:val="22"/>
                <w:szCs w:val="22"/>
                <w:u w:val="single"/>
              </w:rPr>
              <w:t>14-15</w:t>
            </w:r>
          </w:p>
        </w:tc>
        <w:tc>
          <w:tcPr>
            <w:tcW w:w="2520" w:type="dxa"/>
            <w:vAlign w:val="bottom"/>
          </w:tcPr>
          <w:p w14:paraId="22F11F4C" w14:textId="14A59BFC" w:rsidR="004516D5" w:rsidRPr="00F22A05" w:rsidRDefault="004516D5" w:rsidP="004516D5">
            <w:pPr>
              <w:jc w:val="center"/>
              <w:rPr>
                <w:u w:val="single"/>
              </w:rPr>
            </w:pPr>
            <w:r w:rsidRPr="00F22A05">
              <w:rPr>
                <w:u w:val="single"/>
              </w:rPr>
              <w:t>-0.160</w:t>
            </w:r>
          </w:p>
        </w:tc>
        <w:tc>
          <w:tcPr>
            <w:tcW w:w="2970" w:type="dxa"/>
            <w:vAlign w:val="bottom"/>
          </w:tcPr>
          <w:p w14:paraId="174A7CDB" w14:textId="18602768" w:rsidR="004516D5" w:rsidRPr="00F22A05" w:rsidRDefault="004516D5" w:rsidP="004516D5">
            <w:pPr>
              <w:jc w:val="center"/>
              <w:rPr>
                <w:sz w:val="22"/>
                <w:szCs w:val="22"/>
                <w:u w:val="single"/>
              </w:rPr>
            </w:pPr>
            <w:r w:rsidRPr="00F22A05">
              <w:rPr>
                <w:u w:val="single"/>
              </w:rPr>
              <w:t>0.015</w:t>
            </w:r>
          </w:p>
        </w:tc>
      </w:tr>
      <w:tr w:rsidR="00F22A05" w:rsidRPr="00F22A05" w14:paraId="0FF2ACE9" w14:textId="77777777" w:rsidTr="00DB2B80">
        <w:trPr>
          <w:tblHeader/>
          <w:jc w:val="center"/>
        </w:trPr>
        <w:tc>
          <w:tcPr>
            <w:tcW w:w="1435" w:type="dxa"/>
          </w:tcPr>
          <w:p w14:paraId="4651FC36" w14:textId="77777777" w:rsidR="004516D5" w:rsidRPr="00F22A05" w:rsidRDefault="004516D5" w:rsidP="004516D5">
            <w:pPr>
              <w:rPr>
                <w:u w:val="single"/>
              </w:rPr>
            </w:pPr>
            <w:r w:rsidRPr="00F22A05">
              <w:rPr>
                <w:sz w:val="22"/>
                <w:szCs w:val="22"/>
                <w:u w:val="single"/>
              </w:rPr>
              <w:t>15-16</w:t>
            </w:r>
          </w:p>
        </w:tc>
        <w:tc>
          <w:tcPr>
            <w:tcW w:w="2520" w:type="dxa"/>
            <w:vAlign w:val="bottom"/>
          </w:tcPr>
          <w:p w14:paraId="52458745" w14:textId="62150748" w:rsidR="004516D5" w:rsidRPr="00F22A05" w:rsidRDefault="004516D5" w:rsidP="004516D5">
            <w:pPr>
              <w:jc w:val="center"/>
              <w:rPr>
                <w:u w:val="single"/>
              </w:rPr>
            </w:pPr>
            <w:r w:rsidRPr="00F22A05">
              <w:rPr>
                <w:u w:val="single"/>
              </w:rPr>
              <w:t>-0.121</w:t>
            </w:r>
          </w:p>
        </w:tc>
        <w:tc>
          <w:tcPr>
            <w:tcW w:w="2970" w:type="dxa"/>
            <w:vAlign w:val="bottom"/>
          </w:tcPr>
          <w:p w14:paraId="5063523C" w14:textId="3AE18DAF" w:rsidR="004516D5" w:rsidRPr="00F22A05" w:rsidRDefault="004516D5" w:rsidP="004516D5">
            <w:pPr>
              <w:jc w:val="center"/>
              <w:rPr>
                <w:sz w:val="22"/>
                <w:szCs w:val="22"/>
                <w:u w:val="single"/>
              </w:rPr>
            </w:pPr>
            <w:r w:rsidRPr="00F22A05">
              <w:rPr>
                <w:u w:val="single"/>
              </w:rPr>
              <w:t>0.015</w:t>
            </w:r>
          </w:p>
        </w:tc>
      </w:tr>
      <w:tr w:rsidR="00F22A05" w:rsidRPr="00F22A05" w14:paraId="18F8EB72" w14:textId="77777777" w:rsidTr="00DB2B80">
        <w:trPr>
          <w:tblHeader/>
          <w:jc w:val="center"/>
        </w:trPr>
        <w:tc>
          <w:tcPr>
            <w:tcW w:w="1435" w:type="dxa"/>
          </w:tcPr>
          <w:p w14:paraId="6BE00FED" w14:textId="77777777" w:rsidR="004516D5" w:rsidRPr="00F22A05" w:rsidRDefault="004516D5" w:rsidP="004516D5">
            <w:pPr>
              <w:rPr>
                <w:u w:val="single"/>
              </w:rPr>
            </w:pPr>
            <w:r w:rsidRPr="00F22A05">
              <w:rPr>
                <w:sz w:val="22"/>
                <w:szCs w:val="22"/>
                <w:u w:val="single"/>
              </w:rPr>
              <w:t>16-17</w:t>
            </w:r>
          </w:p>
        </w:tc>
        <w:tc>
          <w:tcPr>
            <w:tcW w:w="2520" w:type="dxa"/>
            <w:vAlign w:val="bottom"/>
          </w:tcPr>
          <w:p w14:paraId="0DCFFA86" w14:textId="36012AD2" w:rsidR="004516D5" w:rsidRPr="00F22A05" w:rsidRDefault="004516D5" w:rsidP="004516D5">
            <w:pPr>
              <w:jc w:val="center"/>
              <w:rPr>
                <w:u w:val="single"/>
              </w:rPr>
            </w:pPr>
            <w:r w:rsidRPr="00F22A05">
              <w:rPr>
                <w:u w:val="single"/>
              </w:rPr>
              <w:t>-0.469</w:t>
            </w:r>
          </w:p>
        </w:tc>
        <w:tc>
          <w:tcPr>
            <w:tcW w:w="2970" w:type="dxa"/>
            <w:vAlign w:val="bottom"/>
          </w:tcPr>
          <w:p w14:paraId="7ECAB13B" w14:textId="27EFFFE7" w:rsidR="004516D5" w:rsidRPr="00F22A05" w:rsidRDefault="004516D5" w:rsidP="004516D5">
            <w:pPr>
              <w:jc w:val="center"/>
              <w:rPr>
                <w:sz w:val="22"/>
                <w:szCs w:val="22"/>
                <w:u w:val="single"/>
              </w:rPr>
            </w:pPr>
            <w:r w:rsidRPr="00F22A05">
              <w:rPr>
                <w:u w:val="single"/>
              </w:rPr>
              <w:t>0.020</w:t>
            </w:r>
          </w:p>
        </w:tc>
      </w:tr>
      <w:tr w:rsidR="00F22A05" w:rsidRPr="00F22A05" w14:paraId="0962D5E2" w14:textId="77777777" w:rsidTr="00DB2B80">
        <w:trPr>
          <w:tblHeader/>
          <w:jc w:val="center"/>
        </w:trPr>
        <w:tc>
          <w:tcPr>
            <w:tcW w:w="1435" w:type="dxa"/>
          </w:tcPr>
          <w:p w14:paraId="206D281E" w14:textId="77777777" w:rsidR="004516D5" w:rsidRPr="00F22A05" w:rsidRDefault="004516D5" w:rsidP="004516D5">
            <w:pPr>
              <w:rPr>
                <w:u w:val="single"/>
              </w:rPr>
            </w:pPr>
            <w:r w:rsidRPr="00F22A05">
              <w:rPr>
                <w:sz w:val="22"/>
                <w:szCs w:val="22"/>
                <w:u w:val="single"/>
              </w:rPr>
              <w:t>17-18</w:t>
            </w:r>
          </w:p>
        </w:tc>
        <w:tc>
          <w:tcPr>
            <w:tcW w:w="2520" w:type="dxa"/>
            <w:vAlign w:val="bottom"/>
          </w:tcPr>
          <w:p w14:paraId="16A8C71D" w14:textId="5023B469" w:rsidR="004516D5" w:rsidRPr="00F22A05" w:rsidRDefault="004516D5" w:rsidP="004516D5">
            <w:pPr>
              <w:jc w:val="center"/>
              <w:rPr>
                <w:u w:val="single"/>
              </w:rPr>
            </w:pPr>
            <w:r w:rsidRPr="00F22A05">
              <w:rPr>
                <w:u w:val="single"/>
              </w:rPr>
              <w:t>-0.412</w:t>
            </w:r>
          </w:p>
        </w:tc>
        <w:tc>
          <w:tcPr>
            <w:tcW w:w="2970" w:type="dxa"/>
            <w:vAlign w:val="bottom"/>
          </w:tcPr>
          <w:p w14:paraId="63EB708F" w14:textId="475701F1" w:rsidR="004516D5" w:rsidRPr="00F22A05" w:rsidRDefault="004516D5" w:rsidP="004516D5">
            <w:pPr>
              <w:jc w:val="center"/>
              <w:rPr>
                <w:sz w:val="22"/>
                <w:szCs w:val="22"/>
                <w:u w:val="single"/>
              </w:rPr>
            </w:pPr>
            <w:r w:rsidRPr="00F22A05">
              <w:rPr>
                <w:u w:val="single"/>
              </w:rPr>
              <w:t>0.020</w:t>
            </w:r>
          </w:p>
        </w:tc>
      </w:tr>
      <w:tr w:rsidR="00F22A05" w:rsidRPr="00F22A05" w14:paraId="5D5A5515" w14:textId="77777777" w:rsidTr="00DB2B80">
        <w:trPr>
          <w:tblHeader/>
          <w:jc w:val="center"/>
        </w:trPr>
        <w:tc>
          <w:tcPr>
            <w:tcW w:w="1435" w:type="dxa"/>
          </w:tcPr>
          <w:p w14:paraId="2FB3EC36" w14:textId="77777777" w:rsidR="004516D5" w:rsidRPr="00F22A05" w:rsidRDefault="004516D5" w:rsidP="004516D5">
            <w:pPr>
              <w:rPr>
                <w:u w:val="single"/>
              </w:rPr>
            </w:pPr>
            <w:r w:rsidRPr="00F22A05">
              <w:rPr>
                <w:sz w:val="22"/>
                <w:szCs w:val="22"/>
                <w:u w:val="single"/>
              </w:rPr>
              <w:t>18-19</w:t>
            </w:r>
          </w:p>
        </w:tc>
        <w:tc>
          <w:tcPr>
            <w:tcW w:w="2520" w:type="dxa"/>
            <w:vAlign w:val="bottom"/>
          </w:tcPr>
          <w:p w14:paraId="2479946F" w14:textId="3F430A80" w:rsidR="004516D5" w:rsidRPr="00F22A05" w:rsidRDefault="004516D5" w:rsidP="004516D5">
            <w:pPr>
              <w:jc w:val="center"/>
              <w:rPr>
                <w:u w:val="single"/>
              </w:rPr>
            </w:pPr>
            <w:r w:rsidRPr="00F22A05">
              <w:rPr>
                <w:u w:val="single"/>
              </w:rPr>
              <w:t>-0.091</w:t>
            </w:r>
          </w:p>
        </w:tc>
        <w:tc>
          <w:tcPr>
            <w:tcW w:w="2970" w:type="dxa"/>
            <w:vAlign w:val="bottom"/>
          </w:tcPr>
          <w:p w14:paraId="67401E5E" w14:textId="558D2D50" w:rsidR="004516D5" w:rsidRPr="00F22A05" w:rsidRDefault="004516D5" w:rsidP="004516D5">
            <w:pPr>
              <w:jc w:val="center"/>
              <w:rPr>
                <w:sz w:val="22"/>
                <w:szCs w:val="22"/>
                <w:u w:val="single"/>
              </w:rPr>
            </w:pPr>
            <w:r w:rsidRPr="00F22A05">
              <w:rPr>
                <w:u w:val="single"/>
              </w:rPr>
              <w:t>0.017</w:t>
            </w:r>
          </w:p>
        </w:tc>
      </w:tr>
      <w:tr w:rsidR="00F22A05" w:rsidRPr="00F22A05" w14:paraId="0F18F2DA" w14:textId="77777777" w:rsidTr="00DB2B80">
        <w:trPr>
          <w:tblHeader/>
          <w:jc w:val="center"/>
        </w:trPr>
        <w:tc>
          <w:tcPr>
            <w:tcW w:w="1435" w:type="dxa"/>
          </w:tcPr>
          <w:p w14:paraId="6D7EE6AF" w14:textId="77777777" w:rsidR="004516D5" w:rsidRPr="00F22A05" w:rsidRDefault="004516D5" w:rsidP="004516D5">
            <w:pPr>
              <w:rPr>
                <w:u w:val="single"/>
              </w:rPr>
            </w:pPr>
            <w:r w:rsidRPr="00F22A05">
              <w:rPr>
                <w:sz w:val="22"/>
                <w:szCs w:val="22"/>
                <w:u w:val="single"/>
              </w:rPr>
              <w:t>19-20</w:t>
            </w:r>
          </w:p>
        </w:tc>
        <w:tc>
          <w:tcPr>
            <w:tcW w:w="2520" w:type="dxa"/>
            <w:vAlign w:val="bottom"/>
          </w:tcPr>
          <w:p w14:paraId="3864C288" w14:textId="1DD0AE29" w:rsidR="004516D5" w:rsidRPr="00F22A05" w:rsidRDefault="004516D5" w:rsidP="004516D5">
            <w:pPr>
              <w:jc w:val="center"/>
              <w:rPr>
                <w:u w:val="single"/>
              </w:rPr>
            </w:pPr>
            <w:r w:rsidRPr="00F22A05">
              <w:rPr>
                <w:u w:val="single"/>
              </w:rPr>
              <w:t>0.077</w:t>
            </w:r>
          </w:p>
        </w:tc>
        <w:tc>
          <w:tcPr>
            <w:tcW w:w="2970" w:type="dxa"/>
            <w:vAlign w:val="bottom"/>
          </w:tcPr>
          <w:p w14:paraId="0C87B819" w14:textId="08692327" w:rsidR="004516D5" w:rsidRPr="00F22A05" w:rsidRDefault="004516D5" w:rsidP="004516D5">
            <w:pPr>
              <w:jc w:val="center"/>
              <w:rPr>
                <w:sz w:val="22"/>
                <w:szCs w:val="22"/>
                <w:u w:val="single"/>
              </w:rPr>
            </w:pPr>
            <w:r w:rsidRPr="00F22A05">
              <w:rPr>
                <w:u w:val="single"/>
              </w:rPr>
              <w:t>0.014</w:t>
            </w:r>
          </w:p>
        </w:tc>
      </w:tr>
      <w:tr w:rsidR="00F22A05" w:rsidRPr="00F22A05" w14:paraId="45AB8BD3" w14:textId="77777777" w:rsidTr="00DB2B80">
        <w:trPr>
          <w:tblHeader/>
          <w:jc w:val="center"/>
        </w:trPr>
        <w:tc>
          <w:tcPr>
            <w:tcW w:w="1435" w:type="dxa"/>
          </w:tcPr>
          <w:p w14:paraId="4B295123" w14:textId="77777777" w:rsidR="004516D5" w:rsidRPr="00F22A05" w:rsidRDefault="004516D5" w:rsidP="004516D5">
            <w:pPr>
              <w:rPr>
                <w:u w:val="single"/>
              </w:rPr>
            </w:pPr>
            <w:r w:rsidRPr="00F22A05">
              <w:rPr>
                <w:sz w:val="22"/>
                <w:szCs w:val="22"/>
                <w:u w:val="single"/>
              </w:rPr>
              <w:t>20-21</w:t>
            </w:r>
          </w:p>
        </w:tc>
        <w:tc>
          <w:tcPr>
            <w:tcW w:w="2520" w:type="dxa"/>
            <w:vAlign w:val="bottom"/>
          </w:tcPr>
          <w:p w14:paraId="0B1A918C" w14:textId="08A53D15" w:rsidR="004516D5" w:rsidRPr="00F22A05" w:rsidRDefault="004516D5" w:rsidP="004516D5">
            <w:pPr>
              <w:jc w:val="center"/>
              <w:rPr>
                <w:u w:val="single"/>
              </w:rPr>
            </w:pPr>
            <w:r w:rsidRPr="00F22A05">
              <w:rPr>
                <w:u w:val="single"/>
              </w:rPr>
              <w:t>-0.118</w:t>
            </w:r>
          </w:p>
        </w:tc>
        <w:tc>
          <w:tcPr>
            <w:tcW w:w="2970" w:type="dxa"/>
            <w:vAlign w:val="bottom"/>
          </w:tcPr>
          <w:p w14:paraId="154E5592" w14:textId="14391E35" w:rsidR="004516D5" w:rsidRPr="00F22A05" w:rsidRDefault="004516D5" w:rsidP="004516D5">
            <w:pPr>
              <w:jc w:val="center"/>
              <w:rPr>
                <w:sz w:val="22"/>
                <w:szCs w:val="22"/>
                <w:u w:val="single"/>
              </w:rPr>
            </w:pPr>
            <w:r w:rsidRPr="00F22A05">
              <w:rPr>
                <w:u w:val="single"/>
              </w:rPr>
              <w:t>0.016</w:t>
            </w:r>
          </w:p>
        </w:tc>
      </w:tr>
      <w:tr w:rsidR="00F22A05" w:rsidRPr="00F22A05" w14:paraId="3C38F10E" w14:textId="77777777" w:rsidTr="00DB2B80">
        <w:trPr>
          <w:tblHeader/>
          <w:jc w:val="center"/>
        </w:trPr>
        <w:tc>
          <w:tcPr>
            <w:tcW w:w="1435" w:type="dxa"/>
          </w:tcPr>
          <w:p w14:paraId="612007C0" w14:textId="77777777" w:rsidR="004516D5" w:rsidRPr="00F22A05" w:rsidRDefault="004516D5" w:rsidP="004516D5">
            <w:pPr>
              <w:rPr>
                <w:u w:val="single"/>
              </w:rPr>
            </w:pPr>
            <w:r w:rsidRPr="00F22A05">
              <w:rPr>
                <w:sz w:val="22"/>
                <w:szCs w:val="22"/>
                <w:u w:val="single"/>
              </w:rPr>
              <w:t>21-22</w:t>
            </w:r>
          </w:p>
        </w:tc>
        <w:tc>
          <w:tcPr>
            <w:tcW w:w="2520" w:type="dxa"/>
            <w:vAlign w:val="bottom"/>
          </w:tcPr>
          <w:p w14:paraId="24D63262" w14:textId="734C1395" w:rsidR="004516D5" w:rsidRPr="00F22A05" w:rsidRDefault="004516D5" w:rsidP="004516D5">
            <w:pPr>
              <w:jc w:val="center"/>
              <w:rPr>
                <w:u w:val="single"/>
              </w:rPr>
            </w:pPr>
            <w:r w:rsidRPr="00F22A05">
              <w:rPr>
                <w:u w:val="single"/>
              </w:rPr>
              <w:t>-0.247</w:t>
            </w:r>
          </w:p>
        </w:tc>
        <w:tc>
          <w:tcPr>
            <w:tcW w:w="2970" w:type="dxa"/>
            <w:vAlign w:val="bottom"/>
          </w:tcPr>
          <w:p w14:paraId="4857A714" w14:textId="0FBF24F2" w:rsidR="004516D5" w:rsidRPr="00F22A05" w:rsidRDefault="004516D5" w:rsidP="004516D5">
            <w:pPr>
              <w:jc w:val="center"/>
              <w:rPr>
                <w:sz w:val="22"/>
                <w:szCs w:val="22"/>
                <w:u w:val="single"/>
              </w:rPr>
            </w:pPr>
            <w:r w:rsidRPr="00F22A05">
              <w:rPr>
                <w:u w:val="single"/>
              </w:rPr>
              <w:t>0.017</w:t>
            </w:r>
          </w:p>
        </w:tc>
      </w:tr>
      <w:tr w:rsidR="00F22A05" w:rsidRPr="00F22A05" w14:paraId="1719CDAA" w14:textId="77777777" w:rsidTr="00DB2B80">
        <w:trPr>
          <w:tblHeader/>
          <w:jc w:val="center"/>
        </w:trPr>
        <w:tc>
          <w:tcPr>
            <w:tcW w:w="1435" w:type="dxa"/>
          </w:tcPr>
          <w:p w14:paraId="6F8484DE" w14:textId="77777777" w:rsidR="004516D5" w:rsidRPr="00F22A05" w:rsidRDefault="004516D5" w:rsidP="004516D5">
            <w:pPr>
              <w:rPr>
                <w:sz w:val="22"/>
                <w:szCs w:val="22"/>
                <w:u w:val="single"/>
              </w:rPr>
            </w:pPr>
            <w:r w:rsidRPr="00F22A05">
              <w:rPr>
                <w:sz w:val="22"/>
                <w:szCs w:val="22"/>
                <w:u w:val="single"/>
              </w:rPr>
              <w:t>22-23</w:t>
            </w:r>
          </w:p>
        </w:tc>
        <w:tc>
          <w:tcPr>
            <w:tcW w:w="2520" w:type="dxa"/>
            <w:vAlign w:val="bottom"/>
          </w:tcPr>
          <w:p w14:paraId="49EA303C" w14:textId="1636F883" w:rsidR="004516D5" w:rsidRPr="00F22A05" w:rsidRDefault="004516D5" w:rsidP="004516D5">
            <w:pPr>
              <w:jc w:val="center"/>
              <w:rPr>
                <w:sz w:val="22"/>
                <w:szCs w:val="22"/>
                <w:u w:val="single"/>
              </w:rPr>
            </w:pPr>
            <w:r w:rsidRPr="00F22A05">
              <w:rPr>
                <w:u w:val="single"/>
              </w:rPr>
              <w:t>-0.445</w:t>
            </w:r>
          </w:p>
        </w:tc>
        <w:tc>
          <w:tcPr>
            <w:tcW w:w="2970" w:type="dxa"/>
            <w:vAlign w:val="bottom"/>
          </w:tcPr>
          <w:p w14:paraId="384943BE" w14:textId="53D4B282" w:rsidR="004516D5" w:rsidRPr="00F22A05" w:rsidRDefault="004516D5" w:rsidP="004516D5">
            <w:pPr>
              <w:jc w:val="center"/>
              <w:rPr>
                <w:sz w:val="22"/>
                <w:szCs w:val="22"/>
                <w:u w:val="single"/>
              </w:rPr>
            </w:pPr>
            <w:r w:rsidRPr="00F22A05">
              <w:rPr>
                <w:u w:val="single"/>
              </w:rPr>
              <w:t>0.019</w:t>
            </w:r>
          </w:p>
        </w:tc>
      </w:tr>
      <w:tr w:rsidR="00F22A05" w:rsidRPr="00F22A05" w14:paraId="3D497180" w14:textId="77777777" w:rsidTr="00DB2B80">
        <w:trPr>
          <w:tblHeader/>
          <w:jc w:val="center"/>
        </w:trPr>
        <w:tc>
          <w:tcPr>
            <w:tcW w:w="1435" w:type="dxa"/>
          </w:tcPr>
          <w:p w14:paraId="53F3BF55" w14:textId="77777777" w:rsidR="004516D5" w:rsidRPr="00F22A05" w:rsidRDefault="004516D5" w:rsidP="004516D5">
            <w:pPr>
              <w:rPr>
                <w:sz w:val="22"/>
                <w:szCs w:val="22"/>
                <w:u w:val="single"/>
              </w:rPr>
            </w:pPr>
            <w:r w:rsidRPr="00F22A05">
              <w:rPr>
                <w:sz w:val="22"/>
                <w:szCs w:val="22"/>
                <w:u w:val="single"/>
              </w:rPr>
              <w:t>23-24</w:t>
            </w:r>
          </w:p>
        </w:tc>
        <w:tc>
          <w:tcPr>
            <w:tcW w:w="2520" w:type="dxa"/>
            <w:vAlign w:val="bottom"/>
          </w:tcPr>
          <w:p w14:paraId="49001225" w14:textId="68B3ADE8" w:rsidR="004516D5" w:rsidRPr="00F22A05" w:rsidRDefault="004516D5" w:rsidP="004516D5">
            <w:pPr>
              <w:jc w:val="center"/>
              <w:rPr>
                <w:sz w:val="22"/>
                <w:szCs w:val="22"/>
                <w:u w:val="single"/>
              </w:rPr>
            </w:pPr>
            <w:r w:rsidRPr="00F22A05">
              <w:rPr>
                <w:u w:val="single"/>
              </w:rPr>
              <w:t>-0.544</w:t>
            </w:r>
          </w:p>
        </w:tc>
        <w:tc>
          <w:tcPr>
            <w:tcW w:w="2970" w:type="dxa"/>
            <w:vAlign w:val="bottom"/>
          </w:tcPr>
          <w:p w14:paraId="22C4EF5C" w14:textId="006EDA75" w:rsidR="004516D5" w:rsidRPr="00F22A05" w:rsidRDefault="004516D5" w:rsidP="004516D5">
            <w:pPr>
              <w:jc w:val="center"/>
              <w:rPr>
                <w:sz w:val="22"/>
                <w:szCs w:val="22"/>
                <w:u w:val="single"/>
              </w:rPr>
            </w:pPr>
            <w:r w:rsidRPr="00F22A05">
              <w:rPr>
                <w:u w:val="single"/>
              </w:rPr>
              <w:t>0.020</w:t>
            </w:r>
          </w:p>
        </w:tc>
      </w:tr>
    </w:tbl>
    <w:p w14:paraId="6B76666F" w14:textId="3BC69128" w:rsidR="00EF1990" w:rsidRPr="00F22A05" w:rsidRDefault="00837793" w:rsidP="00EF1990">
      <w:pPr>
        <w:keepNext/>
        <w:jc w:val="center"/>
        <w:rPr>
          <w:rStyle w:val="Heading3Char"/>
          <w:u w:val="single"/>
        </w:rPr>
      </w:pPr>
      <w:r w:rsidRPr="00F22A05">
        <w:rPr>
          <w:rStyle w:val="Heading3Char"/>
          <w:u w:val="single"/>
        </w:rPr>
        <w:lastRenderedPageBreak/>
        <w:t xml:space="preserve">Table </w:t>
      </w:r>
      <w:r w:rsidR="000D4695" w:rsidRPr="00F22A05">
        <w:rPr>
          <w:rStyle w:val="Heading3Char"/>
          <w:u w:val="single"/>
        </w:rPr>
        <w:t>C.3(3)</w:t>
      </w:r>
      <w:r w:rsidRPr="00F22A05">
        <w:rPr>
          <w:rStyle w:val="Heading3Char"/>
          <w:u w:val="single"/>
        </w:rPr>
        <w:t xml:space="preserve"> Daily End Use Profile Schedules for Lighting</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350"/>
        <w:gridCol w:w="1620"/>
      </w:tblGrid>
      <w:tr w:rsidR="00F22A05" w:rsidRPr="00F22A05" w14:paraId="698D62A8" w14:textId="7AAAFFB8" w:rsidTr="00DB2B80">
        <w:trPr>
          <w:trHeight w:val="62"/>
          <w:tblHeader/>
          <w:jc w:val="center"/>
        </w:trPr>
        <w:tc>
          <w:tcPr>
            <w:tcW w:w="1435" w:type="dxa"/>
          </w:tcPr>
          <w:p w14:paraId="27F038CC" w14:textId="77777777" w:rsidR="00EF1990" w:rsidRPr="00F22A05" w:rsidRDefault="00EF1990" w:rsidP="00EF1990">
            <w:pPr>
              <w:rPr>
                <w:b/>
                <w:bCs/>
                <w:u w:val="single"/>
              </w:rPr>
            </w:pPr>
            <w:r w:rsidRPr="00F22A05">
              <w:rPr>
                <w:b/>
                <w:bCs/>
                <w:sz w:val="22"/>
                <w:szCs w:val="22"/>
                <w:u w:val="single"/>
              </w:rPr>
              <w:t>Hour of Day</w:t>
            </w:r>
          </w:p>
        </w:tc>
        <w:tc>
          <w:tcPr>
            <w:tcW w:w="1440" w:type="dxa"/>
            <w:vAlign w:val="center"/>
          </w:tcPr>
          <w:p w14:paraId="45BFB590" w14:textId="78C7B92F" w:rsidR="00EF1990" w:rsidRPr="00F22A05" w:rsidRDefault="00EF1990" w:rsidP="00EF1990">
            <w:pPr>
              <w:jc w:val="center"/>
              <w:rPr>
                <w:b/>
                <w:bCs/>
                <w:u w:val="single"/>
              </w:rPr>
            </w:pPr>
            <w:r w:rsidRPr="00F22A05">
              <w:rPr>
                <w:b/>
                <w:bCs/>
                <w:sz w:val="22"/>
                <w:szCs w:val="22"/>
                <w:u w:val="single"/>
              </w:rPr>
              <w:t>Interior</w:t>
            </w:r>
          </w:p>
        </w:tc>
        <w:tc>
          <w:tcPr>
            <w:tcW w:w="1350" w:type="dxa"/>
            <w:vAlign w:val="center"/>
          </w:tcPr>
          <w:p w14:paraId="66A52BC7" w14:textId="558F6E0A" w:rsidR="00EF1990" w:rsidRPr="00F22A05" w:rsidRDefault="00EF1990" w:rsidP="00EF1990">
            <w:pPr>
              <w:jc w:val="center"/>
              <w:rPr>
                <w:b/>
                <w:bCs/>
                <w:sz w:val="22"/>
                <w:szCs w:val="22"/>
                <w:u w:val="single"/>
              </w:rPr>
            </w:pPr>
            <w:r w:rsidRPr="00F22A05">
              <w:rPr>
                <w:b/>
                <w:bCs/>
                <w:sz w:val="22"/>
                <w:szCs w:val="22"/>
                <w:u w:val="single"/>
              </w:rPr>
              <w:t>Exterior</w:t>
            </w:r>
          </w:p>
        </w:tc>
        <w:tc>
          <w:tcPr>
            <w:tcW w:w="1620" w:type="dxa"/>
            <w:vAlign w:val="center"/>
          </w:tcPr>
          <w:p w14:paraId="0D2138BF" w14:textId="0A7CCC42" w:rsidR="00EF1990" w:rsidRPr="00F22A05" w:rsidRDefault="00EF1990" w:rsidP="00EF1990">
            <w:pPr>
              <w:jc w:val="center"/>
              <w:rPr>
                <w:b/>
                <w:bCs/>
                <w:sz w:val="22"/>
                <w:szCs w:val="22"/>
                <w:u w:val="single"/>
              </w:rPr>
            </w:pPr>
            <w:r w:rsidRPr="00F22A05">
              <w:rPr>
                <w:b/>
                <w:bCs/>
                <w:sz w:val="22"/>
                <w:szCs w:val="22"/>
                <w:u w:val="single"/>
              </w:rPr>
              <w:t>Garage</w:t>
            </w:r>
          </w:p>
        </w:tc>
      </w:tr>
      <w:tr w:rsidR="00F22A05" w:rsidRPr="00F22A05" w14:paraId="6C745D31" w14:textId="0AF25B07" w:rsidTr="00DB2B80">
        <w:trPr>
          <w:tblHeader/>
          <w:jc w:val="center"/>
        </w:trPr>
        <w:tc>
          <w:tcPr>
            <w:tcW w:w="1435" w:type="dxa"/>
          </w:tcPr>
          <w:p w14:paraId="700EC06A" w14:textId="77777777" w:rsidR="00EF1990" w:rsidRPr="00F22A05" w:rsidRDefault="00EF1990" w:rsidP="00EF1990">
            <w:pPr>
              <w:rPr>
                <w:u w:val="single"/>
              </w:rPr>
            </w:pPr>
            <w:r w:rsidRPr="00F22A05">
              <w:rPr>
                <w:sz w:val="22"/>
                <w:szCs w:val="22"/>
                <w:u w:val="single"/>
              </w:rPr>
              <w:t>0-1</w:t>
            </w:r>
          </w:p>
        </w:tc>
        <w:tc>
          <w:tcPr>
            <w:tcW w:w="1440" w:type="dxa"/>
            <w:vAlign w:val="bottom"/>
          </w:tcPr>
          <w:p w14:paraId="00F8863E" w14:textId="44394223" w:rsidR="00EF1990" w:rsidRPr="00F22A05" w:rsidRDefault="00EF1990" w:rsidP="00EF1990">
            <w:pPr>
              <w:jc w:val="center"/>
              <w:rPr>
                <w:u w:val="single"/>
              </w:rPr>
            </w:pPr>
            <w:r w:rsidRPr="00F22A05">
              <w:rPr>
                <w:u w:val="single"/>
              </w:rPr>
              <w:t>0.012</w:t>
            </w:r>
          </w:p>
        </w:tc>
        <w:tc>
          <w:tcPr>
            <w:tcW w:w="1350" w:type="dxa"/>
            <w:vAlign w:val="bottom"/>
          </w:tcPr>
          <w:p w14:paraId="5942A302" w14:textId="3632B4E7" w:rsidR="00EF1990" w:rsidRPr="00F22A05" w:rsidRDefault="00EF1990" w:rsidP="00EF1990">
            <w:pPr>
              <w:jc w:val="center"/>
              <w:rPr>
                <w:sz w:val="22"/>
                <w:szCs w:val="22"/>
                <w:u w:val="single"/>
              </w:rPr>
            </w:pPr>
            <w:r w:rsidRPr="00F22A05">
              <w:rPr>
                <w:u w:val="single"/>
              </w:rPr>
              <w:t>0.040</w:t>
            </w:r>
          </w:p>
        </w:tc>
        <w:tc>
          <w:tcPr>
            <w:tcW w:w="1620" w:type="dxa"/>
            <w:vAlign w:val="bottom"/>
          </w:tcPr>
          <w:p w14:paraId="0E9ADBFC" w14:textId="5252DE3B" w:rsidR="00EF1990" w:rsidRPr="00F22A05" w:rsidRDefault="00EF1990" w:rsidP="00EF1990">
            <w:pPr>
              <w:jc w:val="center"/>
              <w:rPr>
                <w:u w:val="single"/>
              </w:rPr>
            </w:pPr>
            <w:r w:rsidRPr="00F22A05">
              <w:rPr>
                <w:u w:val="single"/>
              </w:rPr>
              <w:t>0.023</w:t>
            </w:r>
          </w:p>
        </w:tc>
      </w:tr>
      <w:tr w:rsidR="00F22A05" w:rsidRPr="00F22A05" w14:paraId="439E9709" w14:textId="28A061C7" w:rsidTr="00DB2B80">
        <w:trPr>
          <w:tblHeader/>
          <w:jc w:val="center"/>
        </w:trPr>
        <w:tc>
          <w:tcPr>
            <w:tcW w:w="1435" w:type="dxa"/>
          </w:tcPr>
          <w:p w14:paraId="47280175" w14:textId="77777777" w:rsidR="00EF1990" w:rsidRPr="00F22A05" w:rsidRDefault="00EF1990" w:rsidP="00EF1990">
            <w:pPr>
              <w:rPr>
                <w:u w:val="single"/>
              </w:rPr>
            </w:pPr>
            <w:r w:rsidRPr="00F22A05">
              <w:rPr>
                <w:sz w:val="22"/>
                <w:szCs w:val="22"/>
                <w:u w:val="single"/>
              </w:rPr>
              <w:t>1-2</w:t>
            </w:r>
          </w:p>
        </w:tc>
        <w:tc>
          <w:tcPr>
            <w:tcW w:w="1440" w:type="dxa"/>
            <w:vAlign w:val="bottom"/>
          </w:tcPr>
          <w:p w14:paraId="64CCCBA1" w14:textId="1BF2F897" w:rsidR="00EF1990" w:rsidRPr="00F22A05" w:rsidRDefault="00EF1990" w:rsidP="00EF1990">
            <w:pPr>
              <w:jc w:val="center"/>
              <w:rPr>
                <w:u w:val="single"/>
              </w:rPr>
            </w:pPr>
            <w:r w:rsidRPr="00F22A05">
              <w:rPr>
                <w:u w:val="single"/>
              </w:rPr>
              <w:t>0.010</w:t>
            </w:r>
          </w:p>
        </w:tc>
        <w:tc>
          <w:tcPr>
            <w:tcW w:w="1350" w:type="dxa"/>
            <w:vAlign w:val="bottom"/>
          </w:tcPr>
          <w:p w14:paraId="1FACCF6F" w14:textId="10608943" w:rsidR="00EF1990" w:rsidRPr="00F22A05" w:rsidRDefault="00EF1990" w:rsidP="00EF1990">
            <w:pPr>
              <w:jc w:val="center"/>
              <w:rPr>
                <w:sz w:val="22"/>
                <w:szCs w:val="22"/>
                <w:u w:val="single"/>
              </w:rPr>
            </w:pPr>
            <w:r w:rsidRPr="00F22A05">
              <w:rPr>
                <w:u w:val="single"/>
              </w:rPr>
              <w:t>0.037</w:t>
            </w:r>
          </w:p>
        </w:tc>
        <w:tc>
          <w:tcPr>
            <w:tcW w:w="1620" w:type="dxa"/>
            <w:vAlign w:val="bottom"/>
          </w:tcPr>
          <w:p w14:paraId="2BD3DF9E" w14:textId="627E7F84" w:rsidR="00EF1990" w:rsidRPr="00F22A05" w:rsidRDefault="00EF1990" w:rsidP="00EF1990">
            <w:pPr>
              <w:jc w:val="center"/>
              <w:rPr>
                <w:u w:val="single"/>
              </w:rPr>
            </w:pPr>
            <w:r w:rsidRPr="00F22A05">
              <w:rPr>
                <w:u w:val="single"/>
              </w:rPr>
              <w:t>0.019</w:t>
            </w:r>
          </w:p>
        </w:tc>
      </w:tr>
      <w:tr w:rsidR="00F22A05" w:rsidRPr="00F22A05" w14:paraId="414C512C" w14:textId="5B9D8FA9" w:rsidTr="00DB2B80">
        <w:trPr>
          <w:tblHeader/>
          <w:jc w:val="center"/>
        </w:trPr>
        <w:tc>
          <w:tcPr>
            <w:tcW w:w="1435" w:type="dxa"/>
          </w:tcPr>
          <w:p w14:paraId="36151993" w14:textId="77777777" w:rsidR="00EF1990" w:rsidRPr="00F22A05" w:rsidRDefault="00EF1990" w:rsidP="00EF1990">
            <w:pPr>
              <w:rPr>
                <w:u w:val="single"/>
              </w:rPr>
            </w:pPr>
            <w:r w:rsidRPr="00F22A05">
              <w:rPr>
                <w:sz w:val="22"/>
                <w:szCs w:val="22"/>
                <w:u w:val="single"/>
              </w:rPr>
              <w:t>2-3</w:t>
            </w:r>
          </w:p>
        </w:tc>
        <w:tc>
          <w:tcPr>
            <w:tcW w:w="1440" w:type="dxa"/>
            <w:vAlign w:val="bottom"/>
          </w:tcPr>
          <w:p w14:paraId="6282E60E" w14:textId="4C925CC8" w:rsidR="00EF1990" w:rsidRPr="00F22A05" w:rsidRDefault="00EF1990" w:rsidP="00EF1990">
            <w:pPr>
              <w:jc w:val="center"/>
              <w:rPr>
                <w:u w:val="single"/>
              </w:rPr>
            </w:pPr>
            <w:r w:rsidRPr="00F22A05">
              <w:rPr>
                <w:u w:val="single"/>
              </w:rPr>
              <w:t>0.010</w:t>
            </w:r>
          </w:p>
        </w:tc>
        <w:tc>
          <w:tcPr>
            <w:tcW w:w="1350" w:type="dxa"/>
            <w:vAlign w:val="bottom"/>
          </w:tcPr>
          <w:p w14:paraId="52C09621" w14:textId="273A2E18" w:rsidR="00EF1990" w:rsidRPr="00F22A05" w:rsidRDefault="00EF1990" w:rsidP="00EF1990">
            <w:pPr>
              <w:jc w:val="center"/>
              <w:rPr>
                <w:sz w:val="22"/>
                <w:szCs w:val="22"/>
                <w:u w:val="single"/>
              </w:rPr>
            </w:pPr>
            <w:r w:rsidRPr="00F22A05">
              <w:rPr>
                <w:u w:val="single"/>
              </w:rPr>
              <w:t>0.037</w:t>
            </w:r>
          </w:p>
        </w:tc>
        <w:tc>
          <w:tcPr>
            <w:tcW w:w="1620" w:type="dxa"/>
            <w:vAlign w:val="bottom"/>
          </w:tcPr>
          <w:p w14:paraId="469D3956" w14:textId="7E070C9B" w:rsidR="00EF1990" w:rsidRPr="00F22A05" w:rsidRDefault="00EF1990" w:rsidP="00EF1990">
            <w:pPr>
              <w:jc w:val="center"/>
              <w:rPr>
                <w:u w:val="single"/>
              </w:rPr>
            </w:pPr>
            <w:r w:rsidRPr="00F22A05">
              <w:rPr>
                <w:u w:val="single"/>
              </w:rPr>
              <w:t>0.015</w:t>
            </w:r>
          </w:p>
        </w:tc>
      </w:tr>
      <w:tr w:rsidR="00F22A05" w:rsidRPr="00F22A05" w14:paraId="2F6352F0" w14:textId="2ABEB0B3" w:rsidTr="00DB2B80">
        <w:trPr>
          <w:tblHeader/>
          <w:jc w:val="center"/>
        </w:trPr>
        <w:tc>
          <w:tcPr>
            <w:tcW w:w="1435" w:type="dxa"/>
          </w:tcPr>
          <w:p w14:paraId="27D2CF04" w14:textId="77777777" w:rsidR="00EF1990" w:rsidRPr="00F22A05" w:rsidRDefault="00EF1990" w:rsidP="00EF1990">
            <w:pPr>
              <w:rPr>
                <w:u w:val="single"/>
              </w:rPr>
            </w:pPr>
            <w:r w:rsidRPr="00F22A05">
              <w:rPr>
                <w:sz w:val="22"/>
                <w:szCs w:val="22"/>
                <w:u w:val="single"/>
              </w:rPr>
              <w:t>3-4</w:t>
            </w:r>
          </w:p>
        </w:tc>
        <w:tc>
          <w:tcPr>
            <w:tcW w:w="1440" w:type="dxa"/>
            <w:vAlign w:val="bottom"/>
          </w:tcPr>
          <w:p w14:paraId="5D5C919C" w14:textId="737DAF02" w:rsidR="00EF1990" w:rsidRPr="00F22A05" w:rsidRDefault="00EF1990" w:rsidP="00EF1990">
            <w:pPr>
              <w:jc w:val="center"/>
              <w:rPr>
                <w:u w:val="single"/>
              </w:rPr>
            </w:pPr>
            <w:r w:rsidRPr="00F22A05">
              <w:rPr>
                <w:u w:val="single"/>
              </w:rPr>
              <w:t>0.010</w:t>
            </w:r>
          </w:p>
        </w:tc>
        <w:tc>
          <w:tcPr>
            <w:tcW w:w="1350" w:type="dxa"/>
            <w:vAlign w:val="bottom"/>
          </w:tcPr>
          <w:p w14:paraId="434B009D" w14:textId="6CCD71A4" w:rsidR="00EF1990" w:rsidRPr="00F22A05" w:rsidRDefault="00EF1990" w:rsidP="00EF1990">
            <w:pPr>
              <w:jc w:val="center"/>
              <w:rPr>
                <w:sz w:val="22"/>
                <w:szCs w:val="22"/>
                <w:u w:val="single"/>
              </w:rPr>
            </w:pPr>
            <w:r w:rsidRPr="00F22A05">
              <w:rPr>
                <w:u w:val="single"/>
              </w:rPr>
              <w:t>0.035</w:t>
            </w:r>
          </w:p>
        </w:tc>
        <w:tc>
          <w:tcPr>
            <w:tcW w:w="1620" w:type="dxa"/>
            <w:vAlign w:val="bottom"/>
          </w:tcPr>
          <w:p w14:paraId="708D984B" w14:textId="208DA341" w:rsidR="00EF1990" w:rsidRPr="00F22A05" w:rsidRDefault="00EF1990" w:rsidP="00EF1990">
            <w:pPr>
              <w:jc w:val="center"/>
              <w:rPr>
                <w:u w:val="single"/>
              </w:rPr>
            </w:pPr>
            <w:r w:rsidRPr="00F22A05">
              <w:rPr>
                <w:u w:val="single"/>
              </w:rPr>
              <w:t>0.017</w:t>
            </w:r>
          </w:p>
        </w:tc>
      </w:tr>
      <w:tr w:rsidR="00F22A05" w:rsidRPr="00F22A05" w14:paraId="07940B18" w14:textId="154C7F71" w:rsidTr="00DB2B80">
        <w:trPr>
          <w:tblHeader/>
          <w:jc w:val="center"/>
        </w:trPr>
        <w:tc>
          <w:tcPr>
            <w:tcW w:w="1435" w:type="dxa"/>
          </w:tcPr>
          <w:p w14:paraId="10719B1B" w14:textId="77777777" w:rsidR="00EF1990" w:rsidRPr="00F22A05" w:rsidRDefault="00EF1990" w:rsidP="00EF1990">
            <w:pPr>
              <w:rPr>
                <w:u w:val="single"/>
              </w:rPr>
            </w:pPr>
            <w:r w:rsidRPr="00F22A05">
              <w:rPr>
                <w:sz w:val="22"/>
                <w:szCs w:val="22"/>
                <w:u w:val="single"/>
              </w:rPr>
              <w:t>4-5</w:t>
            </w:r>
          </w:p>
        </w:tc>
        <w:tc>
          <w:tcPr>
            <w:tcW w:w="1440" w:type="dxa"/>
            <w:vAlign w:val="bottom"/>
          </w:tcPr>
          <w:p w14:paraId="71580D15" w14:textId="0907184D" w:rsidR="00EF1990" w:rsidRPr="00F22A05" w:rsidRDefault="00EF1990" w:rsidP="00EF1990">
            <w:pPr>
              <w:jc w:val="center"/>
              <w:rPr>
                <w:u w:val="single"/>
              </w:rPr>
            </w:pPr>
            <w:r w:rsidRPr="00F22A05">
              <w:rPr>
                <w:u w:val="single"/>
              </w:rPr>
              <w:t>0.011</w:t>
            </w:r>
          </w:p>
        </w:tc>
        <w:tc>
          <w:tcPr>
            <w:tcW w:w="1350" w:type="dxa"/>
            <w:vAlign w:val="bottom"/>
          </w:tcPr>
          <w:p w14:paraId="59FADA42" w14:textId="47668CE6" w:rsidR="00EF1990" w:rsidRPr="00F22A05" w:rsidRDefault="00EF1990" w:rsidP="00EF1990">
            <w:pPr>
              <w:jc w:val="center"/>
              <w:rPr>
                <w:sz w:val="22"/>
                <w:szCs w:val="22"/>
                <w:u w:val="single"/>
              </w:rPr>
            </w:pPr>
            <w:r w:rsidRPr="00F22A05">
              <w:rPr>
                <w:u w:val="single"/>
              </w:rPr>
              <w:t>0.035</w:t>
            </w:r>
          </w:p>
        </w:tc>
        <w:tc>
          <w:tcPr>
            <w:tcW w:w="1620" w:type="dxa"/>
            <w:vAlign w:val="bottom"/>
          </w:tcPr>
          <w:p w14:paraId="32C1E153" w14:textId="44382201" w:rsidR="00EF1990" w:rsidRPr="00F22A05" w:rsidRDefault="00EF1990" w:rsidP="00EF1990">
            <w:pPr>
              <w:jc w:val="center"/>
              <w:rPr>
                <w:u w:val="single"/>
              </w:rPr>
            </w:pPr>
            <w:r w:rsidRPr="00F22A05">
              <w:rPr>
                <w:u w:val="single"/>
              </w:rPr>
              <w:t>0.021</w:t>
            </w:r>
          </w:p>
        </w:tc>
      </w:tr>
      <w:tr w:rsidR="00F22A05" w:rsidRPr="00F22A05" w14:paraId="3CEA69A4" w14:textId="2024CA77" w:rsidTr="00DB2B80">
        <w:trPr>
          <w:tblHeader/>
          <w:jc w:val="center"/>
        </w:trPr>
        <w:tc>
          <w:tcPr>
            <w:tcW w:w="1435" w:type="dxa"/>
          </w:tcPr>
          <w:p w14:paraId="557A4786" w14:textId="77777777" w:rsidR="00EF1990" w:rsidRPr="00F22A05" w:rsidRDefault="00EF1990" w:rsidP="00EF1990">
            <w:pPr>
              <w:rPr>
                <w:u w:val="single"/>
              </w:rPr>
            </w:pPr>
            <w:r w:rsidRPr="00F22A05">
              <w:rPr>
                <w:sz w:val="22"/>
                <w:szCs w:val="22"/>
                <w:u w:val="single"/>
              </w:rPr>
              <w:t>5-6</w:t>
            </w:r>
          </w:p>
        </w:tc>
        <w:tc>
          <w:tcPr>
            <w:tcW w:w="1440" w:type="dxa"/>
            <w:vAlign w:val="bottom"/>
          </w:tcPr>
          <w:p w14:paraId="4F16B52C" w14:textId="3CFFE2CB" w:rsidR="00EF1990" w:rsidRPr="00F22A05" w:rsidRDefault="00EF1990" w:rsidP="00EF1990">
            <w:pPr>
              <w:jc w:val="center"/>
              <w:rPr>
                <w:u w:val="single"/>
              </w:rPr>
            </w:pPr>
            <w:r w:rsidRPr="00F22A05">
              <w:rPr>
                <w:u w:val="single"/>
              </w:rPr>
              <w:t>0.018</w:t>
            </w:r>
          </w:p>
        </w:tc>
        <w:tc>
          <w:tcPr>
            <w:tcW w:w="1350" w:type="dxa"/>
            <w:vAlign w:val="bottom"/>
          </w:tcPr>
          <w:p w14:paraId="35313C7D" w14:textId="54152111" w:rsidR="00EF1990" w:rsidRPr="00F22A05" w:rsidRDefault="00EF1990" w:rsidP="00EF1990">
            <w:pPr>
              <w:jc w:val="center"/>
              <w:rPr>
                <w:sz w:val="22"/>
                <w:szCs w:val="22"/>
                <w:u w:val="single"/>
              </w:rPr>
            </w:pPr>
            <w:r w:rsidRPr="00F22A05">
              <w:rPr>
                <w:u w:val="single"/>
              </w:rPr>
              <w:t>0.039</w:t>
            </w:r>
          </w:p>
        </w:tc>
        <w:tc>
          <w:tcPr>
            <w:tcW w:w="1620" w:type="dxa"/>
            <w:vAlign w:val="bottom"/>
          </w:tcPr>
          <w:p w14:paraId="3E7800CF" w14:textId="49A26DBB" w:rsidR="00EF1990" w:rsidRPr="00F22A05" w:rsidRDefault="00EF1990" w:rsidP="00EF1990">
            <w:pPr>
              <w:jc w:val="center"/>
              <w:rPr>
                <w:u w:val="single"/>
              </w:rPr>
            </w:pPr>
            <w:r w:rsidRPr="00F22A05">
              <w:rPr>
                <w:u w:val="single"/>
              </w:rPr>
              <w:t>0.031</w:t>
            </w:r>
          </w:p>
        </w:tc>
      </w:tr>
      <w:tr w:rsidR="00F22A05" w:rsidRPr="00F22A05" w14:paraId="572CAD46" w14:textId="7A01A4F3" w:rsidTr="00DB2B80">
        <w:trPr>
          <w:tblHeader/>
          <w:jc w:val="center"/>
        </w:trPr>
        <w:tc>
          <w:tcPr>
            <w:tcW w:w="1435" w:type="dxa"/>
          </w:tcPr>
          <w:p w14:paraId="07E39771" w14:textId="77777777" w:rsidR="00EF1990" w:rsidRPr="00F22A05" w:rsidRDefault="00EF1990" w:rsidP="00EF1990">
            <w:pPr>
              <w:rPr>
                <w:u w:val="single"/>
              </w:rPr>
            </w:pPr>
            <w:r w:rsidRPr="00F22A05">
              <w:rPr>
                <w:sz w:val="22"/>
                <w:szCs w:val="22"/>
                <w:u w:val="single"/>
              </w:rPr>
              <w:t>6-7</w:t>
            </w:r>
          </w:p>
        </w:tc>
        <w:tc>
          <w:tcPr>
            <w:tcW w:w="1440" w:type="dxa"/>
            <w:vAlign w:val="bottom"/>
          </w:tcPr>
          <w:p w14:paraId="41357BE1" w14:textId="16BF6562" w:rsidR="00EF1990" w:rsidRPr="00F22A05" w:rsidRDefault="00EF1990" w:rsidP="00EF1990">
            <w:pPr>
              <w:jc w:val="center"/>
              <w:rPr>
                <w:u w:val="single"/>
              </w:rPr>
            </w:pPr>
            <w:r w:rsidRPr="00F22A05">
              <w:rPr>
                <w:u w:val="single"/>
              </w:rPr>
              <w:t>0.030</w:t>
            </w:r>
          </w:p>
        </w:tc>
        <w:tc>
          <w:tcPr>
            <w:tcW w:w="1350" w:type="dxa"/>
            <w:vAlign w:val="bottom"/>
          </w:tcPr>
          <w:p w14:paraId="3BDE3890" w14:textId="0A160EBC" w:rsidR="00EF1990" w:rsidRPr="00F22A05" w:rsidRDefault="00EF1990" w:rsidP="00EF1990">
            <w:pPr>
              <w:jc w:val="center"/>
              <w:rPr>
                <w:sz w:val="22"/>
                <w:szCs w:val="22"/>
                <w:u w:val="single"/>
              </w:rPr>
            </w:pPr>
            <w:r w:rsidRPr="00F22A05">
              <w:rPr>
                <w:u w:val="single"/>
              </w:rPr>
              <w:t>0.044</w:t>
            </w:r>
          </w:p>
        </w:tc>
        <w:tc>
          <w:tcPr>
            <w:tcW w:w="1620" w:type="dxa"/>
            <w:vAlign w:val="bottom"/>
          </w:tcPr>
          <w:p w14:paraId="2C21ED53" w14:textId="0B3FEF55" w:rsidR="00EF1990" w:rsidRPr="00F22A05" w:rsidRDefault="00EF1990" w:rsidP="00EF1990">
            <w:pPr>
              <w:jc w:val="center"/>
              <w:rPr>
                <w:u w:val="single"/>
              </w:rPr>
            </w:pPr>
            <w:r w:rsidRPr="00F22A05">
              <w:rPr>
                <w:u w:val="single"/>
              </w:rPr>
              <w:t>0.042</w:t>
            </w:r>
          </w:p>
        </w:tc>
      </w:tr>
      <w:tr w:rsidR="00F22A05" w:rsidRPr="00F22A05" w14:paraId="37647708" w14:textId="2E51615A" w:rsidTr="00DB2B80">
        <w:trPr>
          <w:tblHeader/>
          <w:jc w:val="center"/>
        </w:trPr>
        <w:tc>
          <w:tcPr>
            <w:tcW w:w="1435" w:type="dxa"/>
          </w:tcPr>
          <w:p w14:paraId="680042C6" w14:textId="77777777" w:rsidR="00EF1990" w:rsidRPr="00F22A05" w:rsidRDefault="00EF1990" w:rsidP="00EF1990">
            <w:pPr>
              <w:rPr>
                <w:u w:val="single"/>
              </w:rPr>
            </w:pPr>
            <w:r w:rsidRPr="00F22A05">
              <w:rPr>
                <w:sz w:val="22"/>
                <w:szCs w:val="22"/>
                <w:u w:val="single"/>
              </w:rPr>
              <w:t>7-8</w:t>
            </w:r>
          </w:p>
        </w:tc>
        <w:tc>
          <w:tcPr>
            <w:tcW w:w="1440" w:type="dxa"/>
            <w:vAlign w:val="bottom"/>
          </w:tcPr>
          <w:p w14:paraId="6D0E98CB" w14:textId="149220BE" w:rsidR="00EF1990" w:rsidRPr="00F22A05" w:rsidRDefault="00EF1990" w:rsidP="00EF1990">
            <w:pPr>
              <w:jc w:val="center"/>
              <w:rPr>
                <w:u w:val="single"/>
              </w:rPr>
            </w:pPr>
            <w:r w:rsidRPr="00F22A05">
              <w:rPr>
                <w:u w:val="single"/>
              </w:rPr>
              <w:t>0.038</w:t>
            </w:r>
          </w:p>
        </w:tc>
        <w:tc>
          <w:tcPr>
            <w:tcW w:w="1350" w:type="dxa"/>
            <w:vAlign w:val="bottom"/>
          </w:tcPr>
          <w:p w14:paraId="64088F0B" w14:textId="7D26459C" w:rsidR="00EF1990" w:rsidRPr="00F22A05" w:rsidRDefault="00EF1990" w:rsidP="00EF1990">
            <w:pPr>
              <w:jc w:val="center"/>
              <w:rPr>
                <w:sz w:val="22"/>
                <w:szCs w:val="22"/>
                <w:u w:val="single"/>
              </w:rPr>
            </w:pPr>
            <w:r w:rsidRPr="00F22A05">
              <w:rPr>
                <w:u w:val="single"/>
              </w:rPr>
              <w:t>0.041</w:t>
            </w:r>
          </w:p>
        </w:tc>
        <w:tc>
          <w:tcPr>
            <w:tcW w:w="1620" w:type="dxa"/>
            <w:vAlign w:val="bottom"/>
          </w:tcPr>
          <w:p w14:paraId="03108706" w14:textId="40496B5B" w:rsidR="00EF1990" w:rsidRPr="00F22A05" w:rsidRDefault="00EF1990" w:rsidP="00EF1990">
            <w:pPr>
              <w:jc w:val="center"/>
              <w:rPr>
                <w:u w:val="single"/>
              </w:rPr>
            </w:pPr>
            <w:r w:rsidRPr="00F22A05">
              <w:rPr>
                <w:u w:val="single"/>
              </w:rPr>
              <w:t>0.041</w:t>
            </w:r>
          </w:p>
        </w:tc>
      </w:tr>
      <w:tr w:rsidR="00F22A05" w:rsidRPr="00F22A05" w14:paraId="0C794613" w14:textId="37E5EA6B" w:rsidTr="00DB2B80">
        <w:trPr>
          <w:tblHeader/>
          <w:jc w:val="center"/>
        </w:trPr>
        <w:tc>
          <w:tcPr>
            <w:tcW w:w="1435" w:type="dxa"/>
          </w:tcPr>
          <w:p w14:paraId="2437462C" w14:textId="77777777" w:rsidR="00EF1990" w:rsidRPr="00F22A05" w:rsidRDefault="00EF1990" w:rsidP="00EF1990">
            <w:pPr>
              <w:rPr>
                <w:u w:val="single"/>
              </w:rPr>
            </w:pPr>
            <w:r w:rsidRPr="00F22A05">
              <w:rPr>
                <w:sz w:val="22"/>
                <w:szCs w:val="22"/>
                <w:u w:val="single"/>
              </w:rPr>
              <w:t>8-9</w:t>
            </w:r>
          </w:p>
        </w:tc>
        <w:tc>
          <w:tcPr>
            <w:tcW w:w="1440" w:type="dxa"/>
            <w:vAlign w:val="bottom"/>
          </w:tcPr>
          <w:p w14:paraId="778BDEC5" w14:textId="64C35942" w:rsidR="00EF1990" w:rsidRPr="00F22A05" w:rsidRDefault="00EF1990" w:rsidP="00EF1990">
            <w:pPr>
              <w:jc w:val="center"/>
              <w:rPr>
                <w:u w:val="single"/>
              </w:rPr>
            </w:pPr>
            <w:r w:rsidRPr="00F22A05">
              <w:rPr>
                <w:u w:val="single"/>
              </w:rPr>
              <w:t>0.041</w:t>
            </w:r>
          </w:p>
        </w:tc>
        <w:tc>
          <w:tcPr>
            <w:tcW w:w="1350" w:type="dxa"/>
            <w:vAlign w:val="bottom"/>
          </w:tcPr>
          <w:p w14:paraId="4BEE3522" w14:textId="14723579" w:rsidR="00EF1990" w:rsidRPr="00F22A05" w:rsidRDefault="00EF1990" w:rsidP="00EF1990">
            <w:pPr>
              <w:jc w:val="center"/>
              <w:rPr>
                <w:sz w:val="22"/>
                <w:szCs w:val="22"/>
                <w:u w:val="single"/>
              </w:rPr>
            </w:pPr>
            <w:r w:rsidRPr="00F22A05">
              <w:rPr>
                <w:u w:val="single"/>
              </w:rPr>
              <w:t>0.031</w:t>
            </w:r>
          </w:p>
        </w:tc>
        <w:tc>
          <w:tcPr>
            <w:tcW w:w="1620" w:type="dxa"/>
            <w:vAlign w:val="bottom"/>
          </w:tcPr>
          <w:p w14:paraId="0A5EDA39" w14:textId="7C7A2484" w:rsidR="00EF1990" w:rsidRPr="00F22A05" w:rsidRDefault="00EF1990" w:rsidP="00EF1990">
            <w:pPr>
              <w:jc w:val="center"/>
              <w:rPr>
                <w:u w:val="single"/>
              </w:rPr>
            </w:pPr>
            <w:r w:rsidRPr="00F22A05">
              <w:rPr>
                <w:u w:val="single"/>
              </w:rPr>
              <w:t>0.034</w:t>
            </w:r>
          </w:p>
        </w:tc>
      </w:tr>
      <w:tr w:rsidR="00F22A05" w:rsidRPr="00F22A05" w14:paraId="2FD3D1B1" w14:textId="68FC06D7" w:rsidTr="00DB2B80">
        <w:trPr>
          <w:tblHeader/>
          <w:jc w:val="center"/>
        </w:trPr>
        <w:tc>
          <w:tcPr>
            <w:tcW w:w="1435" w:type="dxa"/>
          </w:tcPr>
          <w:p w14:paraId="23820FE2" w14:textId="77777777" w:rsidR="00EF1990" w:rsidRPr="00F22A05" w:rsidRDefault="00EF1990" w:rsidP="00EF1990">
            <w:pPr>
              <w:rPr>
                <w:u w:val="single"/>
              </w:rPr>
            </w:pPr>
            <w:r w:rsidRPr="00F22A05">
              <w:rPr>
                <w:sz w:val="22"/>
                <w:szCs w:val="22"/>
                <w:u w:val="single"/>
              </w:rPr>
              <w:t>9-10</w:t>
            </w:r>
          </w:p>
        </w:tc>
        <w:tc>
          <w:tcPr>
            <w:tcW w:w="1440" w:type="dxa"/>
            <w:vAlign w:val="bottom"/>
          </w:tcPr>
          <w:p w14:paraId="4FA827CB" w14:textId="17C6E0A0" w:rsidR="00EF1990" w:rsidRPr="00F22A05" w:rsidRDefault="00EF1990" w:rsidP="00EF1990">
            <w:pPr>
              <w:jc w:val="center"/>
              <w:rPr>
                <w:u w:val="single"/>
              </w:rPr>
            </w:pPr>
            <w:r w:rsidRPr="00F22A05">
              <w:rPr>
                <w:u w:val="single"/>
              </w:rPr>
              <w:t>0.041</w:t>
            </w:r>
          </w:p>
        </w:tc>
        <w:tc>
          <w:tcPr>
            <w:tcW w:w="1350" w:type="dxa"/>
            <w:vAlign w:val="bottom"/>
          </w:tcPr>
          <w:p w14:paraId="010B76A9" w14:textId="07152559" w:rsidR="00EF1990" w:rsidRPr="00F22A05" w:rsidRDefault="00EF1990" w:rsidP="00EF1990">
            <w:pPr>
              <w:jc w:val="center"/>
              <w:rPr>
                <w:sz w:val="22"/>
                <w:szCs w:val="22"/>
                <w:u w:val="single"/>
              </w:rPr>
            </w:pPr>
            <w:r w:rsidRPr="00F22A05">
              <w:rPr>
                <w:u w:val="single"/>
              </w:rPr>
              <w:t>0.025</w:t>
            </w:r>
          </w:p>
        </w:tc>
        <w:tc>
          <w:tcPr>
            <w:tcW w:w="1620" w:type="dxa"/>
            <w:vAlign w:val="bottom"/>
          </w:tcPr>
          <w:p w14:paraId="279F5992" w14:textId="51466A79" w:rsidR="00EF1990" w:rsidRPr="00F22A05" w:rsidRDefault="00EF1990" w:rsidP="00EF1990">
            <w:pPr>
              <w:jc w:val="center"/>
              <w:rPr>
                <w:u w:val="single"/>
              </w:rPr>
            </w:pPr>
            <w:r w:rsidRPr="00F22A05">
              <w:rPr>
                <w:u w:val="single"/>
              </w:rPr>
              <w:t>0.029</w:t>
            </w:r>
          </w:p>
        </w:tc>
      </w:tr>
      <w:tr w:rsidR="00F22A05" w:rsidRPr="00F22A05" w14:paraId="5F2D5151" w14:textId="7AA7B0AB" w:rsidTr="00DB2B80">
        <w:trPr>
          <w:tblHeader/>
          <w:jc w:val="center"/>
        </w:trPr>
        <w:tc>
          <w:tcPr>
            <w:tcW w:w="1435" w:type="dxa"/>
          </w:tcPr>
          <w:p w14:paraId="6C2031CA" w14:textId="77777777" w:rsidR="00EF1990" w:rsidRPr="00F22A05" w:rsidRDefault="00EF1990" w:rsidP="00EF1990">
            <w:pPr>
              <w:rPr>
                <w:u w:val="single"/>
              </w:rPr>
            </w:pPr>
            <w:r w:rsidRPr="00F22A05">
              <w:rPr>
                <w:sz w:val="22"/>
                <w:szCs w:val="22"/>
                <w:u w:val="single"/>
              </w:rPr>
              <w:t>10-11</w:t>
            </w:r>
          </w:p>
        </w:tc>
        <w:tc>
          <w:tcPr>
            <w:tcW w:w="1440" w:type="dxa"/>
            <w:vAlign w:val="bottom"/>
          </w:tcPr>
          <w:p w14:paraId="2A230A75" w14:textId="7250A03C" w:rsidR="00EF1990" w:rsidRPr="00F22A05" w:rsidRDefault="00EF1990" w:rsidP="00EF1990">
            <w:pPr>
              <w:jc w:val="center"/>
              <w:rPr>
                <w:u w:val="single"/>
              </w:rPr>
            </w:pPr>
            <w:r w:rsidRPr="00F22A05">
              <w:rPr>
                <w:u w:val="single"/>
              </w:rPr>
              <w:t>0.039</w:t>
            </w:r>
          </w:p>
        </w:tc>
        <w:tc>
          <w:tcPr>
            <w:tcW w:w="1350" w:type="dxa"/>
            <w:vAlign w:val="bottom"/>
          </w:tcPr>
          <w:p w14:paraId="1D54F450" w14:textId="5AB07467" w:rsidR="00EF1990" w:rsidRPr="00F22A05" w:rsidRDefault="00EF1990" w:rsidP="00EF1990">
            <w:pPr>
              <w:jc w:val="center"/>
              <w:rPr>
                <w:sz w:val="22"/>
                <w:szCs w:val="22"/>
                <w:u w:val="single"/>
              </w:rPr>
            </w:pPr>
            <w:r w:rsidRPr="00F22A05">
              <w:rPr>
                <w:u w:val="single"/>
              </w:rPr>
              <w:t>0.024</w:t>
            </w:r>
          </w:p>
        </w:tc>
        <w:tc>
          <w:tcPr>
            <w:tcW w:w="1620" w:type="dxa"/>
            <w:vAlign w:val="bottom"/>
          </w:tcPr>
          <w:p w14:paraId="0E319978" w14:textId="3E6E70C7" w:rsidR="00EF1990" w:rsidRPr="00F22A05" w:rsidRDefault="00EF1990" w:rsidP="00EF1990">
            <w:pPr>
              <w:jc w:val="center"/>
              <w:rPr>
                <w:u w:val="single"/>
              </w:rPr>
            </w:pPr>
            <w:r w:rsidRPr="00F22A05">
              <w:rPr>
                <w:u w:val="single"/>
              </w:rPr>
              <w:t>0.027</w:t>
            </w:r>
          </w:p>
        </w:tc>
      </w:tr>
      <w:tr w:rsidR="00F22A05" w:rsidRPr="00F22A05" w14:paraId="3A95AC7F" w14:textId="2EF387DA" w:rsidTr="00DB2B80">
        <w:trPr>
          <w:tblHeader/>
          <w:jc w:val="center"/>
        </w:trPr>
        <w:tc>
          <w:tcPr>
            <w:tcW w:w="1435" w:type="dxa"/>
          </w:tcPr>
          <w:p w14:paraId="6895695D" w14:textId="77777777" w:rsidR="00EF1990" w:rsidRPr="00F22A05" w:rsidRDefault="00EF1990" w:rsidP="00EF1990">
            <w:pPr>
              <w:rPr>
                <w:u w:val="single"/>
              </w:rPr>
            </w:pPr>
            <w:r w:rsidRPr="00F22A05">
              <w:rPr>
                <w:sz w:val="22"/>
                <w:szCs w:val="22"/>
                <w:u w:val="single"/>
              </w:rPr>
              <w:t>11-12</w:t>
            </w:r>
          </w:p>
        </w:tc>
        <w:tc>
          <w:tcPr>
            <w:tcW w:w="1440" w:type="dxa"/>
            <w:vAlign w:val="bottom"/>
          </w:tcPr>
          <w:p w14:paraId="46F805ED" w14:textId="6E5D808E" w:rsidR="00EF1990" w:rsidRPr="00F22A05" w:rsidRDefault="00EF1990" w:rsidP="00EF1990">
            <w:pPr>
              <w:jc w:val="center"/>
              <w:rPr>
                <w:u w:val="single"/>
              </w:rPr>
            </w:pPr>
            <w:r w:rsidRPr="00F22A05">
              <w:rPr>
                <w:u w:val="single"/>
              </w:rPr>
              <w:t>0.037</w:t>
            </w:r>
          </w:p>
        </w:tc>
        <w:tc>
          <w:tcPr>
            <w:tcW w:w="1350" w:type="dxa"/>
            <w:vAlign w:val="bottom"/>
          </w:tcPr>
          <w:p w14:paraId="34083994" w14:textId="37389A00" w:rsidR="00EF1990" w:rsidRPr="00F22A05" w:rsidRDefault="00EF1990" w:rsidP="00EF1990">
            <w:pPr>
              <w:jc w:val="center"/>
              <w:rPr>
                <w:sz w:val="22"/>
                <w:szCs w:val="22"/>
                <w:u w:val="single"/>
              </w:rPr>
            </w:pPr>
            <w:r w:rsidRPr="00F22A05">
              <w:rPr>
                <w:u w:val="single"/>
              </w:rPr>
              <w:t>0.024</w:t>
            </w:r>
          </w:p>
        </w:tc>
        <w:tc>
          <w:tcPr>
            <w:tcW w:w="1620" w:type="dxa"/>
            <w:vAlign w:val="bottom"/>
          </w:tcPr>
          <w:p w14:paraId="4FAF7AC1" w14:textId="1178BB95" w:rsidR="00EF1990" w:rsidRPr="00F22A05" w:rsidRDefault="00EF1990" w:rsidP="00EF1990">
            <w:pPr>
              <w:jc w:val="center"/>
              <w:rPr>
                <w:u w:val="single"/>
              </w:rPr>
            </w:pPr>
            <w:r w:rsidRPr="00F22A05">
              <w:rPr>
                <w:u w:val="single"/>
              </w:rPr>
              <w:t>0.025</w:t>
            </w:r>
          </w:p>
        </w:tc>
      </w:tr>
      <w:tr w:rsidR="00F22A05" w:rsidRPr="00F22A05" w14:paraId="0B40C5EA" w14:textId="07E41A32" w:rsidTr="00DB2B80">
        <w:trPr>
          <w:tblHeader/>
          <w:jc w:val="center"/>
        </w:trPr>
        <w:tc>
          <w:tcPr>
            <w:tcW w:w="1435" w:type="dxa"/>
          </w:tcPr>
          <w:p w14:paraId="1B0753CA" w14:textId="77777777" w:rsidR="00EF1990" w:rsidRPr="00F22A05" w:rsidRDefault="00EF1990" w:rsidP="00EF1990">
            <w:pPr>
              <w:rPr>
                <w:u w:val="single"/>
              </w:rPr>
            </w:pPr>
            <w:r w:rsidRPr="00F22A05">
              <w:rPr>
                <w:sz w:val="22"/>
                <w:szCs w:val="22"/>
                <w:u w:val="single"/>
              </w:rPr>
              <w:t>12-13</w:t>
            </w:r>
          </w:p>
        </w:tc>
        <w:tc>
          <w:tcPr>
            <w:tcW w:w="1440" w:type="dxa"/>
            <w:vAlign w:val="bottom"/>
          </w:tcPr>
          <w:p w14:paraId="03262316" w14:textId="0AE39169" w:rsidR="00EF1990" w:rsidRPr="00F22A05" w:rsidRDefault="00EF1990" w:rsidP="00EF1990">
            <w:pPr>
              <w:jc w:val="center"/>
              <w:rPr>
                <w:u w:val="single"/>
              </w:rPr>
            </w:pPr>
            <w:r w:rsidRPr="00F22A05">
              <w:rPr>
                <w:u w:val="single"/>
              </w:rPr>
              <w:t>0.036</w:t>
            </w:r>
          </w:p>
        </w:tc>
        <w:tc>
          <w:tcPr>
            <w:tcW w:w="1350" w:type="dxa"/>
            <w:vAlign w:val="bottom"/>
          </w:tcPr>
          <w:p w14:paraId="691CA708" w14:textId="32C2A9FD" w:rsidR="00EF1990" w:rsidRPr="00F22A05" w:rsidRDefault="00EF1990" w:rsidP="00EF1990">
            <w:pPr>
              <w:jc w:val="center"/>
              <w:rPr>
                <w:sz w:val="22"/>
                <w:szCs w:val="22"/>
                <w:u w:val="single"/>
              </w:rPr>
            </w:pPr>
            <w:r w:rsidRPr="00F22A05">
              <w:rPr>
                <w:u w:val="single"/>
              </w:rPr>
              <w:t>0.02</w:t>
            </w:r>
            <w:r w:rsidR="00135657" w:rsidRPr="00F22A05">
              <w:rPr>
                <w:u w:val="single"/>
              </w:rPr>
              <w:t>5</w:t>
            </w:r>
          </w:p>
        </w:tc>
        <w:tc>
          <w:tcPr>
            <w:tcW w:w="1620" w:type="dxa"/>
            <w:vAlign w:val="bottom"/>
          </w:tcPr>
          <w:p w14:paraId="54CD9840" w14:textId="0455D85B" w:rsidR="00EF1990" w:rsidRPr="00F22A05" w:rsidRDefault="00EF1990" w:rsidP="00EF1990">
            <w:pPr>
              <w:jc w:val="center"/>
              <w:rPr>
                <w:u w:val="single"/>
              </w:rPr>
            </w:pPr>
            <w:r w:rsidRPr="00F22A05">
              <w:rPr>
                <w:u w:val="single"/>
              </w:rPr>
              <w:t>0.021</w:t>
            </w:r>
          </w:p>
        </w:tc>
      </w:tr>
      <w:tr w:rsidR="00F22A05" w:rsidRPr="00F22A05" w14:paraId="72BB599E" w14:textId="40E5EF0F" w:rsidTr="00DB2B80">
        <w:trPr>
          <w:tblHeader/>
          <w:jc w:val="center"/>
        </w:trPr>
        <w:tc>
          <w:tcPr>
            <w:tcW w:w="1435" w:type="dxa"/>
          </w:tcPr>
          <w:p w14:paraId="4EF54A9E" w14:textId="77777777" w:rsidR="00EF1990" w:rsidRPr="00F22A05" w:rsidRDefault="00EF1990" w:rsidP="00EF1990">
            <w:pPr>
              <w:rPr>
                <w:u w:val="single"/>
              </w:rPr>
            </w:pPr>
            <w:r w:rsidRPr="00F22A05">
              <w:rPr>
                <w:sz w:val="22"/>
                <w:szCs w:val="22"/>
                <w:u w:val="single"/>
              </w:rPr>
              <w:t>13-14</w:t>
            </w:r>
          </w:p>
        </w:tc>
        <w:tc>
          <w:tcPr>
            <w:tcW w:w="1440" w:type="dxa"/>
            <w:vAlign w:val="bottom"/>
          </w:tcPr>
          <w:p w14:paraId="333C7A79" w14:textId="49F98A99" w:rsidR="00EF1990" w:rsidRPr="00F22A05" w:rsidRDefault="00EF1990" w:rsidP="00EF1990">
            <w:pPr>
              <w:jc w:val="center"/>
              <w:rPr>
                <w:u w:val="single"/>
              </w:rPr>
            </w:pPr>
            <w:r w:rsidRPr="00F22A05">
              <w:rPr>
                <w:u w:val="single"/>
              </w:rPr>
              <w:t>0.035</w:t>
            </w:r>
          </w:p>
        </w:tc>
        <w:tc>
          <w:tcPr>
            <w:tcW w:w="1350" w:type="dxa"/>
            <w:vAlign w:val="bottom"/>
          </w:tcPr>
          <w:p w14:paraId="32333D17" w14:textId="6B490AAC" w:rsidR="00EF1990" w:rsidRPr="00F22A05" w:rsidRDefault="00EF1990" w:rsidP="00EF1990">
            <w:pPr>
              <w:jc w:val="center"/>
              <w:rPr>
                <w:sz w:val="22"/>
                <w:szCs w:val="22"/>
                <w:u w:val="single"/>
              </w:rPr>
            </w:pPr>
            <w:r w:rsidRPr="00F22A05">
              <w:rPr>
                <w:u w:val="single"/>
              </w:rPr>
              <w:t>0.02</w:t>
            </w:r>
            <w:r w:rsidR="00135657" w:rsidRPr="00F22A05">
              <w:rPr>
                <w:u w:val="single"/>
              </w:rPr>
              <w:t>8</w:t>
            </w:r>
          </w:p>
        </w:tc>
        <w:tc>
          <w:tcPr>
            <w:tcW w:w="1620" w:type="dxa"/>
            <w:vAlign w:val="bottom"/>
          </w:tcPr>
          <w:p w14:paraId="5010E35F" w14:textId="356E600F" w:rsidR="00EF1990" w:rsidRPr="00F22A05" w:rsidRDefault="00EF1990" w:rsidP="00EF1990">
            <w:pPr>
              <w:jc w:val="center"/>
              <w:rPr>
                <w:u w:val="single"/>
              </w:rPr>
            </w:pPr>
            <w:r w:rsidRPr="00F22A05">
              <w:rPr>
                <w:u w:val="single"/>
              </w:rPr>
              <w:t>0.021</w:t>
            </w:r>
          </w:p>
        </w:tc>
      </w:tr>
      <w:tr w:rsidR="00F22A05" w:rsidRPr="00F22A05" w14:paraId="7C1D5681" w14:textId="4FA060EA" w:rsidTr="00DB2B80">
        <w:trPr>
          <w:tblHeader/>
          <w:jc w:val="center"/>
        </w:trPr>
        <w:tc>
          <w:tcPr>
            <w:tcW w:w="1435" w:type="dxa"/>
          </w:tcPr>
          <w:p w14:paraId="186A006E" w14:textId="77777777" w:rsidR="00EF1990" w:rsidRPr="00F22A05" w:rsidRDefault="00EF1990" w:rsidP="00EF1990">
            <w:pPr>
              <w:rPr>
                <w:u w:val="single"/>
              </w:rPr>
            </w:pPr>
            <w:r w:rsidRPr="00F22A05">
              <w:rPr>
                <w:sz w:val="22"/>
                <w:szCs w:val="22"/>
                <w:u w:val="single"/>
              </w:rPr>
              <w:t>14-15</w:t>
            </w:r>
          </w:p>
        </w:tc>
        <w:tc>
          <w:tcPr>
            <w:tcW w:w="1440" w:type="dxa"/>
            <w:vAlign w:val="bottom"/>
          </w:tcPr>
          <w:p w14:paraId="359F4385" w14:textId="3A8EE330" w:rsidR="00EF1990" w:rsidRPr="00F22A05" w:rsidRDefault="00EF1990" w:rsidP="00EF1990">
            <w:pPr>
              <w:jc w:val="center"/>
              <w:rPr>
                <w:u w:val="single"/>
              </w:rPr>
            </w:pPr>
            <w:r w:rsidRPr="00F22A05">
              <w:rPr>
                <w:u w:val="single"/>
              </w:rPr>
              <w:t>0.037</w:t>
            </w:r>
          </w:p>
        </w:tc>
        <w:tc>
          <w:tcPr>
            <w:tcW w:w="1350" w:type="dxa"/>
            <w:vAlign w:val="bottom"/>
          </w:tcPr>
          <w:p w14:paraId="39EE0AB3" w14:textId="3F2D0629" w:rsidR="00EF1990" w:rsidRPr="00F22A05" w:rsidRDefault="00EF1990" w:rsidP="00EF1990">
            <w:pPr>
              <w:jc w:val="center"/>
              <w:rPr>
                <w:sz w:val="22"/>
                <w:szCs w:val="22"/>
                <w:u w:val="single"/>
              </w:rPr>
            </w:pPr>
            <w:r w:rsidRPr="00F22A05">
              <w:rPr>
                <w:u w:val="single"/>
              </w:rPr>
              <w:t>0.03</w:t>
            </w:r>
            <w:r w:rsidR="00135657" w:rsidRPr="00F22A05">
              <w:rPr>
                <w:u w:val="single"/>
              </w:rPr>
              <w:t>0</w:t>
            </w:r>
          </w:p>
        </w:tc>
        <w:tc>
          <w:tcPr>
            <w:tcW w:w="1620" w:type="dxa"/>
            <w:vAlign w:val="bottom"/>
          </w:tcPr>
          <w:p w14:paraId="56B2E033" w14:textId="45EEC9BC" w:rsidR="00EF1990" w:rsidRPr="00F22A05" w:rsidRDefault="00EF1990" w:rsidP="00EF1990">
            <w:pPr>
              <w:jc w:val="center"/>
              <w:rPr>
                <w:u w:val="single"/>
              </w:rPr>
            </w:pPr>
            <w:r w:rsidRPr="00F22A05">
              <w:rPr>
                <w:u w:val="single"/>
              </w:rPr>
              <w:t>0.021</w:t>
            </w:r>
          </w:p>
        </w:tc>
      </w:tr>
      <w:tr w:rsidR="00F22A05" w:rsidRPr="00F22A05" w14:paraId="7DD2D393" w14:textId="3EF503A1" w:rsidTr="00DB2B80">
        <w:trPr>
          <w:tblHeader/>
          <w:jc w:val="center"/>
        </w:trPr>
        <w:tc>
          <w:tcPr>
            <w:tcW w:w="1435" w:type="dxa"/>
          </w:tcPr>
          <w:p w14:paraId="0C8C9F22" w14:textId="77777777" w:rsidR="00EF1990" w:rsidRPr="00F22A05" w:rsidRDefault="00EF1990" w:rsidP="00EF1990">
            <w:pPr>
              <w:rPr>
                <w:u w:val="single"/>
              </w:rPr>
            </w:pPr>
            <w:r w:rsidRPr="00F22A05">
              <w:rPr>
                <w:sz w:val="22"/>
                <w:szCs w:val="22"/>
                <w:u w:val="single"/>
              </w:rPr>
              <w:t>15-16</w:t>
            </w:r>
          </w:p>
        </w:tc>
        <w:tc>
          <w:tcPr>
            <w:tcW w:w="1440" w:type="dxa"/>
            <w:vAlign w:val="bottom"/>
          </w:tcPr>
          <w:p w14:paraId="09C19008" w14:textId="39621387" w:rsidR="00EF1990" w:rsidRPr="00F22A05" w:rsidRDefault="00EF1990" w:rsidP="00EF1990">
            <w:pPr>
              <w:jc w:val="center"/>
              <w:rPr>
                <w:u w:val="single"/>
              </w:rPr>
            </w:pPr>
            <w:r w:rsidRPr="00F22A05">
              <w:rPr>
                <w:u w:val="single"/>
              </w:rPr>
              <w:t>0.041</w:t>
            </w:r>
          </w:p>
        </w:tc>
        <w:tc>
          <w:tcPr>
            <w:tcW w:w="1350" w:type="dxa"/>
            <w:vAlign w:val="bottom"/>
          </w:tcPr>
          <w:p w14:paraId="61BF2A9E" w14:textId="7EEB8488" w:rsidR="00EF1990" w:rsidRPr="00F22A05" w:rsidRDefault="00EF1990" w:rsidP="00EF1990">
            <w:pPr>
              <w:jc w:val="center"/>
              <w:rPr>
                <w:sz w:val="22"/>
                <w:szCs w:val="22"/>
                <w:u w:val="single"/>
              </w:rPr>
            </w:pPr>
            <w:r w:rsidRPr="00F22A05">
              <w:rPr>
                <w:u w:val="single"/>
              </w:rPr>
              <w:t>0.035</w:t>
            </w:r>
          </w:p>
        </w:tc>
        <w:tc>
          <w:tcPr>
            <w:tcW w:w="1620" w:type="dxa"/>
            <w:vAlign w:val="bottom"/>
          </w:tcPr>
          <w:p w14:paraId="5898FD05" w14:textId="2C486340" w:rsidR="00EF1990" w:rsidRPr="00F22A05" w:rsidRDefault="00EF1990" w:rsidP="00EF1990">
            <w:pPr>
              <w:jc w:val="center"/>
              <w:rPr>
                <w:u w:val="single"/>
              </w:rPr>
            </w:pPr>
            <w:r w:rsidRPr="00F22A05">
              <w:rPr>
                <w:u w:val="single"/>
              </w:rPr>
              <w:t>0.026</w:t>
            </w:r>
          </w:p>
        </w:tc>
      </w:tr>
      <w:tr w:rsidR="00F22A05" w:rsidRPr="00F22A05" w14:paraId="39363D6C" w14:textId="61274B4A" w:rsidTr="00DB2B80">
        <w:trPr>
          <w:tblHeader/>
          <w:jc w:val="center"/>
        </w:trPr>
        <w:tc>
          <w:tcPr>
            <w:tcW w:w="1435" w:type="dxa"/>
          </w:tcPr>
          <w:p w14:paraId="1C0BA8FD" w14:textId="77777777" w:rsidR="00EF1990" w:rsidRPr="00F22A05" w:rsidRDefault="00EF1990" w:rsidP="00EF1990">
            <w:pPr>
              <w:rPr>
                <w:u w:val="single"/>
              </w:rPr>
            </w:pPr>
            <w:r w:rsidRPr="00F22A05">
              <w:rPr>
                <w:sz w:val="22"/>
                <w:szCs w:val="22"/>
                <w:u w:val="single"/>
              </w:rPr>
              <w:t>16-17</w:t>
            </w:r>
          </w:p>
        </w:tc>
        <w:tc>
          <w:tcPr>
            <w:tcW w:w="1440" w:type="dxa"/>
            <w:vAlign w:val="bottom"/>
          </w:tcPr>
          <w:p w14:paraId="065EABAF" w14:textId="56B9B0C1" w:rsidR="00EF1990" w:rsidRPr="00F22A05" w:rsidRDefault="00EF1990" w:rsidP="00EF1990">
            <w:pPr>
              <w:jc w:val="center"/>
              <w:rPr>
                <w:u w:val="single"/>
              </w:rPr>
            </w:pPr>
            <w:r w:rsidRPr="00F22A05">
              <w:rPr>
                <w:u w:val="single"/>
              </w:rPr>
              <w:t>0.050</w:t>
            </w:r>
          </w:p>
        </w:tc>
        <w:tc>
          <w:tcPr>
            <w:tcW w:w="1350" w:type="dxa"/>
            <w:vAlign w:val="bottom"/>
          </w:tcPr>
          <w:p w14:paraId="78ED0DC5" w14:textId="2E370235" w:rsidR="00EF1990" w:rsidRPr="00F22A05" w:rsidRDefault="00EF1990" w:rsidP="00EF1990">
            <w:pPr>
              <w:jc w:val="center"/>
              <w:rPr>
                <w:sz w:val="22"/>
                <w:szCs w:val="22"/>
                <w:u w:val="single"/>
              </w:rPr>
            </w:pPr>
            <w:r w:rsidRPr="00F22A05">
              <w:rPr>
                <w:u w:val="single"/>
              </w:rPr>
              <w:t>0.044</w:t>
            </w:r>
          </w:p>
        </w:tc>
        <w:tc>
          <w:tcPr>
            <w:tcW w:w="1620" w:type="dxa"/>
            <w:vAlign w:val="bottom"/>
          </w:tcPr>
          <w:p w14:paraId="3B8051AA" w14:textId="0F5C7177" w:rsidR="00EF1990" w:rsidRPr="00F22A05" w:rsidRDefault="00EF1990" w:rsidP="00EF1990">
            <w:pPr>
              <w:jc w:val="center"/>
              <w:rPr>
                <w:u w:val="single"/>
              </w:rPr>
            </w:pPr>
            <w:r w:rsidRPr="00F22A05">
              <w:rPr>
                <w:u w:val="single"/>
              </w:rPr>
              <w:t>0.031</w:t>
            </w:r>
          </w:p>
        </w:tc>
      </w:tr>
      <w:tr w:rsidR="00F22A05" w:rsidRPr="00F22A05" w14:paraId="67FBFC17" w14:textId="7C7B9E10" w:rsidTr="00DB2B80">
        <w:trPr>
          <w:tblHeader/>
          <w:jc w:val="center"/>
        </w:trPr>
        <w:tc>
          <w:tcPr>
            <w:tcW w:w="1435" w:type="dxa"/>
          </w:tcPr>
          <w:p w14:paraId="70DF1FA3" w14:textId="77777777" w:rsidR="00EF1990" w:rsidRPr="00F22A05" w:rsidRDefault="00EF1990" w:rsidP="00EF1990">
            <w:pPr>
              <w:rPr>
                <w:u w:val="single"/>
              </w:rPr>
            </w:pPr>
            <w:r w:rsidRPr="00F22A05">
              <w:rPr>
                <w:sz w:val="22"/>
                <w:szCs w:val="22"/>
                <w:u w:val="single"/>
              </w:rPr>
              <w:t>17-18</w:t>
            </w:r>
          </w:p>
        </w:tc>
        <w:tc>
          <w:tcPr>
            <w:tcW w:w="1440" w:type="dxa"/>
            <w:vAlign w:val="bottom"/>
          </w:tcPr>
          <w:p w14:paraId="3ACDB464" w14:textId="1C93655E" w:rsidR="00EF1990" w:rsidRPr="00F22A05" w:rsidRDefault="00EF1990" w:rsidP="00EF1990">
            <w:pPr>
              <w:jc w:val="center"/>
              <w:rPr>
                <w:u w:val="single"/>
              </w:rPr>
            </w:pPr>
            <w:r w:rsidRPr="00F22A05">
              <w:rPr>
                <w:u w:val="single"/>
              </w:rPr>
              <w:t>0.065</w:t>
            </w:r>
          </w:p>
        </w:tc>
        <w:tc>
          <w:tcPr>
            <w:tcW w:w="1350" w:type="dxa"/>
            <w:vAlign w:val="bottom"/>
          </w:tcPr>
          <w:p w14:paraId="008E23B1" w14:textId="0ACD349E" w:rsidR="00EF1990" w:rsidRPr="00F22A05" w:rsidRDefault="00EF1990" w:rsidP="00EF1990">
            <w:pPr>
              <w:jc w:val="center"/>
              <w:rPr>
                <w:sz w:val="22"/>
                <w:szCs w:val="22"/>
                <w:u w:val="single"/>
              </w:rPr>
            </w:pPr>
            <w:r w:rsidRPr="00F22A05">
              <w:rPr>
                <w:u w:val="single"/>
              </w:rPr>
              <w:t>0.056</w:t>
            </w:r>
          </w:p>
        </w:tc>
        <w:tc>
          <w:tcPr>
            <w:tcW w:w="1620" w:type="dxa"/>
            <w:vAlign w:val="bottom"/>
          </w:tcPr>
          <w:p w14:paraId="2D6BCDE4" w14:textId="7D6852BC" w:rsidR="00EF1990" w:rsidRPr="00F22A05" w:rsidRDefault="00EF1990" w:rsidP="00EF1990">
            <w:pPr>
              <w:jc w:val="center"/>
              <w:rPr>
                <w:u w:val="single"/>
              </w:rPr>
            </w:pPr>
            <w:r w:rsidRPr="00F22A05">
              <w:rPr>
                <w:u w:val="single"/>
              </w:rPr>
              <w:t>0.044</w:t>
            </w:r>
          </w:p>
        </w:tc>
      </w:tr>
      <w:tr w:rsidR="00F22A05" w:rsidRPr="00F22A05" w14:paraId="58384427" w14:textId="1A6B2CC0" w:rsidTr="00DB2B80">
        <w:trPr>
          <w:tblHeader/>
          <w:jc w:val="center"/>
        </w:trPr>
        <w:tc>
          <w:tcPr>
            <w:tcW w:w="1435" w:type="dxa"/>
          </w:tcPr>
          <w:p w14:paraId="4902E070" w14:textId="77777777" w:rsidR="00EF1990" w:rsidRPr="00F22A05" w:rsidRDefault="00EF1990" w:rsidP="00EF1990">
            <w:pPr>
              <w:rPr>
                <w:u w:val="single"/>
              </w:rPr>
            </w:pPr>
            <w:r w:rsidRPr="00F22A05">
              <w:rPr>
                <w:sz w:val="22"/>
                <w:szCs w:val="22"/>
                <w:u w:val="single"/>
              </w:rPr>
              <w:t>18-19</w:t>
            </w:r>
          </w:p>
        </w:tc>
        <w:tc>
          <w:tcPr>
            <w:tcW w:w="1440" w:type="dxa"/>
            <w:vAlign w:val="bottom"/>
          </w:tcPr>
          <w:p w14:paraId="0E690514" w14:textId="3B8E8699" w:rsidR="00EF1990" w:rsidRPr="00F22A05" w:rsidRDefault="00EF1990" w:rsidP="00EF1990">
            <w:pPr>
              <w:jc w:val="center"/>
              <w:rPr>
                <w:u w:val="single"/>
              </w:rPr>
            </w:pPr>
            <w:r w:rsidRPr="00F22A05">
              <w:rPr>
                <w:u w:val="single"/>
              </w:rPr>
              <w:t>0.086</w:t>
            </w:r>
          </w:p>
        </w:tc>
        <w:tc>
          <w:tcPr>
            <w:tcW w:w="1350" w:type="dxa"/>
            <w:vAlign w:val="bottom"/>
          </w:tcPr>
          <w:p w14:paraId="6DF48251" w14:textId="3AACB6BA" w:rsidR="00EF1990" w:rsidRPr="00F22A05" w:rsidRDefault="00EF1990" w:rsidP="00EF1990">
            <w:pPr>
              <w:jc w:val="center"/>
              <w:rPr>
                <w:sz w:val="22"/>
                <w:szCs w:val="22"/>
                <w:u w:val="single"/>
              </w:rPr>
            </w:pPr>
            <w:r w:rsidRPr="00F22A05">
              <w:rPr>
                <w:u w:val="single"/>
              </w:rPr>
              <w:t>0.064</w:t>
            </w:r>
          </w:p>
        </w:tc>
        <w:tc>
          <w:tcPr>
            <w:tcW w:w="1620" w:type="dxa"/>
            <w:vAlign w:val="bottom"/>
          </w:tcPr>
          <w:p w14:paraId="1CA08231" w14:textId="0EEAE247" w:rsidR="00EF1990" w:rsidRPr="00F22A05" w:rsidRDefault="00EF1990" w:rsidP="00EF1990">
            <w:pPr>
              <w:jc w:val="center"/>
              <w:rPr>
                <w:u w:val="single"/>
              </w:rPr>
            </w:pPr>
            <w:r w:rsidRPr="00F22A05">
              <w:rPr>
                <w:u w:val="single"/>
              </w:rPr>
              <w:t>0.084</w:t>
            </w:r>
          </w:p>
        </w:tc>
      </w:tr>
      <w:tr w:rsidR="00F22A05" w:rsidRPr="00F22A05" w14:paraId="2652D859" w14:textId="524508D0" w:rsidTr="00DB2B80">
        <w:trPr>
          <w:tblHeader/>
          <w:jc w:val="center"/>
        </w:trPr>
        <w:tc>
          <w:tcPr>
            <w:tcW w:w="1435" w:type="dxa"/>
          </w:tcPr>
          <w:p w14:paraId="019B6736" w14:textId="77777777" w:rsidR="00EF1990" w:rsidRPr="00F22A05" w:rsidRDefault="00EF1990" w:rsidP="00EF1990">
            <w:pPr>
              <w:rPr>
                <w:u w:val="single"/>
              </w:rPr>
            </w:pPr>
            <w:r w:rsidRPr="00F22A05">
              <w:rPr>
                <w:sz w:val="22"/>
                <w:szCs w:val="22"/>
                <w:u w:val="single"/>
              </w:rPr>
              <w:t>19-20</w:t>
            </w:r>
          </w:p>
        </w:tc>
        <w:tc>
          <w:tcPr>
            <w:tcW w:w="1440" w:type="dxa"/>
            <w:vAlign w:val="bottom"/>
          </w:tcPr>
          <w:p w14:paraId="41D32A54" w14:textId="0654E501" w:rsidR="00EF1990" w:rsidRPr="00F22A05" w:rsidRDefault="00EF1990" w:rsidP="00EF1990">
            <w:pPr>
              <w:jc w:val="center"/>
              <w:rPr>
                <w:u w:val="single"/>
              </w:rPr>
            </w:pPr>
            <w:r w:rsidRPr="00F22A05">
              <w:rPr>
                <w:u w:val="single"/>
              </w:rPr>
              <w:t>0.10</w:t>
            </w:r>
            <w:r w:rsidR="00135657" w:rsidRPr="00F22A05">
              <w:rPr>
                <w:u w:val="single"/>
              </w:rPr>
              <w:t>6</w:t>
            </w:r>
          </w:p>
        </w:tc>
        <w:tc>
          <w:tcPr>
            <w:tcW w:w="1350" w:type="dxa"/>
            <w:vAlign w:val="bottom"/>
          </w:tcPr>
          <w:p w14:paraId="5D0BBCB2" w14:textId="057366EE" w:rsidR="00EF1990" w:rsidRPr="00F22A05" w:rsidRDefault="00EF1990" w:rsidP="00EF1990">
            <w:pPr>
              <w:jc w:val="center"/>
              <w:rPr>
                <w:sz w:val="22"/>
                <w:szCs w:val="22"/>
                <w:u w:val="single"/>
              </w:rPr>
            </w:pPr>
            <w:r w:rsidRPr="00F22A05">
              <w:rPr>
                <w:u w:val="single"/>
              </w:rPr>
              <w:t>0.068</w:t>
            </w:r>
          </w:p>
        </w:tc>
        <w:tc>
          <w:tcPr>
            <w:tcW w:w="1620" w:type="dxa"/>
            <w:vAlign w:val="bottom"/>
          </w:tcPr>
          <w:p w14:paraId="3D6FE3E3" w14:textId="374062A5" w:rsidR="00EF1990" w:rsidRPr="00F22A05" w:rsidRDefault="00EF1990" w:rsidP="00EF1990">
            <w:pPr>
              <w:jc w:val="center"/>
              <w:rPr>
                <w:u w:val="single"/>
              </w:rPr>
            </w:pPr>
            <w:r w:rsidRPr="00F22A05">
              <w:rPr>
                <w:u w:val="single"/>
              </w:rPr>
              <w:t>0.117</w:t>
            </w:r>
          </w:p>
        </w:tc>
      </w:tr>
      <w:tr w:rsidR="00F22A05" w:rsidRPr="00F22A05" w14:paraId="6A45AFCB" w14:textId="57DE8CDC" w:rsidTr="00DB2B80">
        <w:trPr>
          <w:tblHeader/>
          <w:jc w:val="center"/>
        </w:trPr>
        <w:tc>
          <w:tcPr>
            <w:tcW w:w="1435" w:type="dxa"/>
          </w:tcPr>
          <w:p w14:paraId="5342A672" w14:textId="77777777" w:rsidR="00EF1990" w:rsidRPr="00F22A05" w:rsidRDefault="00EF1990" w:rsidP="00EF1990">
            <w:pPr>
              <w:rPr>
                <w:u w:val="single"/>
              </w:rPr>
            </w:pPr>
            <w:r w:rsidRPr="00F22A05">
              <w:rPr>
                <w:sz w:val="22"/>
                <w:szCs w:val="22"/>
                <w:u w:val="single"/>
              </w:rPr>
              <w:t>20-21</w:t>
            </w:r>
          </w:p>
        </w:tc>
        <w:tc>
          <w:tcPr>
            <w:tcW w:w="1440" w:type="dxa"/>
            <w:vAlign w:val="bottom"/>
          </w:tcPr>
          <w:p w14:paraId="3EF854A2" w14:textId="150E31DF" w:rsidR="00EF1990" w:rsidRPr="00F22A05" w:rsidRDefault="00EF1990" w:rsidP="00EF1990">
            <w:pPr>
              <w:jc w:val="center"/>
              <w:rPr>
                <w:u w:val="single"/>
              </w:rPr>
            </w:pPr>
            <w:r w:rsidRPr="00F22A05">
              <w:rPr>
                <w:u w:val="single"/>
              </w:rPr>
              <w:t>0.110</w:t>
            </w:r>
          </w:p>
        </w:tc>
        <w:tc>
          <w:tcPr>
            <w:tcW w:w="1350" w:type="dxa"/>
            <w:vAlign w:val="bottom"/>
          </w:tcPr>
          <w:p w14:paraId="57D38FEF" w14:textId="6771ABE1" w:rsidR="00EF1990" w:rsidRPr="00F22A05" w:rsidRDefault="00EF1990" w:rsidP="00EF1990">
            <w:pPr>
              <w:jc w:val="center"/>
              <w:rPr>
                <w:sz w:val="22"/>
                <w:szCs w:val="22"/>
                <w:u w:val="single"/>
              </w:rPr>
            </w:pPr>
            <w:r w:rsidRPr="00F22A05">
              <w:rPr>
                <w:u w:val="single"/>
              </w:rPr>
              <w:t>0.070</w:t>
            </w:r>
          </w:p>
        </w:tc>
        <w:tc>
          <w:tcPr>
            <w:tcW w:w="1620" w:type="dxa"/>
            <w:vAlign w:val="bottom"/>
          </w:tcPr>
          <w:p w14:paraId="0FCEB8EE" w14:textId="0EDBB9CC" w:rsidR="00EF1990" w:rsidRPr="00F22A05" w:rsidRDefault="00EF1990" w:rsidP="00EF1990">
            <w:pPr>
              <w:jc w:val="center"/>
              <w:rPr>
                <w:u w:val="single"/>
              </w:rPr>
            </w:pPr>
            <w:r w:rsidRPr="00F22A05">
              <w:rPr>
                <w:u w:val="single"/>
              </w:rPr>
              <w:t>0.113</w:t>
            </w:r>
          </w:p>
        </w:tc>
      </w:tr>
      <w:tr w:rsidR="00F22A05" w:rsidRPr="00F22A05" w14:paraId="23E503C9" w14:textId="641AA69E" w:rsidTr="00DB2B80">
        <w:trPr>
          <w:tblHeader/>
          <w:jc w:val="center"/>
        </w:trPr>
        <w:tc>
          <w:tcPr>
            <w:tcW w:w="1435" w:type="dxa"/>
          </w:tcPr>
          <w:p w14:paraId="0E75F523" w14:textId="77777777" w:rsidR="00EF1990" w:rsidRPr="00F22A05" w:rsidRDefault="00EF1990" w:rsidP="00EF1990">
            <w:pPr>
              <w:rPr>
                <w:u w:val="single"/>
              </w:rPr>
            </w:pPr>
            <w:r w:rsidRPr="00F22A05">
              <w:rPr>
                <w:sz w:val="22"/>
                <w:szCs w:val="22"/>
                <w:u w:val="single"/>
              </w:rPr>
              <w:t>21-22</w:t>
            </w:r>
          </w:p>
        </w:tc>
        <w:tc>
          <w:tcPr>
            <w:tcW w:w="1440" w:type="dxa"/>
            <w:vAlign w:val="bottom"/>
          </w:tcPr>
          <w:p w14:paraId="5E49F2E4" w14:textId="4FF055A1" w:rsidR="00EF1990" w:rsidRPr="00F22A05" w:rsidRDefault="00EF1990" w:rsidP="00EF1990">
            <w:pPr>
              <w:jc w:val="center"/>
              <w:rPr>
                <w:u w:val="single"/>
              </w:rPr>
            </w:pPr>
            <w:r w:rsidRPr="00F22A05">
              <w:rPr>
                <w:u w:val="single"/>
              </w:rPr>
              <w:t>0.079</w:t>
            </w:r>
          </w:p>
        </w:tc>
        <w:tc>
          <w:tcPr>
            <w:tcW w:w="1350" w:type="dxa"/>
            <w:vAlign w:val="bottom"/>
          </w:tcPr>
          <w:p w14:paraId="55F7F0FD" w14:textId="11827DEA" w:rsidR="00EF1990" w:rsidRPr="00F22A05" w:rsidRDefault="00EF1990" w:rsidP="00EF1990">
            <w:pPr>
              <w:jc w:val="center"/>
              <w:rPr>
                <w:sz w:val="22"/>
                <w:szCs w:val="22"/>
                <w:u w:val="single"/>
              </w:rPr>
            </w:pPr>
            <w:r w:rsidRPr="00F22A05">
              <w:rPr>
                <w:u w:val="single"/>
              </w:rPr>
              <w:t>0.065</w:t>
            </w:r>
          </w:p>
        </w:tc>
        <w:tc>
          <w:tcPr>
            <w:tcW w:w="1620" w:type="dxa"/>
            <w:vAlign w:val="bottom"/>
          </w:tcPr>
          <w:p w14:paraId="6D76F9F3" w14:textId="56254383" w:rsidR="00EF1990" w:rsidRPr="00F22A05" w:rsidRDefault="00EF1990" w:rsidP="00EF1990">
            <w:pPr>
              <w:jc w:val="center"/>
              <w:rPr>
                <w:u w:val="single"/>
              </w:rPr>
            </w:pPr>
            <w:r w:rsidRPr="00F22A05">
              <w:rPr>
                <w:u w:val="single"/>
              </w:rPr>
              <w:t>0.096</w:t>
            </w:r>
          </w:p>
        </w:tc>
      </w:tr>
      <w:tr w:rsidR="00F22A05" w:rsidRPr="00F22A05" w14:paraId="6EC59769" w14:textId="3D6F9126" w:rsidTr="00DB2B80">
        <w:trPr>
          <w:tblHeader/>
          <w:jc w:val="center"/>
        </w:trPr>
        <w:tc>
          <w:tcPr>
            <w:tcW w:w="1435" w:type="dxa"/>
          </w:tcPr>
          <w:p w14:paraId="23CF02C0" w14:textId="77777777" w:rsidR="00EF1990" w:rsidRPr="00F22A05" w:rsidRDefault="00EF1990" w:rsidP="00EF1990">
            <w:pPr>
              <w:rPr>
                <w:sz w:val="22"/>
                <w:szCs w:val="22"/>
                <w:u w:val="single"/>
              </w:rPr>
            </w:pPr>
            <w:r w:rsidRPr="00F22A05">
              <w:rPr>
                <w:sz w:val="22"/>
                <w:szCs w:val="22"/>
                <w:u w:val="single"/>
              </w:rPr>
              <w:t>22-23</w:t>
            </w:r>
          </w:p>
        </w:tc>
        <w:tc>
          <w:tcPr>
            <w:tcW w:w="1440" w:type="dxa"/>
            <w:vAlign w:val="bottom"/>
          </w:tcPr>
          <w:p w14:paraId="57A9333A" w14:textId="6BFB6B16" w:rsidR="00EF1990" w:rsidRPr="00F22A05" w:rsidRDefault="00EF1990" w:rsidP="00EF1990">
            <w:pPr>
              <w:jc w:val="center"/>
              <w:rPr>
                <w:sz w:val="22"/>
                <w:szCs w:val="22"/>
                <w:u w:val="single"/>
              </w:rPr>
            </w:pPr>
            <w:r w:rsidRPr="00F22A05">
              <w:rPr>
                <w:u w:val="single"/>
              </w:rPr>
              <w:t>0.040</w:t>
            </w:r>
          </w:p>
        </w:tc>
        <w:tc>
          <w:tcPr>
            <w:tcW w:w="1350" w:type="dxa"/>
            <w:vAlign w:val="bottom"/>
          </w:tcPr>
          <w:p w14:paraId="111F09BF" w14:textId="14358B5E" w:rsidR="00EF1990" w:rsidRPr="00F22A05" w:rsidRDefault="00EF1990" w:rsidP="00EF1990">
            <w:pPr>
              <w:jc w:val="center"/>
              <w:rPr>
                <w:sz w:val="22"/>
                <w:szCs w:val="22"/>
                <w:u w:val="single"/>
              </w:rPr>
            </w:pPr>
            <w:r w:rsidRPr="00F22A05">
              <w:rPr>
                <w:u w:val="single"/>
              </w:rPr>
              <w:t>0.056</w:t>
            </w:r>
          </w:p>
        </w:tc>
        <w:tc>
          <w:tcPr>
            <w:tcW w:w="1620" w:type="dxa"/>
            <w:vAlign w:val="bottom"/>
          </w:tcPr>
          <w:p w14:paraId="7C202B4E" w14:textId="6530410E" w:rsidR="00EF1990" w:rsidRPr="00F22A05" w:rsidRDefault="00EF1990" w:rsidP="00EF1990">
            <w:pPr>
              <w:jc w:val="center"/>
              <w:rPr>
                <w:u w:val="single"/>
              </w:rPr>
            </w:pPr>
            <w:r w:rsidRPr="00F22A05">
              <w:rPr>
                <w:u w:val="single"/>
              </w:rPr>
              <w:t>0.063</w:t>
            </w:r>
          </w:p>
        </w:tc>
      </w:tr>
      <w:tr w:rsidR="00EF1990" w:rsidRPr="00F22A05" w14:paraId="0A1A28EA" w14:textId="0FFE7ACF" w:rsidTr="00DB2B80">
        <w:trPr>
          <w:tblHeader/>
          <w:jc w:val="center"/>
        </w:trPr>
        <w:tc>
          <w:tcPr>
            <w:tcW w:w="1435" w:type="dxa"/>
          </w:tcPr>
          <w:p w14:paraId="2D4E8BBC" w14:textId="77777777" w:rsidR="00EF1990" w:rsidRPr="00F22A05" w:rsidRDefault="00EF1990" w:rsidP="00EF1990">
            <w:pPr>
              <w:rPr>
                <w:sz w:val="22"/>
                <w:szCs w:val="22"/>
                <w:u w:val="single"/>
              </w:rPr>
            </w:pPr>
            <w:r w:rsidRPr="00F22A05">
              <w:rPr>
                <w:sz w:val="22"/>
                <w:szCs w:val="22"/>
                <w:u w:val="single"/>
              </w:rPr>
              <w:t>23-24</w:t>
            </w:r>
          </w:p>
        </w:tc>
        <w:tc>
          <w:tcPr>
            <w:tcW w:w="1440" w:type="dxa"/>
            <w:vAlign w:val="bottom"/>
          </w:tcPr>
          <w:p w14:paraId="3953770D" w14:textId="3BF3EB8B" w:rsidR="00EF1990" w:rsidRPr="00F22A05" w:rsidRDefault="00EF1990" w:rsidP="00EF1990">
            <w:pPr>
              <w:jc w:val="center"/>
              <w:rPr>
                <w:sz w:val="22"/>
                <w:szCs w:val="22"/>
                <w:u w:val="single"/>
              </w:rPr>
            </w:pPr>
            <w:r w:rsidRPr="00F22A05">
              <w:rPr>
                <w:u w:val="single"/>
              </w:rPr>
              <w:t>0.018</w:t>
            </w:r>
          </w:p>
        </w:tc>
        <w:tc>
          <w:tcPr>
            <w:tcW w:w="1350" w:type="dxa"/>
            <w:vAlign w:val="bottom"/>
          </w:tcPr>
          <w:p w14:paraId="520AF9B3" w14:textId="7083010D" w:rsidR="00EF1990" w:rsidRPr="00F22A05" w:rsidRDefault="00EF1990" w:rsidP="00EF1990">
            <w:pPr>
              <w:jc w:val="center"/>
              <w:rPr>
                <w:sz w:val="22"/>
                <w:szCs w:val="22"/>
                <w:u w:val="single"/>
              </w:rPr>
            </w:pPr>
            <w:r w:rsidRPr="00F22A05">
              <w:rPr>
                <w:u w:val="single"/>
              </w:rPr>
              <w:t>0.047</w:t>
            </w:r>
          </w:p>
        </w:tc>
        <w:tc>
          <w:tcPr>
            <w:tcW w:w="1620" w:type="dxa"/>
            <w:vAlign w:val="bottom"/>
          </w:tcPr>
          <w:p w14:paraId="30BA1098" w14:textId="6CCC4B94" w:rsidR="00EF1990" w:rsidRPr="00F22A05" w:rsidRDefault="00EF1990" w:rsidP="00EF1990">
            <w:pPr>
              <w:jc w:val="center"/>
              <w:rPr>
                <w:u w:val="single"/>
              </w:rPr>
            </w:pPr>
            <w:r w:rsidRPr="00F22A05">
              <w:rPr>
                <w:u w:val="single"/>
              </w:rPr>
              <w:t>0.039</w:t>
            </w:r>
          </w:p>
        </w:tc>
      </w:tr>
    </w:tbl>
    <w:p w14:paraId="28A0472A" w14:textId="77777777" w:rsidR="00837793" w:rsidRPr="00F22A05" w:rsidRDefault="00837793" w:rsidP="00837793">
      <w:pPr>
        <w:pStyle w:val="AppendixC2"/>
        <w:numPr>
          <w:ilvl w:val="0"/>
          <w:numId w:val="0"/>
        </w:numPr>
        <w:ind w:left="630"/>
        <w:rPr>
          <w:rFonts w:eastAsiaTheme="majorEastAsia"/>
          <w:b w:val="0"/>
          <w:bCs/>
          <w:u w:val="single"/>
        </w:rPr>
      </w:pPr>
    </w:p>
    <w:p w14:paraId="2420768B" w14:textId="4BBB85F8" w:rsidR="000D61A8" w:rsidRPr="00F22A05" w:rsidRDefault="000D61A8" w:rsidP="000D61A8">
      <w:pPr>
        <w:keepNext/>
        <w:jc w:val="center"/>
        <w:rPr>
          <w:rStyle w:val="Heading3Char"/>
          <w:u w:val="single"/>
        </w:rPr>
      </w:pPr>
      <w:r w:rsidRPr="00F22A05">
        <w:rPr>
          <w:rStyle w:val="Heading3Char"/>
          <w:u w:val="single"/>
        </w:rPr>
        <w:t xml:space="preserve">Table </w:t>
      </w:r>
      <w:r w:rsidR="000D4695" w:rsidRPr="00F22A05">
        <w:rPr>
          <w:rStyle w:val="Heading3Char"/>
          <w:u w:val="single"/>
        </w:rPr>
        <w:t>C.3(4)</w:t>
      </w:r>
      <w:r w:rsidRPr="00F22A05">
        <w:rPr>
          <w:rStyle w:val="Heading3Char"/>
          <w:u w:val="single"/>
        </w:rPr>
        <w:t xml:space="preserve"> Monthly Lighting Multipliers</w:t>
      </w:r>
    </w:p>
    <w:tbl>
      <w:tblPr>
        <w:tblW w:w="2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tblGrid>
      <w:tr w:rsidR="00F22A05" w:rsidRPr="00F22A05" w14:paraId="21B645DF" w14:textId="77777777" w:rsidTr="00DB2B80">
        <w:trPr>
          <w:trHeight w:val="62"/>
          <w:tblHeader/>
          <w:jc w:val="center"/>
        </w:trPr>
        <w:tc>
          <w:tcPr>
            <w:tcW w:w="985" w:type="dxa"/>
          </w:tcPr>
          <w:p w14:paraId="0C7067B3" w14:textId="6879905C" w:rsidR="00DA2708" w:rsidRPr="00F22A05" w:rsidRDefault="00DA2708" w:rsidP="00F3759E">
            <w:pPr>
              <w:rPr>
                <w:b/>
                <w:bCs/>
                <w:u w:val="single"/>
              </w:rPr>
            </w:pPr>
            <w:r w:rsidRPr="00F22A05">
              <w:rPr>
                <w:b/>
                <w:bCs/>
                <w:sz w:val="22"/>
                <w:szCs w:val="22"/>
                <w:u w:val="single"/>
              </w:rPr>
              <w:t>Month</w:t>
            </w:r>
          </w:p>
        </w:tc>
        <w:tc>
          <w:tcPr>
            <w:tcW w:w="1350" w:type="dxa"/>
            <w:vAlign w:val="center"/>
          </w:tcPr>
          <w:p w14:paraId="4F470728" w14:textId="47CC3C22" w:rsidR="00DA2708" w:rsidRPr="00F22A05" w:rsidRDefault="00DA2708" w:rsidP="00F3759E">
            <w:pPr>
              <w:jc w:val="center"/>
              <w:rPr>
                <w:b/>
                <w:bCs/>
                <w:u w:val="single"/>
              </w:rPr>
            </w:pPr>
            <w:r w:rsidRPr="00F22A05">
              <w:rPr>
                <w:b/>
                <w:bCs/>
                <w:sz w:val="22"/>
                <w:szCs w:val="22"/>
                <w:u w:val="single"/>
              </w:rPr>
              <w:t>Multiplier</w:t>
            </w:r>
          </w:p>
        </w:tc>
      </w:tr>
      <w:tr w:rsidR="00F22A05" w:rsidRPr="00F22A05" w14:paraId="4BF26FF0" w14:textId="77777777" w:rsidTr="00DB2B80">
        <w:trPr>
          <w:tblHeader/>
          <w:jc w:val="center"/>
        </w:trPr>
        <w:tc>
          <w:tcPr>
            <w:tcW w:w="985" w:type="dxa"/>
            <w:vAlign w:val="bottom"/>
          </w:tcPr>
          <w:p w14:paraId="68A34165" w14:textId="3D40E3B4" w:rsidR="00F77F46" w:rsidRPr="00F22A05" w:rsidRDefault="00F77F46" w:rsidP="00F77F46">
            <w:pPr>
              <w:rPr>
                <w:u w:val="single"/>
              </w:rPr>
            </w:pPr>
            <w:r w:rsidRPr="00F22A05">
              <w:rPr>
                <w:sz w:val="22"/>
                <w:szCs w:val="22"/>
                <w:u w:val="single"/>
              </w:rPr>
              <w:t>Jan</w:t>
            </w:r>
          </w:p>
        </w:tc>
        <w:tc>
          <w:tcPr>
            <w:tcW w:w="1350" w:type="dxa"/>
            <w:vAlign w:val="bottom"/>
          </w:tcPr>
          <w:p w14:paraId="5A10A12C" w14:textId="31C6CDAB" w:rsidR="00F77F46" w:rsidRPr="00F22A05" w:rsidRDefault="00F77F46" w:rsidP="00F77F46">
            <w:pPr>
              <w:jc w:val="center"/>
              <w:rPr>
                <w:u w:val="single"/>
              </w:rPr>
            </w:pPr>
            <w:r w:rsidRPr="00F22A05">
              <w:rPr>
                <w:u w:val="single"/>
              </w:rPr>
              <w:t>1.19</w:t>
            </w:r>
          </w:p>
        </w:tc>
      </w:tr>
      <w:tr w:rsidR="00F22A05" w:rsidRPr="00F22A05" w14:paraId="2E935113" w14:textId="77777777" w:rsidTr="00DB2B80">
        <w:trPr>
          <w:tblHeader/>
          <w:jc w:val="center"/>
        </w:trPr>
        <w:tc>
          <w:tcPr>
            <w:tcW w:w="985" w:type="dxa"/>
            <w:vAlign w:val="bottom"/>
          </w:tcPr>
          <w:p w14:paraId="2EBD2E85" w14:textId="3ED8A610" w:rsidR="00F77F46" w:rsidRPr="00F22A05" w:rsidRDefault="00F77F46" w:rsidP="00F77F46">
            <w:pPr>
              <w:rPr>
                <w:u w:val="single"/>
              </w:rPr>
            </w:pPr>
            <w:r w:rsidRPr="00F22A05">
              <w:rPr>
                <w:sz w:val="22"/>
                <w:szCs w:val="22"/>
                <w:u w:val="single"/>
              </w:rPr>
              <w:t>Feb</w:t>
            </w:r>
          </w:p>
        </w:tc>
        <w:tc>
          <w:tcPr>
            <w:tcW w:w="1350" w:type="dxa"/>
            <w:vAlign w:val="bottom"/>
          </w:tcPr>
          <w:p w14:paraId="2AAE601C" w14:textId="795E3262" w:rsidR="00F77F46" w:rsidRPr="00F22A05" w:rsidRDefault="00F77F46" w:rsidP="00F77F46">
            <w:pPr>
              <w:jc w:val="center"/>
              <w:rPr>
                <w:u w:val="single"/>
              </w:rPr>
            </w:pPr>
            <w:r w:rsidRPr="00F22A05">
              <w:rPr>
                <w:u w:val="single"/>
              </w:rPr>
              <w:t>1.11</w:t>
            </w:r>
          </w:p>
        </w:tc>
      </w:tr>
      <w:tr w:rsidR="00F22A05" w:rsidRPr="00F22A05" w14:paraId="0A9DE6A8" w14:textId="77777777" w:rsidTr="00DB2B80">
        <w:trPr>
          <w:tblHeader/>
          <w:jc w:val="center"/>
        </w:trPr>
        <w:tc>
          <w:tcPr>
            <w:tcW w:w="985" w:type="dxa"/>
            <w:vAlign w:val="bottom"/>
          </w:tcPr>
          <w:p w14:paraId="649A0A63" w14:textId="568CDE88" w:rsidR="00F77F46" w:rsidRPr="00F22A05" w:rsidRDefault="00F77F46" w:rsidP="00F77F46">
            <w:pPr>
              <w:rPr>
                <w:u w:val="single"/>
              </w:rPr>
            </w:pPr>
            <w:r w:rsidRPr="00F22A05">
              <w:rPr>
                <w:sz w:val="22"/>
                <w:szCs w:val="22"/>
                <w:u w:val="single"/>
              </w:rPr>
              <w:t>Mar</w:t>
            </w:r>
          </w:p>
        </w:tc>
        <w:tc>
          <w:tcPr>
            <w:tcW w:w="1350" w:type="dxa"/>
            <w:vAlign w:val="bottom"/>
          </w:tcPr>
          <w:p w14:paraId="048D528F" w14:textId="3452C2BD" w:rsidR="00F77F46" w:rsidRPr="00F22A05" w:rsidRDefault="00F77F46" w:rsidP="00F77F46">
            <w:pPr>
              <w:jc w:val="center"/>
              <w:rPr>
                <w:u w:val="single"/>
              </w:rPr>
            </w:pPr>
            <w:r w:rsidRPr="00F22A05">
              <w:rPr>
                <w:u w:val="single"/>
              </w:rPr>
              <w:t>1.02</w:t>
            </w:r>
          </w:p>
        </w:tc>
      </w:tr>
      <w:tr w:rsidR="00F22A05" w:rsidRPr="00F22A05" w14:paraId="5E3000F5" w14:textId="77777777" w:rsidTr="00DB2B80">
        <w:trPr>
          <w:tblHeader/>
          <w:jc w:val="center"/>
        </w:trPr>
        <w:tc>
          <w:tcPr>
            <w:tcW w:w="985" w:type="dxa"/>
            <w:vAlign w:val="bottom"/>
          </w:tcPr>
          <w:p w14:paraId="66A66391" w14:textId="7B1A832D" w:rsidR="00F77F46" w:rsidRPr="00F22A05" w:rsidRDefault="00F77F46" w:rsidP="00F77F46">
            <w:pPr>
              <w:rPr>
                <w:u w:val="single"/>
              </w:rPr>
            </w:pPr>
            <w:r w:rsidRPr="00F22A05">
              <w:rPr>
                <w:sz w:val="22"/>
                <w:szCs w:val="22"/>
                <w:u w:val="single"/>
              </w:rPr>
              <w:t>Apr</w:t>
            </w:r>
          </w:p>
        </w:tc>
        <w:tc>
          <w:tcPr>
            <w:tcW w:w="1350" w:type="dxa"/>
            <w:vAlign w:val="bottom"/>
          </w:tcPr>
          <w:p w14:paraId="184695C8" w14:textId="00B4BAFB" w:rsidR="00F77F46" w:rsidRPr="00F22A05" w:rsidRDefault="00F77F46" w:rsidP="00F77F46">
            <w:pPr>
              <w:jc w:val="center"/>
              <w:rPr>
                <w:u w:val="single"/>
              </w:rPr>
            </w:pPr>
            <w:r w:rsidRPr="00F22A05">
              <w:rPr>
                <w:u w:val="single"/>
              </w:rPr>
              <w:t>0.93</w:t>
            </w:r>
          </w:p>
        </w:tc>
      </w:tr>
      <w:tr w:rsidR="00F22A05" w:rsidRPr="00F22A05" w14:paraId="2D0146A2" w14:textId="77777777" w:rsidTr="00DB2B80">
        <w:trPr>
          <w:tblHeader/>
          <w:jc w:val="center"/>
        </w:trPr>
        <w:tc>
          <w:tcPr>
            <w:tcW w:w="985" w:type="dxa"/>
            <w:vAlign w:val="bottom"/>
          </w:tcPr>
          <w:p w14:paraId="72A19303" w14:textId="5709D3F8" w:rsidR="00F77F46" w:rsidRPr="00F22A05" w:rsidRDefault="00F77F46" w:rsidP="00F77F46">
            <w:pPr>
              <w:rPr>
                <w:u w:val="single"/>
              </w:rPr>
            </w:pPr>
            <w:r w:rsidRPr="00F22A05">
              <w:rPr>
                <w:sz w:val="22"/>
                <w:szCs w:val="22"/>
                <w:u w:val="single"/>
              </w:rPr>
              <w:t>May</w:t>
            </w:r>
          </w:p>
        </w:tc>
        <w:tc>
          <w:tcPr>
            <w:tcW w:w="1350" w:type="dxa"/>
            <w:vAlign w:val="bottom"/>
          </w:tcPr>
          <w:p w14:paraId="3B91DC64" w14:textId="335A7807" w:rsidR="00F77F46" w:rsidRPr="00F22A05" w:rsidRDefault="00F77F46" w:rsidP="00F77F46">
            <w:pPr>
              <w:jc w:val="center"/>
              <w:rPr>
                <w:u w:val="single"/>
              </w:rPr>
            </w:pPr>
            <w:r w:rsidRPr="00F22A05">
              <w:rPr>
                <w:u w:val="single"/>
              </w:rPr>
              <w:t>0.84</w:t>
            </w:r>
          </w:p>
        </w:tc>
      </w:tr>
      <w:tr w:rsidR="00F22A05" w:rsidRPr="00F22A05" w14:paraId="6345E498" w14:textId="77777777" w:rsidTr="00DB2B80">
        <w:trPr>
          <w:tblHeader/>
          <w:jc w:val="center"/>
        </w:trPr>
        <w:tc>
          <w:tcPr>
            <w:tcW w:w="985" w:type="dxa"/>
            <w:vAlign w:val="bottom"/>
          </w:tcPr>
          <w:p w14:paraId="24FF9177" w14:textId="6E45793E" w:rsidR="00F77F46" w:rsidRPr="00F22A05" w:rsidRDefault="00F77F46" w:rsidP="00F77F46">
            <w:pPr>
              <w:rPr>
                <w:u w:val="single"/>
              </w:rPr>
            </w:pPr>
            <w:r w:rsidRPr="00F22A05">
              <w:rPr>
                <w:sz w:val="22"/>
                <w:szCs w:val="22"/>
                <w:u w:val="single"/>
              </w:rPr>
              <w:t>Jun</w:t>
            </w:r>
          </w:p>
        </w:tc>
        <w:tc>
          <w:tcPr>
            <w:tcW w:w="1350" w:type="dxa"/>
            <w:vAlign w:val="bottom"/>
          </w:tcPr>
          <w:p w14:paraId="7B7C492F" w14:textId="240A75EB" w:rsidR="00F77F46" w:rsidRPr="00F22A05" w:rsidRDefault="00F77F46" w:rsidP="00F77F46">
            <w:pPr>
              <w:jc w:val="center"/>
              <w:rPr>
                <w:u w:val="single"/>
              </w:rPr>
            </w:pPr>
            <w:r w:rsidRPr="00F22A05">
              <w:rPr>
                <w:u w:val="single"/>
              </w:rPr>
              <w:t>0.80</w:t>
            </w:r>
          </w:p>
        </w:tc>
      </w:tr>
      <w:tr w:rsidR="00F22A05" w:rsidRPr="00F22A05" w14:paraId="2FEC06DF" w14:textId="77777777" w:rsidTr="00DB2B80">
        <w:trPr>
          <w:tblHeader/>
          <w:jc w:val="center"/>
        </w:trPr>
        <w:tc>
          <w:tcPr>
            <w:tcW w:w="985" w:type="dxa"/>
            <w:vAlign w:val="bottom"/>
          </w:tcPr>
          <w:p w14:paraId="0B5F8A31" w14:textId="65108BE8" w:rsidR="00F77F46" w:rsidRPr="00F22A05" w:rsidRDefault="00F77F46" w:rsidP="00F77F46">
            <w:pPr>
              <w:rPr>
                <w:u w:val="single"/>
              </w:rPr>
            </w:pPr>
            <w:r w:rsidRPr="00F22A05">
              <w:rPr>
                <w:sz w:val="22"/>
                <w:szCs w:val="22"/>
                <w:u w:val="single"/>
              </w:rPr>
              <w:t>Jul</w:t>
            </w:r>
          </w:p>
        </w:tc>
        <w:tc>
          <w:tcPr>
            <w:tcW w:w="1350" w:type="dxa"/>
            <w:vAlign w:val="bottom"/>
          </w:tcPr>
          <w:p w14:paraId="6B452DA6" w14:textId="69FA8DA4" w:rsidR="00F77F46" w:rsidRPr="00F22A05" w:rsidRDefault="00F77F46" w:rsidP="00F77F46">
            <w:pPr>
              <w:jc w:val="center"/>
              <w:rPr>
                <w:u w:val="single"/>
              </w:rPr>
            </w:pPr>
            <w:r w:rsidRPr="00F22A05">
              <w:rPr>
                <w:u w:val="single"/>
              </w:rPr>
              <w:t>0.82</w:t>
            </w:r>
          </w:p>
        </w:tc>
      </w:tr>
      <w:tr w:rsidR="00F22A05" w:rsidRPr="00F22A05" w14:paraId="1B9611F6" w14:textId="77777777" w:rsidTr="00DB2B80">
        <w:trPr>
          <w:tblHeader/>
          <w:jc w:val="center"/>
        </w:trPr>
        <w:tc>
          <w:tcPr>
            <w:tcW w:w="985" w:type="dxa"/>
            <w:vAlign w:val="bottom"/>
          </w:tcPr>
          <w:p w14:paraId="0CD0758D" w14:textId="562854FF" w:rsidR="00F77F46" w:rsidRPr="00F22A05" w:rsidRDefault="00F77F46" w:rsidP="00F77F46">
            <w:pPr>
              <w:rPr>
                <w:u w:val="single"/>
              </w:rPr>
            </w:pPr>
            <w:r w:rsidRPr="00F22A05">
              <w:rPr>
                <w:sz w:val="22"/>
                <w:szCs w:val="22"/>
                <w:u w:val="single"/>
              </w:rPr>
              <w:t>Aug</w:t>
            </w:r>
          </w:p>
        </w:tc>
        <w:tc>
          <w:tcPr>
            <w:tcW w:w="1350" w:type="dxa"/>
            <w:vAlign w:val="bottom"/>
          </w:tcPr>
          <w:p w14:paraId="343A6236" w14:textId="6C8F1C2F" w:rsidR="00F77F46" w:rsidRPr="00F22A05" w:rsidRDefault="00F77F46" w:rsidP="00F77F46">
            <w:pPr>
              <w:jc w:val="center"/>
              <w:rPr>
                <w:u w:val="single"/>
              </w:rPr>
            </w:pPr>
            <w:r w:rsidRPr="00F22A05">
              <w:rPr>
                <w:u w:val="single"/>
              </w:rPr>
              <w:t>0.88</w:t>
            </w:r>
          </w:p>
        </w:tc>
      </w:tr>
      <w:tr w:rsidR="00F22A05" w:rsidRPr="00F22A05" w14:paraId="5BDE9A3C" w14:textId="77777777" w:rsidTr="00DB2B80">
        <w:trPr>
          <w:tblHeader/>
          <w:jc w:val="center"/>
        </w:trPr>
        <w:tc>
          <w:tcPr>
            <w:tcW w:w="985" w:type="dxa"/>
            <w:vAlign w:val="bottom"/>
          </w:tcPr>
          <w:p w14:paraId="673BC974" w14:textId="2A970887" w:rsidR="00F77F46" w:rsidRPr="00F22A05" w:rsidRDefault="00F77F46" w:rsidP="00F77F46">
            <w:pPr>
              <w:rPr>
                <w:u w:val="single"/>
              </w:rPr>
            </w:pPr>
            <w:r w:rsidRPr="00F22A05">
              <w:rPr>
                <w:sz w:val="22"/>
                <w:szCs w:val="22"/>
                <w:u w:val="single"/>
              </w:rPr>
              <w:t>Sep</w:t>
            </w:r>
          </w:p>
        </w:tc>
        <w:tc>
          <w:tcPr>
            <w:tcW w:w="1350" w:type="dxa"/>
            <w:vAlign w:val="bottom"/>
          </w:tcPr>
          <w:p w14:paraId="7BAC6517" w14:textId="2E1C893E" w:rsidR="00F77F46" w:rsidRPr="00F22A05" w:rsidRDefault="00F77F46" w:rsidP="00F77F46">
            <w:pPr>
              <w:jc w:val="center"/>
              <w:rPr>
                <w:u w:val="single"/>
              </w:rPr>
            </w:pPr>
            <w:r w:rsidRPr="00F22A05">
              <w:rPr>
                <w:u w:val="single"/>
              </w:rPr>
              <w:t>0.98</w:t>
            </w:r>
          </w:p>
        </w:tc>
      </w:tr>
      <w:tr w:rsidR="00F22A05" w:rsidRPr="00F22A05" w14:paraId="675F14D5" w14:textId="77777777" w:rsidTr="00DB2B80">
        <w:trPr>
          <w:tblHeader/>
          <w:jc w:val="center"/>
        </w:trPr>
        <w:tc>
          <w:tcPr>
            <w:tcW w:w="985" w:type="dxa"/>
            <w:vAlign w:val="bottom"/>
          </w:tcPr>
          <w:p w14:paraId="05CFD87A" w14:textId="43CE73A4" w:rsidR="00F77F46" w:rsidRPr="00F22A05" w:rsidRDefault="00F77F46" w:rsidP="00F77F46">
            <w:pPr>
              <w:rPr>
                <w:u w:val="single"/>
              </w:rPr>
            </w:pPr>
            <w:r w:rsidRPr="00F22A05">
              <w:rPr>
                <w:sz w:val="22"/>
                <w:szCs w:val="22"/>
                <w:u w:val="single"/>
              </w:rPr>
              <w:t>Oct</w:t>
            </w:r>
          </w:p>
        </w:tc>
        <w:tc>
          <w:tcPr>
            <w:tcW w:w="1350" w:type="dxa"/>
            <w:vAlign w:val="bottom"/>
          </w:tcPr>
          <w:p w14:paraId="11B06A49" w14:textId="33223EF9" w:rsidR="00F77F46" w:rsidRPr="00F22A05" w:rsidRDefault="00F77F46" w:rsidP="00F77F46">
            <w:pPr>
              <w:jc w:val="center"/>
              <w:rPr>
                <w:u w:val="single"/>
              </w:rPr>
            </w:pPr>
            <w:r w:rsidRPr="00F22A05">
              <w:rPr>
                <w:u w:val="single"/>
              </w:rPr>
              <w:t>1.07</w:t>
            </w:r>
          </w:p>
        </w:tc>
      </w:tr>
      <w:tr w:rsidR="00F22A05" w:rsidRPr="00F22A05" w14:paraId="4F8DB779" w14:textId="77777777" w:rsidTr="00DB2B80">
        <w:trPr>
          <w:tblHeader/>
          <w:jc w:val="center"/>
        </w:trPr>
        <w:tc>
          <w:tcPr>
            <w:tcW w:w="985" w:type="dxa"/>
            <w:vAlign w:val="bottom"/>
          </w:tcPr>
          <w:p w14:paraId="45AF1462" w14:textId="7D2D2428" w:rsidR="00F77F46" w:rsidRPr="00F22A05" w:rsidRDefault="00F77F46" w:rsidP="00F77F46">
            <w:pPr>
              <w:rPr>
                <w:u w:val="single"/>
              </w:rPr>
            </w:pPr>
            <w:r w:rsidRPr="00F22A05">
              <w:rPr>
                <w:sz w:val="22"/>
                <w:szCs w:val="22"/>
                <w:u w:val="single"/>
              </w:rPr>
              <w:t>Nov</w:t>
            </w:r>
          </w:p>
        </w:tc>
        <w:tc>
          <w:tcPr>
            <w:tcW w:w="1350" w:type="dxa"/>
            <w:vAlign w:val="bottom"/>
          </w:tcPr>
          <w:p w14:paraId="68ADC7BE" w14:textId="1DD189CF" w:rsidR="00F77F46" w:rsidRPr="00F22A05" w:rsidRDefault="00F77F46" w:rsidP="00F77F46">
            <w:pPr>
              <w:jc w:val="center"/>
              <w:rPr>
                <w:u w:val="single"/>
              </w:rPr>
            </w:pPr>
            <w:r w:rsidRPr="00F22A05">
              <w:rPr>
                <w:u w:val="single"/>
              </w:rPr>
              <w:t>1.16</w:t>
            </w:r>
          </w:p>
        </w:tc>
      </w:tr>
      <w:tr w:rsidR="00F77F46" w:rsidRPr="00F22A05" w14:paraId="10CB5AC4" w14:textId="77777777" w:rsidTr="00DB2B80">
        <w:trPr>
          <w:tblHeader/>
          <w:jc w:val="center"/>
        </w:trPr>
        <w:tc>
          <w:tcPr>
            <w:tcW w:w="985" w:type="dxa"/>
            <w:vAlign w:val="bottom"/>
          </w:tcPr>
          <w:p w14:paraId="0AC46EC8" w14:textId="3B35C321" w:rsidR="00F77F46" w:rsidRPr="00F22A05" w:rsidRDefault="00F77F46" w:rsidP="00F77F46">
            <w:pPr>
              <w:rPr>
                <w:u w:val="single"/>
              </w:rPr>
            </w:pPr>
            <w:r w:rsidRPr="00F22A05">
              <w:rPr>
                <w:sz w:val="22"/>
                <w:szCs w:val="22"/>
                <w:u w:val="single"/>
              </w:rPr>
              <w:t>Dec</w:t>
            </w:r>
          </w:p>
        </w:tc>
        <w:tc>
          <w:tcPr>
            <w:tcW w:w="1350" w:type="dxa"/>
            <w:vAlign w:val="bottom"/>
          </w:tcPr>
          <w:p w14:paraId="2CDAAF9F" w14:textId="4E4F15FD" w:rsidR="00F77F46" w:rsidRPr="00F22A05" w:rsidRDefault="00F77F46" w:rsidP="00F77F46">
            <w:pPr>
              <w:jc w:val="center"/>
              <w:rPr>
                <w:u w:val="single"/>
              </w:rPr>
            </w:pPr>
            <w:r w:rsidRPr="00F22A05">
              <w:rPr>
                <w:u w:val="single"/>
              </w:rPr>
              <w:t>1.20</w:t>
            </w:r>
          </w:p>
        </w:tc>
      </w:tr>
    </w:tbl>
    <w:p w14:paraId="7D3EC6A6" w14:textId="77777777" w:rsidR="0091689A" w:rsidRPr="00F22A05" w:rsidRDefault="0091689A" w:rsidP="0091689A">
      <w:pPr>
        <w:pStyle w:val="AppendixC2"/>
        <w:numPr>
          <w:ilvl w:val="0"/>
          <w:numId w:val="0"/>
        </w:numPr>
        <w:ind w:left="630"/>
        <w:rPr>
          <w:rFonts w:eastAsiaTheme="majorEastAsia"/>
          <w:b w:val="0"/>
          <w:bCs/>
          <w:u w:val="single"/>
        </w:rPr>
      </w:pPr>
    </w:p>
    <w:p w14:paraId="3D940011" w14:textId="740F5E25" w:rsidR="00F77F46" w:rsidRPr="00F22A05" w:rsidRDefault="0084003D" w:rsidP="00F77F46">
      <w:pPr>
        <w:keepNext/>
        <w:jc w:val="center"/>
        <w:rPr>
          <w:rStyle w:val="Heading3Char"/>
          <w:u w:val="single"/>
        </w:rPr>
      </w:pPr>
      <w:r w:rsidRPr="00F22A05">
        <w:rPr>
          <w:u w:val="single"/>
        </w:rPr>
        <w:br w:type="page"/>
      </w:r>
      <w:r w:rsidR="00F77F46" w:rsidRPr="00F22A05">
        <w:rPr>
          <w:rStyle w:val="Heading3Char"/>
          <w:u w:val="single"/>
        </w:rPr>
        <w:lastRenderedPageBreak/>
        <w:t xml:space="preserve">Table </w:t>
      </w:r>
      <w:r w:rsidR="000D4695" w:rsidRPr="00F22A05">
        <w:rPr>
          <w:rStyle w:val="Heading3Char"/>
          <w:u w:val="single"/>
        </w:rPr>
        <w:t>C.3(5)</w:t>
      </w:r>
      <w:r w:rsidR="00F77F46" w:rsidRPr="00F22A05">
        <w:rPr>
          <w:rStyle w:val="Heading3Char"/>
          <w:u w:val="single"/>
        </w:rPr>
        <w:t xml:space="preserve"> </w:t>
      </w:r>
      <w:r w:rsidR="007158FA" w:rsidRPr="00F22A05">
        <w:rPr>
          <w:rStyle w:val="Heading3Char"/>
        </w:rPr>
        <w:t xml:space="preserve"> </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170"/>
        <w:gridCol w:w="1350"/>
        <w:gridCol w:w="1080"/>
        <w:gridCol w:w="990"/>
        <w:gridCol w:w="1620"/>
        <w:gridCol w:w="1800"/>
      </w:tblGrid>
      <w:tr w:rsidR="00F22A05" w:rsidRPr="00F22A05" w14:paraId="5E60F29C" w14:textId="749EAD71" w:rsidTr="00DB2B80">
        <w:trPr>
          <w:trHeight w:val="62"/>
          <w:tblHeader/>
          <w:jc w:val="center"/>
        </w:trPr>
        <w:tc>
          <w:tcPr>
            <w:tcW w:w="1075" w:type="dxa"/>
          </w:tcPr>
          <w:p w14:paraId="71D35AFF" w14:textId="77777777" w:rsidR="00421CE3" w:rsidRPr="00F22A05" w:rsidRDefault="00421CE3" w:rsidP="00421CE3">
            <w:pPr>
              <w:rPr>
                <w:b/>
                <w:bCs/>
                <w:u w:val="single"/>
              </w:rPr>
            </w:pPr>
            <w:r w:rsidRPr="00F22A05">
              <w:rPr>
                <w:b/>
                <w:bCs/>
                <w:sz w:val="22"/>
                <w:szCs w:val="22"/>
                <w:u w:val="single"/>
              </w:rPr>
              <w:t>Hour of Day</w:t>
            </w:r>
          </w:p>
        </w:tc>
        <w:tc>
          <w:tcPr>
            <w:tcW w:w="1170" w:type="dxa"/>
            <w:vAlign w:val="center"/>
          </w:tcPr>
          <w:p w14:paraId="5456EC23" w14:textId="500E9625" w:rsidR="00421CE3" w:rsidRPr="00F22A05" w:rsidRDefault="003A70EF" w:rsidP="00421CE3">
            <w:pPr>
              <w:jc w:val="center"/>
              <w:rPr>
                <w:b/>
                <w:bCs/>
                <w:u w:val="single"/>
              </w:rPr>
            </w:pPr>
            <w:r w:rsidRPr="00F22A05">
              <w:rPr>
                <w:b/>
                <w:bCs/>
                <w:sz w:val="22"/>
                <w:szCs w:val="22"/>
                <w:u w:val="single"/>
              </w:rPr>
              <w:t xml:space="preserve">Hot Water </w:t>
            </w:r>
            <w:r w:rsidR="008C7B16" w:rsidRPr="00F22A05">
              <w:rPr>
                <w:b/>
                <w:bCs/>
                <w:sz w:val="22"/>
                <w:szCs w:val="22"/>
                <w:u w:val="single"/>
              </w:rPr>
              <w:t>Fixtures</w:t>
            </w:r>
          </w:p>
        </w:tc>
        <w:tc>
          <w:tcPr>
            <w:tcW w:w="1350" w:type="dxa"/>
            <w:vAlign w:val="center"/>
          </w:tcPr>
          <w:p w14:paraId="25ADCC2A" w14:textId="5813DFF4" w:rsidR="00421CE3" w:rsidRPr="00F22A05" w:rsidRDefault="00421CE3" w:rsidP="00421CE3">
            <w:pPr>
              <w:jc w:val="center"/>
              <w:rPr>
                <w:b/>
                <w:bCs/>
                <w:sz w:val="22"/>
                <w:szCs w:val="22"/>
                <w:u w:val="single"/>
              </w:rPr>
            </w:pPr>
            <w:r w:rsidRPr="00F22A05">
              <w:rPr>
                <w:b/>
                <w:bCs/>
                <w:sz w:val="22"/>
                <w:szCs w:val="22"/>
                <w:u w:val="single"/>
              </w:rPr>
              <w:t>Occupancy Gains</w:t>
            </w:r>
          </w:p>
        </w:tc>
        <w:tc>
          <w:tcPr>
            <w:tcW w:w="1080" w:type="dxa"/>
            <w:vAlign w:val="center"/>
          </w:tcPr>
          <w:p w14:paraId="177E2BBF" w14:textId="0792C7C5" w:rsidR="00421CE3" w:rsidRPr="00F22A05" w:rsidRDefault="00421CE3" w:rsidP="00421CE3">
            <w:pPr>
              <w:jc w:val="center"/>
              <w:rPr>
                <w:b/>
                <w:bCs/>
                <w:sz w:val="22"/>
                <w:szCs w:val="22"/>
                <w:u w:val="single"/>
              </w:rPr>
            </w:pPr>
            <w:r w:rsidRPr="00F22A05">
              <w:rPr>
                <w:b/>
                <w:bCs/>
                <w:sz w:val="22"/>
                <w:szCs w:val="22"/>
                <w:u w:val="single"/>
              </w:rPr>
              <w:t>General Water Use</w:t>
            </w:r>
          </w:p>
        </w:tc>
        <w:tc>
          <w:tcPr>
            <w:tcW w:w="990" w:type="dxa"/>
            <w:vAlign w:val="center"/>
          </w:tcPr>
          <w:p w14:paraId="3790640F" w14:textId="25069295" w:rsidR="00421CE3" w:rsidRPr="00F22A05" w:rsidRDefault="00421CE3" w:rsidP="00421CE3">
            <w:pPr>
              <w:jc w:val="center"/>
              <w:rPr>
                <w:b/>
                <w:bCs/>
                <w:sz w:val="22"/>
                <w:szCs w:val="22"/>
                <w:u w:val="single"/>
              </w:rPr>
            </w:pPr>
            <w:r w:rsidRPr="00F22A05">
              <w:rPr>
                <w:b/>
                <w:bCs/>
                <w:sz w:val="22"/>
                <w:szCs w:val="22"/>
                <w:u w:val="single"/>
              </w:rPr>
              <w:t>Ceiling Fan</w:t>
            </w:r>
          </w:p>
        </w:tc>
        <w:tc>
          <w:tcPr>
            <w:tcW w:w="1620" w:type="dxa"/>
            <w:vAlign w:val="center"/>
          </w:tcPr>
          <w:p w14:paraId="58DA1E51" w14:textId="2F15B618" w:rsidR="00421CE3" w:rsidRPr="00F22A05" w:rsidRDefault="00353282" w:rsidP="00421CE3">
            <w:pPr>
              <w:jc w:val="center"/>
              <w:rPr>
                <w:b/>
                <w:bCs/>
                <w:sz w:val="22"/>
                <w:szCs w:val="22"/>
                <w:u w:val="single"/>
              </w:rPr>
            </w:pPr>
            <w:r w:rsidRPr="00F22A05">
              <w:rPr>
                <w:b/>
                <w:bCs/>
                <w:sz w:val="22"/>
                <w:szCs w:val="22"/>
                <w:u w:val="single"/>
              </w:rPr>
              <w:t xml:space="preserve">Demand Controlled </w:t>
            </w:r>
            <w:r w:rsidR="00421CE3" w:rsidRPr="00F22A05">
              <w:rPr>
                <w:b/>
                <w:bCs/>
                <w:sz w:val="22"/>
                <w:szCs w:val="22"/>
                <w:u w:val="single"/>
              </w:rPr>
              <w:t>Recirculation Pump</w:t>
            </w:r>
          </w:p>
        </w:tc>
        <w:tc>
          <w:tcPr>
            <w:tcW w:w="1800" w:type="dxa"/>
            <w:vAlign w:val="center"/>
          </w:tcPr>
          <w:p w14:paraId="0670C363" w14:textId="381FC129" w:rsidR="00421CE3" w:rsidRPr="00F22A05" w:rsidRDefault="00353282" w:rsidP="00421CE3">
            <w:pPr>
              <w:jc w:val="center"/>
              <w:rPr>
                <w:b/>
                <w:bCs/>
                <w:sz w:val="22"/>
                <w:szCs w:val="22"/>
                <w:u w:val="single"/>
              </w:rPr>
            </w:pPr>
            <w:r w:rsidRPr="00F22A05">
              <w:rPr>
                <w:b/>
                <w:bCs/>
                <w:sz w:val="22"/>
                <w:szCs w:val="22"/>
                <w:u w:val="single"/>
              </w:rPr>
              <w:t xml:space="preserve">Temperature Controlled </w:t>
            </w:r>
            <w:r w:rsidR="00421CE3" w:rsidRPr="00F22A05">
              <w:rPr>
                <w:b/>
                <w:bCs/>
                <w:sz w:val="22"/>
                <w:szCs w:val="22"/>
                <w:u w:val="single"/>
              </w:rPr>
              <w:t>Recirculation Pump</w:t>
            </w:r>
          </w:p>
        </w:tc>
      </w:tr>
      <w:tr w:rsidR="00F22A05" w:rsidRPr="00F22A05" w14:paraId="43EEC7AB" w14:textId="32936379" w:rsidTr="00DB2B80">
        <w:trPr>
          <w:tblHeader/>
          <w:jc w:val="center"/>
        </w:trPr>
        <w:tc>
          <w:tcPr>
            <w:tcW w:w="1075" w:type="dxa"/>
          </w:tcPr>
          <w:p w14:paraId="48483BAA" w14:textId="77777777" w:rsidR="00421CE3" w:rsidRPr="00F22A05" w:rsidRDefault="00421CE3" w:rsidP="00421CE3">
            <w:pPr>
              <w:rPr>
                <w:u w:val="single"/>
              </w:rPr>
            </w:pPr>
            <w:r w:rsidRPr="00F22A05">
              <w:rPr>
                <w:sz w:val="22"/>
                <w:szCs w:val="22"/>
                <w:u w:val="single"/>
              </w:rPr>
              <w:t>0-1</w:t>
            </w:r>
          </w:p>
        </w:tc>
        <w:tc>
          <w:tcPr>
            <w:tcW w:w="1170" w:type="dxa"/>
            <w:vAlign w:val="bottom"/>
          </w:tcPr>
          <w:p w14:paraId="1625BF4E" w14:textId="03FF974E" w:rsidR="00421CE3" w:rsidRPr="00F22A05" w:rsidRDefault="00421CE3" w:rsidP="00421CE3">
            <w:pPr>
              <w:jc w:val="center"/>
              <w:rPr>
                <w:u w:val="single"/>
              </w:rPr>
            </w:pPr>
            <w:r w:rsidRPr="00F22A05">
              <w:rPr>
                <w:u w:val="single"/>
              </w:rPr>
              <w:t>0.012</w:t>
            </w:r>
          </w:p>
        </w:tc>
        <w:tc>
          <w:tcPr>
            <w:tcW w:w="1350" w:type="dxa"/>
            <w:vAlign w:val="bottom"/>
          </w:tcPr>
          <w:p w14:paraId="4128BEF2" w14:textId="0E89BE44" w:rsidR="00421CE3" w:rsidRPr="00F22A05" w:rsidRDefault="00421CE3" w:rsidP="00421CE3">
            <w:pPr>
              <w:jc w:val="center"/>
              <w:rPr>
                <w:sz w:val="22"/>
                <w:szCs w:val="22"/>
                <w:u w:val="single"/>
              </w:rPr>
            </w:pPr>
            <w:r w:rsidRPr="00F22A05">
              <w:rPr>
                <w:u w:val="single"/>
              </w:rPr>
              <w:t>0.035</w:t>
            </w:r>
          </w:p>
        </w:tc>
        <w:tc>
          <w:tcPr>
            <w:tcW w:w="1080" w:type="dxa"/>
            <w:vAlign w:val="bottom"/>
          </w:tcPr>
          <w:p w14:paraId="533218D0" w14:textId="38325B28" w:rsidR="00421CE3" w:rsidRPr="00F22A05" w:rsidRDefault="00421CE3" w:rsidP="00421CE3">
            <w:pPr>
              <w:jc w:val="center"/>
              <w:rPr>
                <w:u w:val="single"/>
              </w:rPr>
            </w:pPr>
            <w:r w:rsidRPr="00F22A05">
              <w:rPr>
                <w:u w:val="single"/>
              </w:rPr>
              <w:t>0.023</w:t>
            </w:r>
          </w:p>
        </w:tc>
        <w:tc>
          <w:tcPr>
            <w:tcW w:w="990" w:type="dxa"/>
            <w:vAlign w:val="bottom"/>
          </w:tcPr>
          <w:p w14:paraId="209A51AA" w14:textId="7EDFDC47" w:rsidR="00421CE3" w:rsidRPr="00F22A05" w:rsidRDefault="00421CE3" w:rsidP="00421CE3">
            <w:pPr>
              <w:jc w:val="center"/>
              <w:rPr>
                <w:u w:val="single"/>
              </w:rPr>
            </w:pPr>
            <w:r w:rsidRPr="00F22A05">
              <w:rPr>
                <w:u w:val="single"/>
              </w:rPr>
              <w:t>0.057</w:t>
            </w:r>
          </w:p>
        </w:tc>
        <w:tc>
          <w:tcPr>
            <w:tcW w:w="1620" w:type="dxa"/>
            <w:vAlign w:val="bottom"/>
          </w:tcPr>
          <w:p w14:paraId="73C21CF5" w14:textId="52328B2E" w:rsidR="00421CE3" w:rsidRPr="00F22A05" w:rsidRDefault="00421CE3" w:rsidP="00421CE3">
            <w:pPr>
              <w:jc w:val="center"/>
              <w:rPr>
                <w:u w:val="single"/>
              </w:rPr>
            </w:pPr>
            <w:r w:rsidRPr="00F22A05">
              <w:rPr>
                <w:u w:val="single"/>
              </w:rPr>
              <w:t>0.012</w:t>
            </w:r>
          </w:p>
        </w:tc>
        <w:tc>
          <w:tcPr>
            <w:tcW w:w="1800" w:type="dxa"/>
            <w:vAlign w:val="bottom"/>
          </w:tcPr>
          <w:p w14:paraId="5B5BE42F" w14:textId="31ED7CF8" w:rsidR="00421CE3" w:rsidRPr="00F22A05" w:rsidRDefault="00421CE3" w:rsidP="00421CE3">
            <w:pPr>
              <w:jc w:val="center"/>
              <w:rPr>
                <w:u w:val="single"/>
              </w:rPr>
            </w:pPr>
            <w:r w:rsidRPr="00F22A05">
              <w:rPr>
                <w:u w:val="single"/>
              </w:rPr>
              <w:t>0.067</w:t>
            </w:r>
          </w:p>
        </w:tc>
      </w:tr>
      <w:tr w:rsidR="00F22A05" w:rsidRPr="00F22A05" w14:paraId="3634BF8B" w14:textId="1FAB4232" w:rsidTr="00DB2B80">
        <w:trPr>
          <w:tblHeader/>
          <w:jc w:val="center"/>
        </w:trPr>
        <w:tc>
          <w:tcPr>
            <w:tcW w:w="1075" w:type="dxa"/>
          </w:tcPr>
          <w:p w14:paraId="3A6EB85F" w14:textId="77777777" w:rsidR="00421CE3" w:rsidRPr="00F22A05" w:rsidRDefault="00421CE3" w:rsidP="00421CE3">
            <w:pPr>
              <w:rPr>
                <w:u w:val="single"/>
              </w:rPr>
            </w:pPr>
            <w:r w:rsidRPr="00F22A05">
              <w:rPr>
                <w:sz w:val="22"/>
                <w:szCs w:val="22"/>
                <w:u w:val="single"/>
              </w:rPr>
              <w:t>1-2</w:t>
            </w:r>
          </w:p>
        </w:tc>
        <w:tc>
          <w:tcPr>
            <w:tcW w:w="1170" w:type="dxa"/>
            <w:vAlign w:val="bottom"/>
          </w:tcPr>
          <w:p w14:paraId="44A3F8C4" w14:textId="7B9E21CB" w:rsidR="00421CE3" w:rsidRPr="00F22A05" w:rsidRDefault="00421CE3" w:rsidP="00421CE3">
            <w:pPr>
              <w:jc w:val="center"/>
              <w:rPr>
                <w:u w:val="single"/>
              </w:rPr>
            </w:pPr>
            <w:r w:rsidRPr="00F22A05">
              <w:rPr>
                <w:u w:val="single"/>
              </w:rPr>
              <w:t>0.006</w:t>
            </w:r>
          </w:p>
        </w:tc>
        <w:tc>
          <w:tcPr>
            <w:tcW w:w="1350" w:type="dxa"/>
            <w:vAlign w:val="bottom"/>
          </w:tcPr>
          <w:p w14:paraId="618B5264" w14:textId="562A9D5F" w:rsidR="00421CE3" w:rsidRPr="00F22A05" w:rsidRDefault="00421CE3" w:rsidP="00421CE3">
            <w:pPr>
              <w:jc w:val="center"/>
              <w:rPr>
                <w:sz w:val="22"/>
                <w:szCs w:val="22"/>
                <w:u w:val="single"/>
              </w:rPr>
            </w:pPr>
            <w:r w:rsidRPr="00F22A05">
              <w:rPr>
                <w:u w:val="single"/>
              </w:rPr>
              <w:t>0.035</w:t>
            </w:r>
          </w:p>
        </w:tc>
        <w:tc>
          <w:tcPr>
            <w:tcW w:w="1080" w:type="dxa"/>
            <w:vAlign w:val="bottom"/>
          </w:tcPr>
          <w:p w14:paraId="38E4A257" w14:textId="3AE1025E" w:rsidR="00421CE3" w:rsidRPr="00F22A05" w:rsidRDefault="00421CE3" w:rsidP="00421CE3">
            <w:pPr>
              <w:jc w:val="center"/>
              <w:rPr>
                <w:u w:val="single"/>
              </w:rPr>
            </w:pPr>
            <w:r w:rsidRPr="00F22A05">
              <w:rPr>
                <w:u w:val="single"/>
              </w:rPr>
              <w:t>0.021</w:t>
            </w:r>
          </w:p>
        </w:tc>
        <w:tc>
          <w:tcPr>
            <w:tcW w:w="990" w:type="dxa"/>
            <w:vAlign w:val="bottom"/>
          </w:tcPr>
          <w:p w14:paraId="69796AC4" w14:textId="652497DA" w:rsidR="00421CE3" w:rsidRPr="00F22A05" w:rsidRDefault="00421CE3" w:rsidP="00421CE3">
            <w:pPr>
              <w:jc w:val="center"/>
              <w:rPr>
                <w:u w:val="single"/>
              </w:rPr>
            </w:pPr>
            <w:r w:rsidRPr="00F22A05">
              <w:rPr>
                <w:u w:val="single"/>
              </w:rPr>
              <w:t>0.057</w:t>
            </w:r>
          </w:p>
        </w:tc>
        <w:tc>
          <w:tcPr>
            <w:tcW w:w="1620" w:type="dxa"/>
            <w:vAlign w:val="bottom"/>
          </w:tcPr>
          <w:p w14:paraId="370FD55D" w14:textId="781239F3" w:rsidR="00421CE3" w:rsidRPr="00F22A05" w:rsidRDefault="00421CE3" w:rsidP="00421CE3">
            <w:pPr>
              <w:jc w:val="center"/>
              <w:rPr>
                <w:u w:val="single"/>
              </w:rPr>
            </w:pPr>
            <w:r w:rsidRPr="00F22A05">
              <w:rPr>
                <w:u w:val="single"/>
              </w:rPr>
              <w:t>0.006</w:t>
            </w:r>
          </w:p>
        </w:tc>
        <w:tc>
          <w:tcPr>
            <w:tcW w:w="1800" w:type="dxa"/>
            <w:vAlign w:val="bottom"/>
          </w:tcPr>
          <w:p w14:paraId="08174E09" w14:textId="7EE01314" w:rsidR="00421CE3" w:rsidRPr="00F22A05" w:rsidRDefault="00421CE3" w:rsidP="00421CE3">
            <w:pPr>
              <w:jc w:val="center"/>
              <w:rPr>
                <w:u w:val="single"/>
              </w:rPr>
            </w:pPr>
            <w:r w:rsidRPr="00F22A05">
              <w:rPr>
                <w:u w:val="single"/>
              </w:rPr>
              <w:t>0.072</w:t>
            </w:r>
          </w:p>
        </w:tc>
      </w:tr>
      <w:tr w:rsidR="00F22A05" w:rsidRPr="00F22A05" w14:paraId="67FA60FF" w14:textId="2AB902E0" w:rsidTr="00DB2B80">
        <w:trPr>
          <w:tblHeader/>
          <w:jc w:val="center"/>
        </w:trPr>
        <w:tc>
          <w:tcPr>
            <w:tcW w:w="1075" w:type="dxa"/>
          </w:tcPr>
          <w:p w14:paraId="20A50C78" w14:textId="77777777" w:rsidR="00421CE3" w:rsidRPr="00F22A05" w:rsidRDefault="00421CE3" w:rsidP="00421CE3">
            <w:pPr>
              <w:rPr>
                <w:u w:val="single"/>
              </w:rPr>
            </w:pPr>
            <w:r w:rsidRPr="00F22A05">
              <w:rPr>
                <w:sz w:val="22"/>
                <w:szCs w:val="22"/>
                <w:u w:val="single"/>
              </w:rPr>
              <w:t>2-3</w:t>
            </w:r>
          </w:p>
        </w:tc>
        <w:tc>
          <w:tcPr>
            <w:tcW w:w="1170" w:type="dxa"/>
            <w:vAlign w:val="bottom"/>
          </w:tcPr>
          <w:p w14:paraId="76DC0A51" w14:textId="5750B3FA" w:rsidR="00421CE3" w:rsidRPr="00F22A05" w:rsidRDefault="00421CE3" w:rsidP="00421CE3">
            <w:pPr>
              <w:jc w:val="center"/>
              <w:rPr>
                <w:u w:val="single"/>
              </w:rPr>
            </w:pPr>
            <w:r w:rsidRPr="00F22A05">
              <w:rPr>
                <w:u w:val="single"/>
              </w:rPr>
              <w:t>0.004</w:t>
            </w:r>
          </w:p>
        </w:tc>
        <w:tc>
          <w:tcPr>
            <w:tcW w:w="1350" w:type="dxa"/>
            <w:vAlign w:val="bottom"/>
          </w:tcPr>
          <w:p w14:paraId="7284C480" w14:textId="25BC49F4" w:rsidR="00421CE3" w:rsidRPr="00F22A05" w:rsidRDefault="00421CE3" w:rsidP="00421CE3">
            <w:pPr>
              <w:jc w:val="center"/>
              <w:rPr>
                <w:sz w:val="22"/>
                <w:szCs w:val="22"/>
                <w:u w:val="single"/>
              </w:rPr>
            </w:pPr>
            <w:r w:rsidRPr="00F22A05">
              <w:rPr>
                <w:u w:val="single"/>
              </w:rPr>
              <w:t>0.035</w:t>
            </w:r>
          </w:p>
        </w:tc>
        <w:tc>
          <w:tcPr>
            <w:tcW w:w="1080" w:type="dxa"/>
            <w:vAlign w:val="bottom"/>
          </w:tcPr>
          <w:p w14:paraId="6A736519" w14:textId="69588C92" w:rsidR="00421CE3" w:rsidRPr="00F22A05" w:rsidRDefault="00421CE3" w:rsidP="00421CE3">
            <w:pPr>
              <w:jc w:val="center"/>
              <w:rPr>
                <w:u w:val="single"/>
              </w:rPr>
            </w:pPr>
            <w:r w:rsidRPr="00F22A05">
              <w:rPr>
                <w:u w:val="single"/>
              </w:rPr>
              <w:t>0.021</w:t>
            </w:r>
          </w:p>
        </w:tc>
        <w:tc>
          <w:tcPr>
            <w:tcW w:w="990" w:type="dxa"/>
            <w:vAlign w:val="bottom"/>
          </w:tcPr>
          <w:p w14:paraId="41DEC4D8" w14:textId="0515BAC6" w:rsidR="00421CE3" w:rsidRPr="00F22A05" w:rsidRDefault="00421CE3" w:rsidP="00421CE3">
            <w:pPr>
              <w:jc w:val="center"/>
              <w:rPr>
                <w:u w:val="single"/>
              </w:rPr>
            </w:pPr>
            <w:r w:rsidRPr="00F22A05">
              <w:rPr>
                <w:u w:val="single"/>
              </w:rPr>
              <w:t>0.057</w:t>
            </w:r>
          </w:p>
        </w:tc>
        <w:tc>
          <w:tcPr>
            <w:tcW w:w="1620" w:type="dxa"/>
            <w:vAlign w:val="bottom"/>
          </w:tcPr>
          <w:p w14:paraId="646CE121" w14:textId="6E46221A" w:rsidR="00421CE3" w:rsidRPr="00F22A05" w:rsidRDefault="00421CE3" w:rsidP="00421CE3">
            <w:pPr>
              <w:jc w:val="center"/>
              <w:rPr>
                <w:u w:val="single"/>
              </w:rPr>
            </w:pPr>
            <w:r w:rsidRPr="00F22A05">
              <w:rPr>
                <w:u w:val="single"/>
              </w:rPr>
              <w:t>0.004</w:t>
            </w:r>
          </w:p>
        </w:tc>
        <w:tc>
          <w:tcPr>
            <w:tcW w:w="1800" w:type="dxa"/>
            <w:vAlign w:val="bottom"/>
          </w:tcPr>
          <w:p w14:paraId="16B01D6D" w14:textId="7548D010" w:rsidR="00421CE3" w:rsidRPr="00F22A05" w:rsidRDefault="00421CE3" w:rsidP="00421CE3">
            <w:pPr>
              <w:jc w:val="center"/>
              <w:rPr>
                <w:u w:val="single"/>
              </w:rPr>
            </w:pPr>
            <w:r w:rsidRPr="00F22A05">
              <w:rPr>
                <w:u w:val="single"/>
              </w:rPr>
              <w:t>0.074</w:t>
            </w:r>
          </w:p>
        </w:tc>
      </w:tr>
      <w:tr w:rsidR="00F22A05" w:rsidRPr="00F22A05" w14:paraId="33CC33AC" w14:textId="4E0558A9" w:rsidTr="00DB2B80">
        <w:trPr>
          <w:tblHeader/>
          <w:jc w:val="center"/>
        </w:trPr>
        <w:tc>
          <w:tcPr>
            <w:tcW w:w="1075" w:type="dxa"/>
          </w:tcPr>
          <w:p w14:paraId="0B680C94" w14:textId="77777777" w:rsidR="00421CE3" w:rsidRPr="00F22A05" w:rsidRDefault="00421CE3" w:rsidP="00421CE3">
            <w:pPr>
              <w:rPr>
                <w:u w:val="single"/>
              </w:rPr>
            </w:pPr>
            <w:r w:rsidRPr="00F22A05">
              <w:rPr>
                <w:sz w:val="22"/>
                <w:szCs w:val="22"/>
                <w:u w:val="single"/>
              </w:rPr>
              <w:t>3-4</w:t>
            </w:r>
          </w:p>
        </w:tc>
        <w:tc>
          <w:tcPr>
            <w:tcW w:w="1170" w:type="dxa"/>
            <w:vAlign w:val="bottom"/>
          </w:tcPr>
          <w:p w14:paraId="31B7397F" w14:textId="10CB422A" w:rsidR="00421CE3" w:rsidRPr="00F22A05" w:rsidRDefault="00421CE3" w:rsidP="00421CE3">
            <w:pPr>
              <w:jc w:val="center"/>
              <w:rPr>
                <w:u w:val="single"/>
              </w:rPr>
            </w:pPr>
            <w:r w:rsidRPr="00F22A05">
              <w:rPr>
                <w:u w:val="single"/>
              </w:rPr>
              <w:t>0.005</w:t>
            </w:r>
          </w:p>
        </w:tc>
        <w:tc>
          <w:tcPr>
            <w:tcW w:w="1350" w:type="dxa"/>
            <w:vAlign w:val="bottom"/>
          </w:tcPr>
          <w:p w14:paraId="5D258BA9" w14:textId="423BFD23" w:rsidR="00421CE3" w:rsidRPr="00F22A05" w:rsidRDefault="00421CE3" w:rsidP="00421CE3">
            <w:pPr>
              <w:jc w:val="center"/>
              <w:rPr>
                <w:sz w:val="22"/>
                <w:szCs w:val="22"/>
                <w:u w:val="single"/>
              </w:rPr>
            </w:pPr>
            <w:r w:rsidRPr="00F22A05">
              <w:rPr>
                <w:u w:val="single"/>
              </w:rPr>
              <w:t>0.035</w:t>
            </w:r>
          </w:p>
        </w:tc>
        <w:tc>
          <w:tcPr>
            <w:tcW w:w="1080" w:type="dxa"/>
            <w:vAlign w:val="bottom"/>
          </w:tcPr>
          <w:p w14:paraId="046BBA06" w14:textId="303E1E34" w:rsidR="00421CE3" w:rsidRPr="00F22A05" w:rsidRDefault="00421CE3" w:rsidP="00421CE3">
            <w:pPr>
              <w:jc w:val="center"/>
              <w:rPr>
                <w:u w:val="single"/>
              </w:rPr>
            </w:pPr>
            <w:r w:rsidRPr="00F22A05">
              <w:rPr>
                <w:u w:val="single"/>
              </w:rPr>
              <w:t>0.025</w:t>
            </w:r>
          </w:p>
        </w:tc>
        <w:tc>
          <w:tcPr>
            <w:tcW w:w="990" w:type="dxa"/>
            <w:vAlign w:val="bottom"/>
          </w:tcPr>
          <w:p w14:paraId="2731F0B4" w14:textId="5A198B07" w:rsidR="00421CE3" w:rsidRPr="00F22A05" w:rsidRDefault="00421CE3" w:rsidP="00421CE3">
            <w:pPr>
              <w:jc w:val="center"/>
              <w:rPr>
                <w:u w:val="single"/>
              </w:rPr>
            </w:pPr>
            <w:r w:rsidRPr="00F22A05">
              <w:rPr>
                <w:u w:val="single"/>
              </w:rPr>
              <w:t>0.057</w:t>
            </w:r>
          </w:p>
        </w:tc>
        <w:tc>
          <w:tcPr>
            <w:tcW w:w="1620" w:type="dxa"/>
            <w:vAlign w:val="bottom"/>
          </w:tcPr>
          <w:p w14:paraId="5343E281" w14:textId="13971EFB" w:rsidR="00421CE3" w:rsidRPr="00F22A05" w:rsidRDefault="00421CE3" w:rsidP="00421CE3">
            <w:pPr>
              <w:jc w:val="center"/>
              <w:rPr>
                <w:u w:val="single"/>
              </w:rPr>
            </w:pPr>
            <w:r w:rsidRPr="00F22A05">
              <w:rPr>
                <w:u w:val="single"/>
              </w:rPr>
              <w:t>0.005</w:t>
            </w:r>
          </w:p>
        </w:tc>
        <w:tc>
          <w:tcPr>
            <w:tcW w:w="1800" w:type="dxa"/>
            <w:vAlign w:val="bottom"/>
          </w:tcPr>
          <w:p w14:paraId="3E273319" w14:textId="0562E1F0" w:rsidR="00421CE3" w:rsidRPr="00F22A05" w:rsidRDefault="00421CE3" w:rsidP="00421CE3">
            <w:pPr>
              <w:jc w:val="center"/>
              <w:rPr>
                <w:u w:val="single"/>
              </w:rPr>
            </w:pPr>
            <w:r w:rsidRPr="00F22A05">
              <w:rPr>
                <w:u w:val="single"/>
              </w:rPr>
              <w:t>0.073</w:t>
            </w:r>
          </w:p>
        </w:tc>
      </w:tr>
      <w:tr w:rsidR="00F22A05" w:rsidRPr="00F22A05" w14:paraId="585DB686" w14:textId="04A1CB4A" w:rsidTr="00DB2B80">
        <w:trPr>
          <w:tblHeader/>
          <w:jc w:val="center"/>
        </w:trPr>
        <w:tc>
          <w:tcPr>
            <w:tcW w:w="1075" w:type="dxa"/>
          </w:tcPr>
          <w:p w14:paraId="3BE72FDE" w14:textId="77777777" w:rsidR="00421CE3" w:rsidRPr="00F22A05" w:rsidRDefault="00421CE3" w:rsidP="00421CE3">
            <w:pPr>
              <w:rPr>
                <w:u w:val="single"/>
              </w:rPr>
            </w:pPr>
            <w:r w:rsidRPr="00F22A05">
              <w:rPr>
                <w:sz w:val="22"/>
                <w:szCs w:val="22"/>
                <w:u w:val="single"/>
              </w:rPr>
              <w:t>4-5</w:t>
            </w:r>
          </w:p>
        </w:tc>
        <w:tc>
          <w:tcPr>
            <w:tcW w:w="1170" w:type="dxa"/>
            <w:vAlign w:val="bottom"/>
          </w:tcPr>
          <w:p w14:paraId="2F241E15" w14:textId="50ED3043" w:rsidR="00421CE3" w:rsidRPr="00F22A05" w:rsidRDefault="00421CE3" w:rsidP="00421CE3">
            <w:pPr>
              <w:jc w:val="center"/>
              <w:rPr>
                <w:u w:val="single"/>
              </w:rPr>
            </w:pPr>
            <w:r w:rsidRPr="00F22A05">
              <w:rPr>
                <w:u w:val="single"/>
              </w:rPr>
              <w:t>0.010</w:t>
            </w:r>
          </w:p>
        </w:tc>
        <w:tc>
          <w:tcPr>
            <w:tcW w:w="1350" w:type="dxa"/>
            <w:vAlign w:val="bottom"/>
          </w:tcPr>
          <w:p w14:paraId="17A2DB95" w14:textId="4D632BD7" w:rsidR="00421CE3" w:rsidRPr="00F22A05" w:rsidRDefault="00421CE3" w:rsidP="00421CE3">
            <w:pPr>
              <w:jc w:val="center"/>
              <w:rPr>
                <w:sz w:val="22"/>
                <w:szCs w:val="22"/>
                <w:u w:val="single"/>
              </w:rPr>
            </w:pPr>
            <w:r w:rsidRPr="00F22A05">
              <w:rPr>
                <w:u w:val="single"/>
              </w:rPr>
              <w:t>0.035</w:t>
            </w:r>
          </w:p>
        </w:tc>
        <w:tc>
          <w:tcPr>
            <w:tcW w:w="1080" w:type="dxa"/>
            <w:vAlign w:val="bottom"/>
          </w:tcPr>
          <w:p w14:paraId="5DCE8F56" w14:textId="3C838520" w:rsidR="00421CE3" w:rsidRPr="00F22A05" w:rsidRDefault="00421CE3" w:rsidP="00421CE3">
            <w:pPr>
              <w:jc w:val="center"/>
              <w:rPr>
                <w:u w:val="single"/>
              </w:rPr>
            </w:pPr>
            <w:r w:rsidRPr="00F22A05">
              <w:rPr>
                <w:u w:val="single"/>
              </w:rPr>
              <w:t>0.027</w:t>
            </w:r>
          </w:p>
        </w:tc>
        <w:tc>
          <w:tcPr>
            <w:tcW w:w="990" w:type="dxa"/>
            <w:vAlign w:val="bottom"/>
          </w:tcPr>
          <w:p w14:paraId="74335D30" w14:textId="1C96F784" w:rsidR="00421CE3" w:rsidRPr="00F22A05" w:rsidRDefault="00421CE3" w:rsidP="00421CE3">
            <w:pPr>
              <w:jc w:val="center"/>
              <w:rPr>
                <w:u w:val="single"/>
              </w:rPr>
            </w:pPr>
            <w:r w:rsidRPr="00F22A05">
              <w:rPr>
                <w:u w:val="single"/>
              </w:rPr>
              <w:t>0.057</w:t>
            </w:r>
          </w:p>
        </w:tc>
        <w:tc>
          <w:tcPr>
            <w:tcW w:w="1620" w:type="dxa"/>
            <w:vAlign w:val="bottom"/>
          </w:tcPr>
          <w:p w14:paraId="61B8BC63" w14:textId="278C4D70" w:rsidR="00421CE3" w:rsidRPr="00F22A05" w:rsidRDefault="00421CE3" w:rsidP="00421CE3">
            <w:pPr>
              <w:jc w:val="center"/>
              <w:rPr>
                <w:u w:val="single"/>
              </w:rPr>
            </w:pPr>
            <w:r w:rsidRPr="00F22A05">
              <w:rPr>
                <w:u w:val="single"/>
              </w:rPr>
              <w:t>0.010</w:t>
            </w:r>
          </w:p>
        </w:tc>
        <w:tc>
          <w:tcPr>
            <w:tcW w:w="1800" w:type="dxa"/>
            <w:vAlign w:val="bottom"/>
          </w:tcPr>
          <w:p w14:paraId="4E008773" w14:textId="3D826BDC" w:rsidR="00421CE3" w:rsidRPr="00F22A05" w:rsidRDefault="00421CE3" w:rsidP="00421CE3">
            <w:pPr>
              <w:jc w:val="center"/>
              <w:rPr>
                <w:u w:val="single"/>
              </w:rPr>
            </w:pPr>
            <w:r w:rsidRPr="00F22A05">
              <w:rPr>
                <w:u w:val="single"/>
              </w:rPr>
              <w:t>0.069</w:t>
            </w:r>
          </w:p>
        </w:tc>
      </w:tr>
      <w:tr w:rsidR="00F22A05" w:rsidRPr="00F22A05" w14:paraId="4F07DE79" w14:textId="3A3B3D2A" w:rsidTr="00DB2B80">
        <w:trPr>
          <w:tblHeader/>
          <w:jc w:val="center"/>
        </w:trPr>
        <w:tc>
          <w:tcPr>
            <w:tcW w:w="1075" w:type="dxa"/>
          </w:tcPr>
          <w:p w14:paraId="1E301C2E" w14:textId="77777777" w:rsidR="00421CE3" w:rsidRPr="00F22A05" w:rsidRDefault="00421CE3" w:rsidP="00421CE3">
            <w:pPr>
              <w:rPr>
                <w:u w:val="single"/>
              </w:rPr>
            </w:pPr>
            <w:r w:rsidRPr="00F22A05">
              <w:rPr>
                <w:sz w:val="22"/>
                <w:szCs w:val="22"/>
                <w:u w:val="single"/>
              </w:rPr>
              <w:t>5-6</w:t>
            </w:r>
          </w:p>
        </w:tc>
        <w:tc>
          <w:tcPr>
            <w:tcW w:w="1170" w:type="dxa"/>
            <w:vAlign w:val="bottom"/>
          </w:tcPr>
          <w:p w14:paraId="36B5E0F6" w14:textId="79F4B5C6" w:rsidR="00421CE3" w:rsidRPr="00F22A05" w:rsidRDefault="00421CE3" w:rsidP="00421CE3">
            <w:pPr>
              <w:jc w:val="center"/>
              <w:rPr>
                <w:u w:val="single"/>
              </w:rPr>
            </w:pPr>
            <w:r w:rsidRPr="00F22A05">
              <w:rPr>
                <w:u w:val="single"/>
              </w:rPr>
              <w:t>0.034</w:t>
            </w:r>
          </w:p>
        </w:tc>
        <w:tc>
          <w:tcPr>
            <w:tcW w:w="1350" w:type="dxa"/>
            <w:vAlign w:val="bottom"/>
          </w:tcPr>
          <w:p w14:paraId="7A840572" w14:textId="43E92E2B" w:rsidR="00421CE3" w:rsidRPr="00F22A05" w:rsidRDefault="00421CE3" w:rsidP="00421CE3">
            <w:pPr>
              <w:jc w:val="center"/>
              <w:rPr>
                <w:sz w:val="22"/>
                <w:szCs w:val="22"/>
                <w:u w:val="single"/>
              </w:rPr>
            </w:pPr>
            <w:r w:rsidRPr="00F22A05">
              <w:rPr>
                <w:u w:val="single"/>
              </w:rPr>
              <w:t>0.059</w:t>
            </w:r>
          </w:p>
        </w:tc>
        <w:tc>
          <w:tcPr>
            <w:tcW w:w="1080" w:type="dxa"/>
            <w:vAlign w:val="bottom"/>
          </w:tcPr>
          <w:p w14:paraId="35D1DC94" w14:textId="16541FD0" w:rsidR="00421CE3" w:rsidRPr="00F22A05" w:rsidRDefault="00421CE3" w:rsidP="00421CE3">
            <w:pPr>
              <w:jc w:val="center"/>
              <w:rPr>
                <w:u w:val="single"/>
              </w:rPr>
            </w:pPr>
            <w:r w:rsidRPr="00F22A05">
              <w:rPr>
                <w:u w:val="single"/>
              </w:rPr>
              <w:t>0.038</w:t>
            </w:r>
          </w:p>
        </w:tc>
        <w:tc>
          <w:tcPr>
            <w:tcW w:w="990" w:type="dxa"/>
            <w:vAlign w:val="bottom"/>
          </w:tcPr>
          <w:p w14:paraId="0CC5DED8" w14:textId="3455337F" w:rsidR="00421CE3" w:rsidRPr="00F22A05" w:rsidRDefault="00421CE3" w:rsidP="00421CE3">
            <w:pPr>
              <w:jc w:val="center"/>
              <w:rPr>
                <w:u w:val="single"/>
              </w:rPr>
            </w:pPr>
            <w:r w:rsidRPr="00F22A05">
              <w:rPr>
                <w:u w:val="single"/>
              </w:rPr>
              <w:t>0.057</w:t>
            </w:r>
          </w:p>
        </w:tc>
        <w:tc>
          <w:tcPr>
            <w:tcW w:w="1620" w:type="dxa"/>
            <w:vAlign w:val="bottom"/>
          </w:tcPr>
          <w:p w14:paraId="5F5589C2" w14:textId="4C839BC0" w:rsidR="00421CE3" w:rsidRPr="00F22A05" w:rsidRDefault="00421CE3" w:rsidP="00421CE3">
            <w:pPr>
              <w:jc w:val="center"/>
              <w:rPr>
                <w:u w:val="single"/>
              </w:rPr>
            </w:pPr>
            <w:r w:rsidRPr="00F22A05">
              <w:rPr>
                <w:u w:val="single"/>
              </w:rPr>
              <w:t>0.034</w:t>
            </w:r>
          </w:p>
        </w:tc>
        <w:tc>
          <w:tcPr>
            <w:tcW w:w="1800" w:type="dxa"/>
            <w:vAlign w:val="bottom"/>
          </w:tcPr>
          <w:p w14:paraId="0DA637D9" w14:textId="4F70AF30" w:rsidR="00421CE3" w:rsidRPr="00F22A05" w:rsidRDefault="00421CE3" w:rsidP="00421CE3">
            <w:pPr>
              <w:jc w:val="center"/>
              <w:rPr>
                <w:u w:val="single"/>
              </w:rPr>
            </w:pPr>
            <w:r w:rsidRPr="00F22A05">
              <w:rPr>
                <w:u w:val="single"/>
              </w:rPr>
              <w:t>0.048</w:t>
            </w:r>
          </w:p>
        </w:tc>
      </w:tr>
      <w:tr w:rsidR="00F22A05" w:rsidRPr="00F22A05" w14:paraId="7A9905C6" w14:textId="3E823DDE" w:rsidTr="00DB2B80">
        <w:trPr>
          <w:tblHeader/>
          <w:jc w:val="center"/>
        </w:trPr>
        <w:tc>
          <w:tcPr>
            <w:tcW w:w="1075" w:type="dxa"/>
          </w:tcPr>
          <w:p w14:paraId="7BEEB772" w14:textId="77777777" w:rsidR="00421CE3" w:rsidRPr="00F22A05" w:rsidRDefault="00421CE3" w:rsidP="00421CE3">
            <w:pPr>
              <w:rPr>
                <w:u w:val="single"/>
              </w:rPr>
            </w:pPr>
            <w:r w:rsidRPr="00F22A05">
              <w:rPr>
                <w:sz w:val="22"/>
                <w:szCs w:val="22"/>
                <w:u w:val="single"/>
              </w:rPr>
              <w:t>6-7</w:t>
            </w:r>
          </w:p>
        </w:tc>
        <w:tc>
          <w:tcPr>
            <w:tcW w:w="1170" w:type="dxa"/>
            <w:vAlign w:val="bottom"/>
          </w:tcPr>
          <w:p w14:paraId="10009B69" w14:textId="3C5A0940" w:rsidR="00421CE3" w:rsidRPr="00F22A05" w:rsidRDefault="00421CE3" w:rsidP="00421CE3">
            <w:pPr>
              <w:jc w:val="center"/>
              <w:rPr>
                <w:u w:val="single"/>
              </w:rPr>
            </w:pPr>
            <w:r w:rsidRPr="00F22A05">
              <w:rPr>
                <w:u w:val="single"/>
              </w:rPr>
              <w:t>0.078</w:t>
            </w:r>
          </w:p>
        </w:tc>
        <w:tc>
          <w:tcPr>
            <w:tcW w:w="1350" w:type="dxa"/>
            <w:vAlign w:val="bottom"/>
          </w:tcPr>
          <w:p w14:paraId="0256BC87" w14:textId="592B23D6" w:rsidR="00421CE3" w:rsidRPr="00F22A05" w:rsidRDefault="00421CE3" w:rsidP="00421CE3">
            <w:pPr>
              <w:jc w:val="center"/>
              <w:rPr>
                <w:sz w:val="22"/>
                <w:szCs w:val="22"/>
                <w:u w:val="single"/>
              </w:rPr>
            </w:pPr>
            <w:r w:rsidRPr="00F22A05">
              <w:rPr>
                <w:u w:val="single"/>
              </w:rPr>
              <w:t>0.082</w:t>
            </w:r>
          </w:p>
        </w:tc>
        <w:tc>
          <w:tcPr>
            <w:tcW w:w="1080" w:type="dxa"/>
            <w:vAlign w:val="bottom"/>
          </w:tcPr>
          <w:p w14:paraId="548B2F0E" w14:textId="7447BD81" w:rsidR="00421CE3" w:rsidRPr="00F22A05" w:rsidRDefault="00421CE3" w:rsidP="00421CE3">
            <w:pPr>
              <w:jc w:val="center"/>
              <w:rPr>
                <w:u w:val="single"/>
              </w:rPr>
            </w:pPr>
            <w:r w:rsidRPr="00F22A05">
              <w:rPr>
                <w:u w:val="single"/>
              </w:rPr>
              <w:t>0.04</w:t>
            </w:r>
            <w:r w:rsidR="00135657" w:rsidRPr="00F22A05">
              <w:rPr>
                <w:u w:val="single"/>
              </w:rPr>
              <w:t>4</w:t>
            </w:r>
          </w:p>
        </w:tc>
        <w:tc>
          <w:tcPr>
            <w:tcW w:w="990" w:type="dxa"/>
            <w:vAlign w:val="bottom"/>
          </w:tcPr>
          <w:p w14:paraId="18914BE7" w14:textId="5AB1714F" w:rsidR="00421CE3" w:rsidRPr="00F22A05" w:rsidRDefault="00421CE3" w:rsidP="00421CE3">
            <w:pPr>
              <w:jc w:val="center"/>
              <w:rPr>
                <w:u w:val="single"/>
              </w:rPr>
            </w:pPr>
            <w:r w:rsidRPr="00F22A05">
              <w:rPr>
                <w:u w:val="single"/>
              </w:rPr>
              <w:t>0.057</w:t>
            </w:r>
          </w:p>
        </w:tc>
        <w:tc>
          <w:tcPr>
            <w:tcW w:w="1620" w:type="dxa"/>
            <w:vAlign w:val="bottom"/>
          </w:tcPr>
          <w:p w14:paraId="4CF8CD63" w14:textId="6FFAFB53" w:rsidR="00421CE3" w:rsidRPr="00F22A05" w:rsidRDefault="00421CE3" w:rsidP="00421CE3">
            <w:pPr>
              <w:jc w:val="center"/>
              <w:rPr>
                <w:u w:val="single"/>
              </w:rPr>
            </w:pPr>
            <w:r w:rsidRPr="00F22A05">
              <w:rPr>
                <w:u w:val="single"/>
              </w:rPr>
              <w:t>0.078</w:t>
            </w:r>
          </w:p>
        </w:tc>
        <w:tc>
          <w:tcPr>
            <w:tcW w:w="1800" w:type="dxa"/>
            <w:vAlign w:val="bottom"/>
          </w:tcPr>
          <w:p w14:paraId="258C4385" w14:textId="30FD9D3B" w:rsidR="00421CE3" w:rsidRPr="00F22A05" w:rsidRDefault="00421CE3" w:rsidP="00421CE3">
            <w:pPr>
              <w:jc w:val="center"/>
              <w:rPr>
                <w:u w:val="single"/>
              </w:rPr>
            </w:pPr>
            <w:r w:rsidRPr="00F22A05">
              <w:rPr>
                <w:u w:val="single"/>
              </w:rPr>
              <w:t>0.011</w:t>
            </w:r>
          </w:p>
        </w:tc>
      </w:tr>
      <w:tr w:rsidR="00F22A05" w:rsidRPr="00F22A05" w14:paraId="56D88E29" w14:textId="42FEAE4C" w:rsidTr="00DB2B80">
        <w:trPr>
          <w:tblHeader/>
          <w:jc w:val="center"/>
        </w:trPr>
        <w:tc>
          <w:tcPr>
            <w:tcW w:w="1075" w:type="dxa"/>
          </w:tcPr>
          <w:p w14:paraId="5B7F7E08" w14:textId="77777777" w:rsidR="00421CE3" w:rsidRPr="00F22A05" w:rsidRDefault="00421CE3" w:rsidP="00421CE3">
            <w:pPr>
              <w:rPr>
                <w:u w:val="single"/>
              </w:rPr>
            </w:pPr>
            <w:r w:rsidRPr="00F22A05">
              <w:rPr>
                <w:sz w:val="22"/>
                <w:szCs w:val="22"/>
                <w:u w:val="single"/>
              </w:rPr>
              <w:t>7-8</w:t>
            </w:r>
          </w:p>
        </w:tc>
        <w:tc>
          <w:tcPr>
            <w:tcW w:w="1170" w:type="dxa"/>
            <w:vAlign w:val="bottom"/>
          </w:tcPr>
          <w:p w14:paraId="4512D18C" w14:textId="1BE59160" w:rsidR="00421CE3" w:rsidRPr="00F22A05" w:rsidRDefault="00421CE3" w:rsidP="00421CE3">
            <w:pPr>
              <w:jc w:val="center"/>
              <w:rPr>
                <w:u w:val="single"/>
              </w:rPr>
            </w:pPr>
            <w:r w:rsidRPr="00F22A05">
              <w:rPr>
                <w:u w:val="single"/>
              </w:rPr>
              <w:t>0.08</w:t>
            </w:r>
            <w:r w:rsidR="00135657" w:rsidRPr="00F22A05">
              <w:rPr>
                <w:u w:val="single"/>
              </w:rPr>
              <w:t>6</w:t>
            </w:r>
          </w:p>
        </w:tc>
        <w:tc>
          <w:tcPr>
            <w:tcW w:w="1350" w:type="dxa"/>
            <w:vAlign w:val="bottom"/>
          </w:tcPr>
          <w:p w14:paraId="7DFDBD20" w14:textId="3BCC1FB8" w:rsidR="00421CE3" w:rsidRPr="00F22A05" w:rsidRDefault="00421CE3" w:rsidP="00421CE3">
            <w:pPr>
              <w:jc w:val="center"/>
              <w:rPr>
                <w:sz w:val="22"/>
                <w:szCs w:val="22"/>
                <w:u w:val="single"/>
              </w:rPr>
            </w:pPr>
            <w:r w:rsidRPr="00F22A05">
              <w:rPr>
                <w:u w:val="single"/>
              </w:rPr>
              <w:t>0.055</w:t>
            </w:r>
          </w:p>
        </w:tc>
        <w:tc>
          <w:tcPr>
            <w:tcW w:w="1080" w:type="dxa"/>
            <w:vAlign w:val="bottom"/>
          </w:tcPr>
          <w:p w14:paraId="0A4D6997" w14:textId="4845BD79" w:rsidR="00421CE3" w:rsidRPr="00F22A05" w:rsidRDefault="00421CE3" w:rsidP="00421CE3">
            <w:pPr>
              <w:jc w:val="center"/>
              <w:rPr>
                <w:u w:val="single"/>
              </w:rPr>
            </w:pPr>
            <w:r w:rsidRPr="00F22A05">
              <w:rPr>
                <w:u w:val="single"/>
              </w:rPr>
              <w:t>0.03</w:t>
            </w:r>
            <w:r w:rsidR="00135657" w:rsidRPr="00F22A05">
              <w:rPr>
                <w:u w:val="single"/>
              </w:rPr>
              <w:t>9</w:t>
            </w:r>
          </w:p>
        </w:tc>
        <w:tc>
          <w:tcPr>
            <w:tcW w:w="990" w:type="dxa"/>
            <w:vAlign w:val="bottom"/>
          </w:tcPr>
          <w:p w14:paraId="300267CE" w14:textId="345C773C" w:rsidR="00421CE3" w:rsidRPr="00F22A05" w:rsidRDefault="00421CE3" w:rsidP="00421CE3">
            <w:pPr>
              <w:jc w:val="center"/>
              <w:rPr>
                <w:u w:val="single"/>
              </w:rPr>
            </w:pPr>
            <w:r w:rsidRPr="00F22A05">
              <w:rPr>
                <w:u w:val="single"/>
              </w:rPr>
              <w:t>0.024</w:t>
            </w:r>
          </w:p>
        </w:tc>
        <w:tc>
          <w:tcPr>
            <w:tcW w:w="1620" w:type="dxa"/>
            <w:vAlign w:val="bottom"/>
          </w:tcPr>
          <w:p w14:paraId="247C76A1" w14:textId="44E16175" w:rsidR="00421CE3" w:rsidRPr="00F22A05" w:rsidRDefault="00421CE3" w:rsidP="00421CE3">
            <w:pPr>
              <w:jc w:val="center"/>
              <w:rPr>
                <w:u w:val="single"/>
              </w:rPr>
            </w:pPr>
            <w:r w:rsidRPr="00F22A05">
              <w:rPr>
                <w:u w:val="single"/>
              </w:rPr>
              <w:t>0.08</w:t>
            </w:r>
            <w:r w:rsidR="00135657" w:rsidRPr="00F22A05">
              <w:rPr>
                <w:u w:val="single"/>
              </w:rPr>
              <w:t>6</w:t>
            </w:r>
          </w:p>
        </w:tc>
        <w:tc>
          <w:tcPr>
            <w:tcW w:w="1800" w:type="dxa"/>
            <w:vAlign w:val="bottom"/>
          </w:tcPr>
          <w:p w14:paraId="3F716031" w14:textId="0C859D47" w:rsidR="00421CE3" w:rsidRPr="00F22A05" w:rsidRDefault="00421CE3" w:rsidP="00421CE3">
            <w:pPr>
              <w:jc w:val="center"/>
              <w:rPr>
                <w:u w:val="single"/>
              </w:rPr>
            </w:pPr>
            <w:r w:rsidRPr="00F22A05">
              <w:rPr>
                <w:u w:val="single"/>
              </w:rPr>
              <w:t>0.003</w:t>
            </w:r>
          </w:p>
        </w:tc>
      </w:tr>
      <w:tr w:rsidR="00F22A05" w:rsidRPr="00F22A05" w14:paraId="68B15CAF" w14:textId="71C2D0BC" w:rsidTr="00DB2B80">
        <w:trPr>
          <w:tblHeader/>
          <w:jc w:val="center"/>
        </w:trPr>
        <w:tc>
          <w:tcPr>
            <w:tcW w:w="1075" w:type="dxa"/>
          </w:tcPr>
          <w:p w14:paraId="4CD29F99" w14:textId="77777777" w:rsidR="00421CE3" w:rsidRPr="00F22A05" w:rsidRDefault="00421CE3" w:rsidP="00421CE3">
            <w:pPr>
              <w:rPr>
                <w:u w:val="single"/>
              </w:rPr>
            </w:pPr>
            <w:r w:rsidRPr="00F22A05">
              <w:rPr>
                <w:sz w:val="22"/>
                <w:szCs w:val="22"/>
                <w:u w:val="single"/>
              </w:rPr>
              <w:t>8-9</w:t>
            </w:r>
          </w:p>
        </w:tc>
        <w:tc>
          <w:tcPr>
            <w:tcW w:w="1170" w:type="dxa"/>
            <w:vAlign w:val="bottom"/>
          </w:tcPr>
          <w:p w14:paraId="47418F37" w14:textId="57A11DD6" w:rsidR="00421CE3" w:rsidRPr="00F22A05" w:rsidRDefault="00421CE3" w:rsidP="00421CE3">
            <w:pPr>
              <w:jc w:val="center"/>
              <w:rPr>
                <w:u w:val="single"/>
              </w:rPr>
            </w:pPr>
            <w:r w:rsidRPr="00F22A05">
              <w:rPr>
                <w:u w:val="single"/>
              </w:rPr>
              <w:t>0.080</w:t>
            </w:r>
          </w:p>
        </w:tc>
        <w:tc>
          <w:tcPr>
            <w:tcW w:w="1350" w:type="dxa"/>
            <w:vAlign w:val="bottom"/>
          </w:tcPr>
          <w:p w14:paraId="39201AA1" w14:textId="0A7E2FF0" w:rsidR="00421CE3" w:rsidRPr="00F22A05" w:rsidRDefault="00421CE3" w:rsidP="00421CE3">
            <w:pPr>
              <w:jc w:val="center"/>
              <w:rPr>
                <w:sz w:val="22"/>
                <w:szCs w:val="22"/>
                <w:u w:val="single"/>
              </w:rPr>
            </w:pPr>
            <w:r w:rsidRPr="00F22A05">
              <w:rPr>
                <w:u w:val="single"/>
              </w:rPr>
              <w:t>0.027</w:t>
            </w:r>
          </w:p>
        </w:tc>
        <w:tc>
          <w:tcPr>
            <w:tcW w:w="1080" w:type="dxa"/>
            <w:vAlign w:val="bottom"/>
          </w:tcPr>
          <w:p w14:paraId="1FAA70AD" w14:textId="2EBB9311" w:rsidR="00421CE3" w:rsidRPr="00F22A05" w:rsidRDefault="00421CE3" w:rsidP="00421CE3">
            <w:pPr>
              <w:jc w:val="center"/>
              <w:rPr>
                <w:u w:val="single"/>
              </w:rPr>
            </w:pPr>
            <w:r w:rsidRPr="00F22A05">
              <w:rPr>
                <w:u w:val="single"/>
              </w:rPr>
              <w:t>0.037</w:t>
            </w:r>
          </w:p>
        </w:tc>
        <w:tc>
          <w:tcPr>
            <w:tcW w:w="990" w:type="dxa"/>
            <w:vAlign w:val="bottom"/>
          </w:tcPr>
          <w:p w14:paraId="65C49ED8" w14:textId="6D05B124" w:rsidR="00421CE3" w:rsidRPr="00F22A05" w:rsidRDefault="00421CE3" w:rsidP="00421CE3">
            <w:pPr>
              <w:jc w:val="center"/>
              <w:rPr>
                <w:u w:val="single"/>
              </w:rPr>
            </w:pPr>
            <w:r w:rsidRPr="00F22A05">
              <w:rPr>
                <w:u w:val="single"/>
              </w:rPr>
              <w:t>0.024</w:t>
            </w:r>
          </w:p>
        </w:tc>
        <w:tc>
          <w:tcPr>
            <w:tcW w:w="1620" w:type="dxa"/>
            <w:vAlign w:val="bottom"/>
          </w:tcPr>
          <w:p w14:paraId="3066FE88" w14:textId="346AADD9" w:rsidR="00421CE3" w:rsidRPr="00F22A05" w:rsidRDefault="00421CE3" w:rsidP="00421CE3">
            <w:pPr>
              <w:jc w:val="center"/>
              <w:rPr>
                <w:u w:val="single"/>
              </w:rPr>
            </w:pPr>
            <w:r w:rsidRPr="00F22A05">
              <w:rPr>
                <w:u w:val="single"/>
              </w:rPr>
              <w:t>0.080</w:t>
            </w:r>
          </w:p>
        </w:tc>
        <w:tc>
          <w:tcPr>
            <w:tcW w:w="1800" w:type="dxa"/>
            <w:vAlign w:val="bottom"/>
          </w:tcPr>
          <w:p w14:paraId="59CE9EC0" w14:textId="7CEF7326" w:rsidR="00421CE3" w:rsidRPr="00F22A05" w:rsidRDefault="00421CE3" w:rsidP="00421CE3">
            <w:pPr>
              <w:jc w:val="center"/>
              <w:rPr>
                <w:u w:val="single"/>
              </w:rPr>
            </w:pPr>
            <w:r w:rsidRPr="00F22A05">
              <w:rPr>
                <w:u w:val="single"/>
              </w:rPr>
              <w:t>0.009</w:t>
            </w:r>
          </w:p>
        </w:tc>
      </w:tr>
      <w:tr w:rsidR="00F22A05" w:rsidRPr="00F22A05" w14:paraId="32603931" w14:textId="372F5D62" w:rsidTr="00DB2B80">
        <w:trPr>
          <w:tblHeader/>
          <w:jc w:val="center"/>
        </w:trPr>
        <w:tc>
          <w:tcPr>
            <w:tcW w:w="1075" w:type="dxa"/>
          </w:tcPr>
          <w:p w14:paraId="773D9C7B" w14:textId="77777777" w:rsidR="00421CE3" w:rsidRPr="00F22A05" w:rsidRDefault="00421CE3" w:rsidP="00421CE3">
            <w:pPr>
              <w:rPr>
                <w:u w:val="single"/>
              </w:rPr>
            </w:pPr>
            <w:r w:rsidRPr="00F22A05">
              <w:rPr>
                <w:sz w:val="22"/>
                <w:szCs w:val="22"/>
                <w:u w:val="single"/>
              </w:rPr>
              <w:t>9-10</w:t>
            </w:r>
          </w:p>
        </w:tc>
        <w:tc>
          <w:tcPr>
            <w:tcW w:w="1170" w:type="dxa"/>
            <w:vAlign w:val="bottom"/>
          </w:tcPr>
          <w:p w14:paraId="11A92501" w14:textId="036899D7" w:rsidR="00421CE3" w:rsidRPr="00F22A05" w:rsidRDefault="00421CE3" w:rsidP="00421CE3">
            <w:pPr>
              <w:jc w:val="center"/>
              <w:rPr>
                <w:u w:val="single"/>
              </w:rPr>
            </w:pPr>
            <w:r w:rsidRPr="00F22A05">
              <w:rPr>
                <w:u w:val="single"/>
              </w:rPr>
              <w:t>0.067</w:t>
            </w:r>
          </w:p>
        </w:tc>
        <w:tc>
          <w:tcPr>
            <w:tcW w:w="1350" w:type="dxa"/>
            <w:vAlign w:val="bottom"/>
          </w:tcPr>
          <w:p w14:paraId="20FD56D4" w14:textId="34E1297B" w:rsidR="00421CE3" w:rsidRPr="00F22A05" w:rsidRDefault="00421CE3" w:rsidP="00421CE3">
            <w:pPr>
              <w:jc w:val="center"/>
              <w:rPr>
                <w:sz w:val="22"/>
                <w:szCs w:val="22"/>
                <w:u w:val="single"/>
              </w:rPr>
            </w:pPr>
            <w:r w:rsidRPr="00F22A05">
              <w:rPr>
                <w:u w:val="single"/>
              </w:rPr>
              <w:t>0.014</w:t>
            </w:r>
          </w:p>
        </w:tc>
        <w:tc>
          <w:tcPr>
            <w:tcW w:w="1080" w:type="dxa"/>
            <w:vAlign w:val="bottom"/>
          </w:tcPr>
          <w:p w14:paraId="31F8D716" w14:textId="6E25C2EA" w:rsidR="00421CE3" w:rsidRPr="00F22A05" w:rsidRDefault="00421CE3" w:rsidP="00421CE3">
            <w:pPr>
              <w:jc w:val="center"/>
              <w:rPr>
                <w:u w:val="single"/>
              </w:rPr>
            </w:pPr>
            <w:r w:rsidRPr="00F22A05">
              <w:rPr>
                <w:u w:val="single"/>
              </w:rPr>
              <w:t>0.037</w:t>
            </w:r>
          </w:p>
        </w:tc>
        <w:tc>
          <w:tcPr>
            <w:tcW w:w="990" w:type="dxa"/>
            <w:vAlign w:val="bottom"/>
          </w:tcPr>
          <w:p w14:paraId="0E9D1F71" w14:textId="39B37927" w:rsidR="00421CE3" w:rsidRPr="00F22A05" w:rsidRDefault="00421CE3" w:rsidP="00421CE3">
            <w:pPr>
              <w:jc w:val="center"/>
              <w:rPr>
                <w:u w:val="single"/>
              </w:rPr>
            </w:pPr>
            <w:r w:rsidRPr="00F22A05">
              <w:rPr>
                <w:u w:val="single"/>
              </w:rPr>
              <w:t>0.024</w:t>
            </w:r>
          </w:p>
        </w:tc>
        <w:tc>
          <w:tcPr>
            <w:tcW w:w="1620" w:type="dxa"/>
            <w:vAlign w:val="bottom"/>
          </w:tcPr>
          <w:p w14:paraId="4038F0BA" w14:textId="7B9C1F04" w:rsidR="00421CE3" w:rsidRPr="00F22A05" w:rsidRDefault="00421CE3" w:rsidP="00421CE3">
            <w:pPr>
              <w:jc w:val="center"/>
              <w:rPr>
                <w:u w:val="single"/>
              </w:rPr>
            </w:pPr>
            <w:r w:rsidRPr="00F22A05">
              <w:rPr>
                <w:u w:val="single"/>
              </w:rPr>
              <w:t>0.067</w:t>
            </w:r>
          </w:p>
        </w:tc>
        <w:tc>
          <w:tcPr>
            <w:tcW w:w="1800" w:type="dxa"/>
            <w:vAlign w:val="bottom"/>
          </w:tcPr>
          <w:p w14:paraId="2F1E561D" w14:textId="09216827" w:rsidR="00421CE3" w:rsidRPr="00F22A05" w:rsidRDefault="00421CE3" w:rsidP="00421CE3">
            <w:pPr>
              <w:jc w:val="center"/>
              <w:rPr>
                <w:u w:val="single"/>
              </w:rPr>
            </w:pPr>
            <w:r w:rsidRPr="00F22A05">
              <w:rPr>
                <w:u w:val="single"/>
              </w:rPr>
              <w:t>0.020</w:t>
            </w:r>
          </w:p>
        </w:tc>
      </w:tr>
      <w:tr w:rsidR="00F22A05" w:rsidRPr="00F22A05" w14:paraId="7D1BBDBC" w14:textId="52EB79BE" w:rsidTr="00DB2B80">
        <w:trPr>
          <w:tblHeader/>
          <w:jc w:val="center"/>
        </w:trPr>
        <w:tc>
          <w:tcPr>
            <w:tcW w:w="1075" w:type="dxa"/>
          </w:tcPr>
          <w:p w14:paraId="307ECA3E" w14:textId="77777777" w:rsidR="00421CE3" w:rsidRPr="00F22A05" w:rsidRDefault="00421CE3" w:rsidP="00421CE3">
            <w:pPr>
              <w:rPr>
                <w:u w:val="single"/>
              </w:rPr>
            </w:pPr>
            <w:r w:rsidRPr="00F22A05">
              <w:rPr>
                <w:sz w:val="22"/>
                <w:szCs w:val="22"/>
                <w:u w:val="single"/>
              </w:rPr>
              <w:t>10-11</w:t>
            </w:r>
          </w:p>
        </w:tc>
        <w:tc>
          <w:tcPr>
            <w:tcW w:w="1170" w:type="dxa"/>
            <w:vAlign w:val="bottom"/>
          </w:tcPr>
          <w:p w14:paraId="0B218445" w14:textId="4C99C85D" w:rsidR="00421CE3" w:rsidRPr="00F22A05" w:rsidRDefault="00421CE3" w:rsidP="00421CE3">
            <w:pPr>
              <w:jc w:val="center"/>
              <w:rPr>
                <w:u w:val="single"/>
              </w:rPr>
            </w:pPr>
            <w:r w:rsidRPr="00F22A05">
              <w:rPr>
                <w:u w:val="single"/>
              </w:rPr>
              <w:t>0.056</w:t>
            </w:r>
          </w:p>
        </w:tc>
        <w:tc>
          <w:tcPr>
            <w:tcW w:w="1350" w:type="dxa"/>
            <w:vAlign w:val="bottom"/>
          </w:tcPr>
          <w:p w14:paraId="1FDBF315" w14:textId="53D99043" w:rsidR="00421CE3" w:rsidRPr="00F22A05" w:rsidRDefault="00421CE3" w:rsidP="00421CE3">
            <w:pPr>
              <w:jc w:val="center"/>
              <w:rPr>
                <w:sz w:val="22"/>
                <w:szCs w:val="22"/>
                <w:u w:val="single"/>
              </w:rPr>
            </w:pPr>
            <w:r w:rsidRPr="00F22A05">
              <w:rPr>
                <w:u w:val="single"/>
              </w:rPr>
              <w:t>0.014</w:t>
            </w:r>
          </w:p>
        </w:tc>
        <w:tc>
          <w:tcPr>
            <w:tcW w:w="1080" w:type="dxa"/>
            <w:vAlign w:val="bottom"/>
          </w:tcPr>
          <w:p w14:paraId="54091FF4" w14:textId="3CC9211C" w:rsidR="00421CE3" w:rsidRPr="00F22A05" w:rsidRDefault="00421CE3" w:rsidP="00421CE3">
            <w:pPr>
              <w:jc w:val="center"/>
              <w:rPr>
                <w:u w:val="single"/>
              </w:rPr>
            </w:pPr>
            <w:r w:rsidRPr="00F22A05">
              <w:rPr>
                <w:u w:val="single"/>
              </w:rPr>
              <w:t>0.034</w:t>
            </w:r>
          </w:p>
        </w:tc>
        <w:tc>
          <w:tcPr>
            <w:tcW w:w="990" w:type="dxa"/>
            <w:vAlign w:val="bottom"/>
          </w:tcPr>
          <w:p w14:paraId="27737420" w14:textId="0B07F8AE" w:rsidR="00421CE3" w:rsidRPr="00F22A05" w:rsidRDefault="00421CE3" w:rsidP="00421CE3">
            <w:pPr>
              <w:jc w:val="center"/>
              <w:rPr>
                <w:u w:val="single"/>
              </w:rPr>
            </w:pPr>
            <w:r w:rsidRPr="00F22A05">
              <w:rPr>
                <w:u w:val="single"/>
              </w:rPr>
              <w:t>0.024</w:t>
            </w:r>
          </w:p>
        </w:tc>
        <w:tc>
          <w:tcPr>
            <w:tcW w:w="1620" w:type="dxa"/>
            <w:vAlign w:val="bottom"/>
          </w:tcPr>
          <w:p w14:paraId="6143DD23" w14:textId="2F5EDDB5" w:rsidR="00421CE3" w:rsidRPr="00F22A05" w:rsidRDefault="00421CE3" w:rsidP="00421CE3">
            <w:pPr>
              <w:jc w:val="center"/>
              <w:rPr>
                <w:u w:val="single"/>
              </w:rPr>
            </w:pPr>
            <w:r w:rsidRPr="00F22A05">
              <w:rPr>
                <w:u w:val="single"/>
              </w:rPr>
              <w:t>0.056</w:t>
            </w:r>
          </w:p>
        </w:tc>
        <w:tc>
          <w:tcPr>
            <w:tcW w:w="1800" w:type="dxa"/>
            <w:vAlign w:val="bottom"/>
          </w:tcPr>
          <w:p w14:paraId="2EAA4D09" w14:textId="61A550A5" w:rsidR="00421CE3" w:rsidRPr="00F22A05" w:rsidRDefault="00421CE3" w:rsidP="00421CE3">
            <w:pPr>
              <w:jc w:val="center"/>
              <w:rPr>
                <w:u w:val="single"/>
              </w:rPr>
            </w:pPr>
            <w:r w:rsidRPr="00F22A05">
              <w:rPr>
                <w:u w:val="single"/>
              </w:rPr>
              <w:t>0.030</w:t>
            </w:r>
          </w:p>
        </w:tc>
      </w:tr>
      <w:tr w:rsidR="00F22A05" w:rsidRPr="00F22A05" w14:paraId="09F6EADB" w14:textId="425DE8E8" w:rsidTr="00DB2B80">
        <w:trPr>
          <w:tblHeader/>
          <w:jc w:val="center"/>
        </w:trPr>
        <w:tc>
          <w:tcPr>
            <w:tcW w:w="1075" w:type="dxa"/>
          </w:tcPr>
          <w:p w14:paraId="2C4ADD4B" w14:textId="77777777" w:rsidR="00421CE3" w:rsidRPr="00F22A05" w:rsidRDefault="00421CE3" w:rsidP="00421CE3">
            <w:pPr>
              <w:rPr>
                <w:u w:val="single"/>
              </w:rPr>
            </w:pPr>
            <w:r w:rsidRPr="00F22A05">
              <w:rPr>
                <w:sz w:val="22"/>
                <w:szCs w:val="22"/>
                <w:u w:val="single"/>
              </w:rPr>
              <w:t>11-12</w:t>
            </w:r>
          </w:p>
        </w:tc>
        <w:tc>
          <w:tcPr>
            <w:tcW w:w="1170" w:type="dxa"/>
            <w:vAlign w:val="bottom"/>
          </w:tcPr>
          <w:p w14:paraId="4F1853CC" w14:textId="4E11AB10" w:rsidR="00421CE3" w:rsidRPr="00F22A05" w:rsidRDefault="00421CE3" w:rsidP="00421CE3">
            <w:pPr>
              <w:jc w:val="center"/>
              <w:rPr>
                <w:u w:val="single"/>
              </w:rPr>
            </w:pPr>
            <w:r w:rsidRPr="00F22A05">
              <w:rPr>
                <w:u w:val="single"/>
              </w:rPr>
              <w:t>0.047</w:t>
            </w:r>
          </w:p>
        </w:tc>
        <w:tc>
          <w:tcPr>
            <w:tcW w:w="1350" w:type="dxa"/>
            <w:vAlign w:val="bottom"/>
          </w:tcPr>
          <w:p w14:paraId="735392DF" w14:textId="226C78B5" w:rsidR="00421CE3" w:rsidRPr="00F22A05" w:rsidRDefault="00421CE3" w:rsidP="00421CE3">
            <w:pPr>
              <w:jc w:val="center"/>
              <w:rPr>
                <w:sz w:val="22"/>
                <w:szCs w:val="22"/>
                <w:u w:val="single"/>
              </w:rPr>
            </w:pPr>
            <w:r w:rsidRPr="00F22A05">
              <w:rPr>
                <w:u w:val="single"/>
              </w:rPr>
              <w:t>0.014</w:t>
            </w:r>
          </w:p>
        </w:tc>
        <w:tc>
          <w:tcPr>
            <w:tcW w:w="1080" w:type="dxa"/>
            <w:vAlign w:val="bottom"/>
          </w:tcPr>
          <w:p w14:paraId="68366614" w14:textId="09D1B7DF" w:rsidR="00421CE3" w:rsidRPr="00F22A05" w:rsidRDefault="00421CE3" w:rsidP="00421CE3">
            <w:pPr>
              <w:jc w:val="center"/>
              <w:rPr>
                <w:u w:val="single"/>
              </w:rPr>
            </w:pPr>
            <w:r w:rsidRPr="00F22A05">
              <w:rPr>
                <w:u w:val="single"/>
              </w:rPr>
              <w:t>0.035</w:t>
            </w:r>
          </w:p>
        </w:tc>
        <w:tc>
          <w:tcPr>
            <w:tcW w:w="990" w:type="dxa"/>
            <w:vAlign w:val="bottom"/>
          </w:tcPr>
          <w:p w14:paraId="584D3D8F" w14:textId="4D87966A" w:rsidR="00421CE3" w:rsidRPr="00F22A05" w:rsidRDefault="00421CE3" w:rsidP="00421CE3">
            <w:pPr>
              <w:jc w:val="center"/>
              <w:rPr>
                <w:u w:val="single"/>
              </w:rPr>
            </w:pPr>
            <w:r w:rsidRPr="00F22A05">
              <w:rPr>
                <w:u w:val="single"/>
              </w:rPr>
              <w:t>0.024</w:t>
            </w:r>
          </w:p>
        </w:tc>
        <w:tc>
          <w:tcPr>
            <w:tcW w:w="1620" w:type="dxa"/>
            <w:vAlign w:val="bottom"/>
          </w:tcPr>
          <w:p w14:paraId="4E461386" w14:textId="656C28F7" w:rsidR="00421CE3" w:rsidRPr="00F22A05" w:rsidRDefault="00421CE3" w:rsidP="00421CE3">
            <w:pPr>
              <w:jc w:val="center"/>
              <w:rPr>
                <w:u w:val="single"/>
              </w:rPr>
            </w:pPr>
            <w:r w:rsidRPr="00F22A05">
              <w:rPr>
                <w:u w:val="single"/>
              </w:rPr>
              <w:t>0.047</w:t>
            </w:r>
          </w:p>
        </w:tc>
        <w:tc>
          <w:tcPr>
            <w:tcW w:w="1800" w:type="dxa"/>
            <w:vAlign w:val="bottom"/>
          </w:tcPr>
          <w:p w14:paraId="27BCF196" w14:textId="1E13B7CA" w:rsidR="00421CE3" w:rsidRPr="00F22A05" w:rsidRDefault="00421CE3" w:rsidP="00421CE3">
            <w:pPr>
              <w:jc w:val="center"/>
              <w:rPr>
                <w:u w:val="single"/>
              </w:rPr>
            </w:pPr>
            <w:r w:rsidRPr="00F22A05">
              <w:rPr>
                <w:u w:val="single"/>
              </w:rPr>
              <w:t>0.037</w:t>
            </w:r>
          </w:p>
        </w:tc>
      </w:tr>
      <w:tr w:rsidR="00F22A05" w:rsidRPr="00F22A05" w14:paraId="7C008E10" w14:textId="48CEE13B" w:rsidTr="00DB2B80">
        <w:trPr>
          <w:tblHeader/>
          <w:jc w:val="center"/>
        </w:trPr>
        <w:tc>
          <w:tcPr>
            <w:tcW w:w="1075" w:type="dxa"/>
          </w:tcPr>
          <w:p w14:paraId="609C8203" w14:textId="77777777" w:rsidR="00421CE3" w:rsidRPr="00F22A05" w:rsidRDefault="00421CE3" w:rsidP="00421CE3">
            <w:pPr>
              <w:rPr>
                <w:u w:val="single"/>
              </w:rPr>
            </w:pPr>
            <w:r w:rsidRPr="00F22A05">
              <w:rPr>
                <w:sz w:val="22"/>
                <w:szCs w:val="22"/>
                <w:u w:val="single"/>
              </w:rPr>
              <w:t>12-13</w:t>
            </w:r>
          </w:p>
        </w:tc>
        <w:tc>
          <w:tcPr>
            <w:tcW w:w="1170" w:type="dxa"/>
            <w:vAlign w:val="bottom"/>
          </w:tcPr>
          <w:p w14:paraId="6F349E9B" w14:textId="1D996381" w:rsidR="00421CE3" w:rsidRPr="00F22A05" w:rsidRDefault="00421CE3" w:rsidP="00421CE3">
            <w:pPr>
              <w:jc w:val="center"/>
              <w:rPr>
                <w:u w:val="single"/>
              </w:rPr>
            </w:pPr>
            <w:r w:rsidRPr="00F22A05">
              <w:rPr>
                <w:u w:val="single"/>
              </w:rPr>
              <w:t>0.040</w:t>
            </w:r>
          </w:p>
        </w:tc>
        <w:tc>
          <w:tcPr>
            <w:tcW w:w="1350" w:type="dxa"/>
            <w:vAlign w:val="bottom"/>
          </w:tcPr>
          <w:p w14:paraId="50B58144" w14:textId="11276A9F" w:rsidR="00421CE3" w:rsidRPr="00F22A05" w:rsidRDefault="00421CE3" w:rsidP="00421CE3">
            <w:pPr>
              <w:jc w:val="center"/>
              <w:rPr>
                <w:sz w:val="22"/>
                <w:szCs w:val="22"/>
                <w:u w:val="single"/>
              </w:rPr>
            </w:pPr>
            <w:r w:rsidRPr="00F22A05">
              <w:rPr>
                <w:u w:val="single"/>
              </w:rPr>
              <w:t>0.014</w:t>
            </w:r>
          </w:p>
        </w:tc>
        <w:tc>
          <w:tcPr>
            <w:tcW w:w="1080" w:type="dxa"/>
            <w:vAlign w:val="bottom"/>
          </w:tcPr>
          <w:p w14:paraId="5E2CE957" w14:textId="0E64CF20" w:rsidR="00421CE3" w:rsidRPr="00F22A05" w:rsidRDefault="00421CE3" w:rsidP="00421CE3">
            <w:pPr>
              <w:jc w:val="center"/>
              <w:rPr>
                <w:u w:val="single"/>
              </w:rPr>
            </w:pPr>
            <w:r w:rsidRPr="00F22A05">
              <w:rPr>
                <w:u w:val="single"/>
              </w:rPr>
              <w:t>0.035</w:t>
            </w:r>
          </w:p>
        </w:tc>
        <w:tc>
          <w:tcPr>
            <w:tcW w:w="990" w:type="dxa"/>
            <w:vAlign w:val="bottom"/>
          </w:tcPr>
          <w:p w14:paraId="6BA70C8A" w14:textId="4C6AA5D0" w:rsidR="00421CE3" w:rsidRPr="00F22A05" w:rsidRDefault="00421CE3" w:rsidP="00421CE3">
            <w:pPr>
              <w:jc w:val="center"/>
              <w:rPr>
                <w:u w:val="single"/>
              </w:rPr>
            </w:pPr>
            <w:r w:rsidRPr="00F22A05">
              <w:rPr>
                <w:u w:val="single"/>
              </w:rPr>
              <w:t>0.024</w:t>
            </w:r>
          </w:p>
        </w:tc>
        <w:tc>
          <w:tcPr>
            <w:tcW w:w="1620" w:type="dxa"/>
            <w:vAlign w:val="bottom"/>
          </w:tcPr>
          <w:p w14:paraId="1E232AFF" w14:textId="016C7F20" w:rsidR="00421CE3" w:rsidRPr="00F22A05" w:rsidRDefault="00421CE3" w:rsidP="00421CE3">
            <w:pPr>
              <w:jc w:val="center"/>
              <w:rPr>
                <w:u w:val="single"/>
              </w:rPr>
            </w:pPr>
            <w:r w:rsidRPr="00F22A05">
              <w:rPr>
                <w:u w:val="single"/>
              </w:rPr>
              <w:t>0.040</w:t>
            </w:r>
          </w:p>
        </w:tc>
        <w:tc>
          <w:tcPr>
            <w:tcW w:w="1800" w:type="dxa"/>
            <w:vAlign w:val="bottom"/>
          </w:tcPr>
          <w:p w14:paraId="43A35E76" w14:textId="757E7ECC" w:rsidR="00421CE3" w:rsidRPr="00F22A05" w:rsidRDefault="00421CE3" w:rsidP="00421CE3">
            <w:pPr>
              <w:jc w:val="center"/>
              <w:rPr>
                <w:u w:val="single"/>
              </w:rPr>
            </w:pPr>
            <w:r w:rsidRPr="00F22A05">
              <w:rPr>
                <w:u w:val="single"/>
              </w:rPr>
              <w:t>0.043</w:t>
            </w:r>
          </w:p>
        </w:tc>
      </w:tr>
      <w:tr w:rsidR="00F22A05" w:rsidRPr="00F22A05" w14:paraId="76CBE8CD" w14:textId="4A50F855" w:rsidTr="00DB2B80">
        <w:trPr>
          <w:tblHeader/>
          <w:jc w:val="center"/>
        </w:trPr>
        <w:tc>
          <w:tcPr>
            <w:tcW w:w="1075" w:type="dxa"/>
          </w:tcPr>
          <w:p w14:paraId="3C56E563" w14:textId="77777777" w:rsidR="00421CE3" w:rsidRPr="00F22A05" w:rsidRDefault="00421CE3" w:rsidP="00421CE3">
            <w:pPr>
              <w:rPr>
                <w:u w:val="single"/>
              </w:rPr>
            </w:pPr>
            <w:r w:rsidRPr="00F22A05">
              <w:rPr>
                <w:sz w:val="22"/>
                <w:szCs w:val="22"/>
                <w:u w:val="single"/>
              </w:rPr>
              <w:t>13-14</w:t>
            </w:r>
          </w:p>
        </w:tc>
        <w:tc>
          <w:tcPr>
            <w:tcW w:w="1170" w:type="dxa"/>
            <w:vAlign w:val="bottom"/>
          </w:tcPr>
          <w:p w14:paraId="6CAADE41" w14:textId="5961BF38" w:rsidR="00421CE3" w:rsidRPr="00F22A05" w:rsidRDefault="00421CE3" w:rsidP="00421CE3">
            <w:pPr>
              <w:jc w:val="center"/>
              <w:rPr>
                <w:u w:val="single"/>
              </w:rPr>
            </w:pPr>
            <w:r w:rsidRPr="00F22A05">
              <w:rPr>
                <w:u w:val="single"/>
              </w:rPr>
              <w:t>0.035</w:t>
            </w:r>
          </w:p>
        </w:tc>
        <w:tc>
          <w:tcPr>
            <w:tcW w:w="1350" w:type="dxa"/>
            <w:vAlign w:val="bottom"/>
          </w:tcPr>
          <w:p w14:paraId="721D54E7" w14:textId="724E3368" w:rsidR="00421CE3" w:rsidRPr="00F22A05" w:rsidRDefault="00421CE3" w:rsidP="00421CE3">
            <w:pPr>
              <w:jc w:val="center"/>
              <w:rPr>
                <w:sz w:val="22"/>
                <w:szCs w:val="22"/>
                <w:u w:val="single"/>
              </w:rPr>
            </w:pPr>
            <w:r w:rsidRPr="00F22A05">
              <w:rPr>
                <w:u w:val="single"/>
              </w:rPr>
              <w:t>0.014</w:t>
            </w:r>
          </w:p>
        </w:tc>
        <w:tc>
          <w:tcPr>
            <w:tcW w:w="1080" w:type="dxa"/>
            <w:vAlign w:val="bottom"/>
          </w:tcPr>
          <w:p w14:paraId="6A4F1455" w14:textId="392A739B" w:rsidR="00421CE3" w:rsidRPr="00F22A05" w:rsidRDefault="00421CE3" w:rsidP="00421CE3">
            <w:pPr>
              <w:jc w:val="center"/>
              <w:rPr>
                <w:u w:val="single"/>
              </w:rPr>
            </w:pPr>
            <w:r w:rsidRPr="00F22A05">
              <w:rPr>
                <w:u w:val="single"/>
              </w:rPr>
              <w:t>0.035</w:t>
            </w:r>
          </w:p>
        </w:tc>
        <w:tc>
          <w:tcPr>
            <w:tcW w:w="990" w:type="dxa"/>
            <w:vAlign w:val="bottom"/>
          </w:tcPr>
          <w:p w14:paraId="1A4146C4" w14:textId="2CA1C7E4" w:rsidR="00421CE3" w:rsidRPr="00F22A05" w:rsidRDefault="00421CE3" w:rsidP="00421CE3">
            <w:pPr>
              <w:jc w:val="center"/>
              <w:rPr>
                <w:u w:val="single"/>
              </w:rPr>
            </w:pPr>
            <w:r w:rsidRPr="00F22A05">
              <w:rPr>
                <w:u w:val="single"/>
              </w:rPr>
              <w:t>0.024</w:t>
            </w:r>
          </w:p>
        </w:tc>
        <w:tc>
          <w:tcPr>
            <w:tcW w:w="1620" w:type="dxa"/>
            <w:vAlign w:val="bottom"/>
          </w:tcPr>
          <w:p w14:paraId="032F1FD7" w14:textId="3A55979D" w:rsidR="00421CE3" w:rsidRPr="00F22A05" w:rsidRDefault="00421CE3" w:rsidP="00421CE3">
            <w:pPr>
              <w:jc w:val="center"/>
              <w:rPr>
                <w:u w:val="single"/>
              </w:rPr>
            </w:pPr>
            <w:r w:rsidRPr="00F22A05">
              <w:rPr>
                <w:u w:val="single"/>
              </w:rPr>
              <w:t>0.035</w:t>
            </w:r>
          </w:p>
        </w:tc>
        <w:tc>
          <w:tcPr>
            <w:tcW w:w="1800" w:type="dxa"/>
            <w:vAlign w:val="bottom"/>
          </w:tcPr>
          <w:p w14:paraId="1F53BCBB" w14:textId="10D33DB7" w:rsidR="00421CE3" w:rsidRPr="00F22A05" w:rsidRDefault="00421CE3" w:rsidP="00421CE3">
            <w:pPr>
              <w:jc w:val="center"/>
              <w:rPr>
                <w:u w:val="single"/>
              </w:rPr>
            </w:pPr>
            <w:r w:rsidRPr="00F22A05">
              <w:rPr>
                <w:u w:val="single"/>
              </w:rPr>
              <w:t>0.047</w:t>
            </w:r>
          </w:p>
        </w:tc>
      </w:tr>
      <w:tr w:rsidR="00F22A05" w:rsidRPr="00F22A05" w14:paraId="1F76542B" w14:textId="5DB5FB1C" w:rsidTr="00DB2B80">
        <w:trPr>
          <w:tblHeader/>
          <w:jc w:val="center"/>
        </w:trPr>
        <w:tc>
          <w:tcPr>
            <w:tcW w:w="1075" w:type="dxa"/>
          </w:tcPr>
          <w:p w14:paraId="07AEFE35" w14:textId="77777777" w:rsidR="00421CE3" w:rsidRPr="00F22A05" w:rsidRDefault="00421CE3" w:rsidP="00421CE3">
            <w:pPr>
              <w:rPr>
                <w:u w:val="single"/>
              </w:rPr>
            </w:pPr>
            <w:r w:rsidRPr="00F22A05">
              <w:rPr>
                <w:sz w:val="22"/>
                <w:szCs w:val="22"/>
                <w:u w:val="single"/>
              </w:rPr>
              <w:t>14-15</w:t>
            </w:r>
          </w:p>
        </w:tc>
        <w:tc>
          <w:tcPr>
            <w:tcW w:w="1170" w:type="dxa"/>
            <w:vAlign w:val="bottom"/>
          </w:tcPr>
          <w:p w14:paraId="5F5AE2EF" w14:textId="6A5E5DCF" w:rsidR="00421CE3" w:rsidRPr="00F22A05" w:rsidRDefault="00421CE3" w:rsidP="00421CE3">
            <w:pPr>
              <w:jc w:val="center"/>
              <w:rPr>
                <w:u w:val="single"/>
              </w:rPr>
            </w:pPr>
            <w:r w:rsidRPr="00F22A05">
              <w:rPr>
                <w:u w:val="single"/>
              </w:rPr>
              <w:t>0.033</w:t>
            </w:r>
          </w:p>
        </w:tc>
        <w:tc>
          <w:tcPr>
            <w:tcW w:w="1350" w:type="dxa"/>
            <w:vAlign w:val="bottom"/>
          </w:tcPr>
          <w:p w14:paraId="3CC0E70E" w14:textId="0FEC4CE5" w:rsidR="00421CE3" w:rsidRPr="00F22A05" w:rsidRDefault="00421CE3" w:rsidP="00421CE3">
            <w:pPr>
              <w:jc w:val="center"/>
              <w:rPr>
                <w:sz w:val="22"/>
                <w:szCs w:val="22"/>
                <w:u w:val="single"/>
              </w:rPr>
            </w:pPr>
            <w:r w:rsidRPr="00F22A05">
              <w:rPr>
                <w:u w:val="single"/>
              </w:rPr>
              <w:t>0.019</w:t>
            </w:r>
          </w:p>
        </w:tc>
        <w:tc>
          <w:tcPr>
            <w:tcW w:w="1080" w:type="dxa"/>
            <w:vAlign w:val="bottom"/>
          </w:tcPr>
          <w:p w14:paraId="4F6CE412" w14:textId="1C996743" w:rsidR="00421CE3" w:rsidRPr="00F22A05" w:rsidRDefault="00421CE3" w:rsidP="00421CE3">
            <w:pPr>
              <w:jc w:val="center"/>
              <w:rPr>
                <w:u w:val="single"/>
              </w:rPr>
            </w:pPr>
            <w:r w:rsidRPr="00F22A05">
              <w:rPr>
                <w:u w:val="single"/>
              </w:rPr>
              <w:t>0.039</w:t>
            </w:r>
          </w:p>
        </w:tc>
        <w:tc>
          <w:tcPr>
            <w:tcW w:w="990" w:type="dxa"/>
            <w:vAlign w:val="bottom"/>
          </w:tcPr>
          <w:p w14:paraId="763C7181" w14:textId="441B4849" w:rsidR="00421CE3" w:rsidRPr="00F22A05" w:rsidRDefault="00421CE3" w:rsidP="00421CE3">
            <w:pPr>
              <w:jc w:val="center"/>
              <w:rPr>
                <w:u w:val="single"/>
              </w:rPr>
            </w:pPr>
            <w:r w:rsidRPr="00F22A05">
              <w:rPr>
                <w:u w:val="single"/>
              </w:rPr>
              <w:t>0.024</w:t>
            </w:r>
          </w:p>
        </w:tc>
        <w:tc>
          <w:tcPr>
            <w:tcW w:w="1620" w:type="dxa"/>
            <w:vAlign w:val="bottom"/>
          </w:tcPr>
          <w:p w14:paraId="53AEF157" w14:textId="00A6233A" w:rsidR="00421CE3" w:rsidRPr="00F22A05" w:rsidRDefault="00421CE3" w:rsidP="00421CE3">
            <w:pPr>
              <w:jc w:val="center"/>
              <w:rPr>
                <w:u w:val="single"/>
              </w:rPr>
            </w:pPr>
            <w:r w:rsidRPr="00F22A05">
              <w:rPr>
                <w:u w:val="single"/>
              </w:rPr>
              <w:t>0.033</w:t>
            </w:r>
          </w:p>
        </w:tc>
        <w:tc>
          <w:tcPr>
            <w:tcW w:w="1800" w:type="dxa"/>
            <w:vAlign w:val="bottom"/>
          </w:tcPr>
          <w:p w14:paraId="296F4CEC" w14:textId="4ECDD47F" w:rsidR="00421CE3" w:rsidRPr="00F22A05" w:rsidRDefault="00421CE3" w:rsidP="00421CE3">
            <w:pPr>
              <w:jc w:val="center"/>
              <w:rPr>
                <w:u w:val="single"/>
              </w:rPr>
            </w:pPr>
            <w:r w:rsidRPr="00F22A05">
              <w:rPr>
                <w:u w:val="single"/>
              </w:rPr>
              <w:t>0.0</w:t>
            </w:r>
            <w:r w:rsidR="00135657" w:rsidRPr="00F22A05">
              <w:rPr>
                <w:u w:val="single"/>
              </w:rPr>
              <w:t>50</w:t>
            </w:r>
            <w:r w:rsidR="00EB316C" w:rsidRPr="00F22A05">
              <w:rPr>
                <w:u w:val="single"/>
              </w:rPr>
              <w:t xml:space="preserve"> </w:t>
            </w:r>
          </w:p>
        </w:tc>
      </w:tr>
      <w:tr w:rsidR="00F22A05" w:rsidRPr="00F22A05" w14:paraId="768BD10D" w14:textId="672B9B1E" w:rsidTr="00DB2B80">
        <w:trPr>
          <w:tblHeader/>
          <w:jc w:val="center"/>
        </w:trPr>
        <w:tc>
          <w:tcPr>
            <w:tcW w:w="1075" w:type="dxa"/>
          </w:tcPr>
          <w:p w14:paraId="1987AFFE" w14:textId="77777777" w:rsidR="00421CE3" w:rsidRPr="00F22A05" w:rsidRDefault="00421CE3" w:rsidP="00421CE3">
            <w:pPr>
              <w:rPr>
                <w:u w:val="single"/>
              </w:rPr>
            </w:pPr>
            <w:r w:rsidRPr="00F22A05">
              <w:rPr>
                <w:sz w:val="22"/>
                <w:szCs w:val="22"/>
                <w:u w:val="single"/>
              </w:rPr>
              <w:t>15-16</w:t>
            </w:r>
          </w:p>
        </w:tc>
        <w:tc>
          <w:tcPr>
            <w:tcW w:w="1170" w:type="dxa"/>
            <w:vAlign w:val="bottom"/>
          </w:tcPr>
          <w:p w14:paraId="057769DC" w14:textId="50BEA00D" w:rsidR="00421CE3" w:rsidRPr="00F22A05" w:rsidRDefault="00421CE3" w:rsidP="00421CE3">
            <w:pPr>
              <w:jc w:val="center"/>
              <w:rPr>
                <w:u w:val="single"/>
              </w:rPr>
            </w:pPr>
            <w:r w:rsidRPr="00F22A05">
              <w:rPr>
                <w:u w:val="single"/>
              </w:rPr>
              <w:t>0.031</w:t>
            </w:r>
          </w:p>
        </w:tc>
        <w:tc>
          <w:tcPr>
            <w:tcW w:w="1350" w:type="dxa"/>
            <w:vAlign w:val="bottom"/>
          </w:tcPr>
          <w:p w14:paraId="5124D471" w14:textId="226E0F4F" w:rsidR="00421CE3" w:rsidRPr="00F22A05" w:rsidRDefault="00421CE3" w:rsidP="00421CE3">
            <w:pPr>
              <w:jc w:val="center"/>
              <w:rPr>
                <w:sz w:val="22"/>
                <w:szCs w:val="22"/>
                <w:u w:val="single"/>
              </w:rPr>
            </w:pPr>
            <w:r w:rsidRPr="00F22A05">
              <w:rPr>
                <w:u w:val="single"/>
              </w:rPr>
              <w:t>0.027</w:t>
            </w:r>
          </w:p>
        </w:tc>
        <w:tc>
          <w:tcPr>
            <w:tcW w:w="1080" w:type="dxa"/>
            <w:vAlign w:val="bottom"/>
          </w:tcPr>
          <w:p w14:paraId="0CF6E3BF" w14:textId="12441588" w:rsidR="00421CE3" w:rsidRPr="00F22A05" w:rsidRDefault="00421CE3" w:rsidP="00421CE3">
            <w:pPr>
              <w:jc w:val="center"/>
              <w:rPr>
                <w:u w:val="single"/>
              </w:rPr>
            </w:pPr>
            <w:r w:rsidRPr="00F22A05">
              <w:rPr>
                <w:u w:val="single"/>
              </w:rPr>
              <w:t>0.043</w:t>
            </w:r>
          </w:p>
        </w:tc>
        <w:tc>
          <w:tcPr>
            <w:tcW w:w="990" w:type="dxa"/>
            <w:vAlign w:val="bottom"/>
          </w:tcPr>
          <w:p w14:paraId="4BA06659" w14:textId="58FAB954" w:rsidR="00421CE3" w:rsidRPr="00F22A05" w:rsidRDefault="00421CE3" w:rsidP="00421CE3">
            <w:pPr>
              <w:jc w:val="center"/>
              <w:rPr>
                <w:u w:val="single"/>
              </w:rPr>
            </w:pPr>
            <w:r w:rsidRPr="00F22A05">
              <w:rPr>
                <w:u w:val="single"/>
              </w:rPr>
              <w:t>0.024</w:t>
            </w:r>
          </w:p>
        </w:tc>
        <w:tc>
          <w:tcPr>
            <w:tcW w:w="1620" w:type="dxa"/>
            <w:vAlign w:val="bottom"/>
          </w:tcPr>
          <w:p w14:paraId="4F613E3C" w14:textId="00A22810" w:rsidR="00421CE3" w:rsidRPr="00F22A05" w:rsidRDefault="00421CE3" w:rsidP="00421CE3">
            <w:pPr>
              <w:jc w:val="center"/>
              <w:rPr>
                <w:u w:val="single"/>
              </w:rPr>
            </w:pPr>
            <w:r w:rsidRPr="00F22A05">
              <w:rPr>
                <w:u w:val="single"/>
              </w:rPr>
              <w:t>0.031</w:t>
            </w:r>
          </w:p>
        </w:tc>
        <w:tc>
          <w:tcPr>
            <w:tcW w:w="1800" w:type="dxa"/>
            <w:vAlign w:val="bottom"/>
          </w:tcPr>
          <w:p w14:paraId="0EEAC257" w14:textId="1C031C81" w:rsidR="00421CE3" w:rsidRPr="00F22A05" w:rsidRDefault="00421CE3" w:rsidP="00421CE3">
            <w:pPr>
              <w:jc w:val="center"/>
              <w:rPr>
                <w:u w:val="single"/>
              </w:rPr>
            </w:pPr>
            <w:r w:rsidRPr="00F22A05">
              <w:rPr>
                <w:u w:val="single"/>
              </w:rPr>
              <w:t>0.051</w:t>
            </w:r>
          </w:p>
        </w:tc>
      </w:tr>
      <w:tr w:rsidR="00F22A05" w:rsidRPr="00F22A05" w14:paraId="317243EB" w14:textId="23686247" w:rsidTr="00DB2B80">
        <w:trPr>
          <w:tblHeader/>
          <w:jc w:val="center"/>
        </w:trPr>
        <w:tc>
          <w:tcPr>
            <w:tcW w:w="1075" w:type="dxa"/>
          </w:tcPr>
          <w:p w14:paraId="6CDFE88A" w14:textId="77777777" w:rsidR="00421CE3" w:rsidRPr="00F22A05" w:rsidRDefault="00421CE3" w:rsidP="00421CE3">
            <w:pPr>
              <w:rPr>
                <w:u w:val="single"/>
              </w:rPr>
            </w:pPr>
            <w:r w:rsidRPr="00F22A05">
              <w:rPr>
                <w:sz w:val="22"/>
                <w:szCs w:val="22"/>
                <w:u w:val="single"/>
              </w:rPr>
              <w:t>16-17</w:t>
            </w:r>
          </w:p>
        </w:tc>
        <w:tc>
          <w:tcPr>
            <w:tcW w:w="1170" w:type="dxa"/>
            <w:vAlign w:val="bottom"/>
          </w:tcPr>
          <w:p w14:paraId="64E8EA0C" w14:textId="326891BA" w:rsidR="00421CE3" w:rsidRPr="00F22A05" w:rsidRDefault="00421CE3" w:rsidP="00421CE3">
            <w:pPr>
              <w:jc w:val="center"/>
              <w:rPr>
                <w:u w:val="single"/>
              </w:rPr>
            </w:pPr>
            <w:r w:rsidRPr="00F22A05">
              <w:rPr>
                <w:u w:val="single"/>
              </w:rPr>
              <w:t>0.03</w:t>
            </w:r>
            <w:r w:rsidR="00135657" w:rsidRPr="00F22A05">
              <w:rPr>
                <w:u w:val="single"/>
              </w:rPr>
              <w:t>8</w:t>
            </w:r>
          </w:p>
        </w:tc>
        <w:tc>
          <w:tcPr>
            <w:tcW w:w="1350" w:type="dxa"/>
            <w:vAlign w:val="bottom"/>
          </w:tcPr>
          <w:p w14:paraId="5667A833" w14:textId="32576D2E" w:rsidR="00421CE3" w:rsidRPr="00F22A05" w:rsidRDefault="00421CE3" w:rsidP="00421CE3">
            <w:pPr>
              <w:jc w:val="center"/>
              <w:rPr>
                <w:sz w:val="22"/>
                <w:szCs w:val="22"/>
                <w:u w:val="single"/>
              </w:rPr>
            </w:pPr>
            <w:r w:rsidRPr="00F22A05">
              <w:rPr>
                <w:u w:val="single"/>
              </w:rPr>
              <w:t>0.041</w:t>
            </w:r>
          </w:p>
        </w:tc>
        <w:tc>
          <w:tcPr>
            <w:tcW w:w="1080" w:type="dxa"/>
            <w:vAlign w:val="bottom"/>
          </w:tcPr>
          <w:p w14:paraId="61AC7E33" w14:textId="443AF26C" w:rsidR="00421CE3" w:rsidRPr="00F22A05" w:rsidRDefault="00421CE3" w:rsidP="00421CE3">
            <w:pPr>
              <w:jc w:val="center"/>
              <w:rPr>
                <w:u w:val="single"/>
              </w:rPr>
            </w:pPr>
            <w:r w:rsidRPr="00F22A05">
              <w:rPr>
                <w:u w:val="single"/>
              </w:rPr>
              <w:t>0.051</w:t>
            </w:r>
          </w:p>
        </w:tc>
        <w:tc>
          <w:tcPr>
            <w:tcW w:w="990" w:type="dxa"/>
            <w:vAlign w:val="bottom"/>
          </w:tcPr>
          <w:p w14:paraId="63D666B7" w14:textId="2472E969" w:rsidR="00421CE3" w:rsidRPr="00F22A05" w:rsidRDefault="00421CE3" w:rsidP="00421CE3">
            <w:pPr>
              <w:jc w:val="center"/>
              <w:rPr>
                <w:u w:val="single"/>
              </w:rPr>
            </w:pPr>
            <w:r w:rsidRPr="00F22A05">
              <w:rPr>
                <w:u w:val="single"/>
              </w:rPr>
              <w:t>0.024</w:t>
            </w:r>
          </w:p>
        </w:tc>
        <w:tc>
          <w:tcPr>
            <w:tcW w:w="1620" w:type="dxa"/>
            <w:vAlign w:val="bottom"/>
          </w:tcPr>
          <w:p w14:paraId="73471FA7" w14:textId="5195B700" w:rsidR="00421CE3" w:rsidRPr="00F22A05" w:rsidRDefault="00421CE3" w:rsidP="00421CE3">
            <w:pPr>
              <w:jc w:val="center"/>
              <w:rPr>
                <w:u w:val="single"/>
              </w:rPr>
            </w:pPr>
            <w:r w:rsidRPr="00F22A05">
              <w:rPr>
                <w:u w:val="single"/>
              </w:rPr>
              <w:t>0.03</w:t>
            </w:r>
            <w:r w:rsidR="00135657" w:rsidRPr="00F22A05">
              <w:rPr>
                <w:u w:val="single"/>
              </w:rPr>
              <w:t>8</w:t>
            </w:r>
          </w:p>
        </w:tc>
        <w:tc>
          <w:tcPr>
            <w:tcW w:w="1800" w:type="dxa"/>
            <w:vAlign w:val="bottom"/>
          </w:tcPr>
          <w:p w14:paraId="768EF2FD" w14:textId="3E693D2E" w:rsidR="00421CE3" w:rsidRPr="00F22A05" w:rsidRDefault="00421CE3" w:rsidP="00421CE3">
            <w:pPr>
              <w:jc w:val="center"/>
              <w:rPr>
                <w:u w:val="single"/>
              </w:rPr>
            </w:pPr>
            <w:r w:rsidRPr="00F22A05">
              <w:rPr>
                <w:u w:val="single"/>
              </w:rPr>
              <w:t>0.044</w:t>
            </w:r>
          </w:p>
        </w:tc>
      </w:tr>
      <w:tr w:rsidR="00F22A05" w:rsidRPr="00F22A05" w14:paraId="31D8B697" w14:textId="3732EE7C" w:rsidTr="00DB2B80">
        <w:trPr>
          <w:tblHeader/>
          <w:jc w:val="center"/>
        </w:trPr>
        <w:tc>
          <w:tcPr>
            <w:tcW w:w="1075" w:type="dxa"/>
          </w:tcPr>
          <w:p w14:paraId="07A45C9A" w14:textId="77777777" w:rsidR="00421CE3" w:rsidRPr="00F22A05" w:rsidRDefault="00421CE3" w:rsidP="00421CE3">
            <w:pPr>
              <w:rPr>
                <w:u w:val="single"/>
              </w:rPr>
            </w:pPr>
            <w:r w:rsidRPr="00F22A05">
              <w:rPr>
                <w:sz w:val="22"/>
                <w:szCs w:val="22"/>
                <w:u w:val="single"/>
              </w:rPr>
              <w:t>17-18</w:t>
            </w:r>
          </w:p>
        </w:tc>
        <w:tc>
          <w:tcPr>
            <w:tcW w:w="1170" w:type="dxa"/>
            <w:vAlign w:val="bottom"/>
          </w:tcPr>
          <w:p w14:paraId="47812556" w14:textId="7A3C11E5" w:rsidR="00421CE3" w:rsidRPr="00F22A05" w:rsidRDefault="00421CE3" w:rsidP="00421CE3">
            <w:pPr>
              <w:jc w:val="center"/>
              <w:rPr>
                <w:u w:val="single"/>
              </w:rPr>
            </w:pPr>
            <w:r w:rsidRPr="00F22A05">
              <w:rPr>
                <w:u w:val="single"/>
              </w:rPr>
              <w:t>0.051</w:t>
            </w:r>
          </w:p>
        </w:tc>
        <w:tc>
          <w:tcPr>
            <w:tcW w:w="1350" w:type="dxa"/>
            <w:vAlign w:val="bottom"/>
          </w:tcPr>
          <w:p w14:paraId="40822038" w14:textId="7ECCDFAE" w:rsidR="00421CE3" w:rsidRPr="00F22A05" w:rsidRDefault="00421CE3" w:rsidP="00421CE3">
            <w:pPr>
              <w:jc w:val="center"/>
              <w:rPr>
                <w:sz w:val="22"/>
                <w:szCs w:val="22"/>
                <w:u w:val="single"/>
              </w:rPr>
            </w:pPr>
            <w:r w:rsidRPr="00F22A05">
              <w:rPr>
                <w:u w:val="single"/>
              </w:rPr>
              <w:t>0.055</w:t>
            </w:r>
          </w:p>
        </w:tc>
        <w:tc>
          <w:tcPr>
            <w:tcW w:w="1080" w:type="dxa"/>
            <w:vAlign w:val="bottom"/>
          </w:tcPr>
          <w:p w14:paraId="5B1AE53A" w14:textId="763FAB02" w:rsidR="00421CE3" w:rsidRPr="00F22A05" w:rsidRDefault="00421CE3" w:rsidP="00421CE3">
            <w:pPr>
              <w:jc w:val="center"/>
              <w:rPr>
                <w:u w:val="single"/>
              </w:rPr>
            </w:pPr>
            <w:r w:rsidRPr="00F22A05">
              <w:rPr>
                <w:u w:val="single"/>
              </w:rPr>
              <w:t>0.064</w:t>
            </w:r>
          </w:p>
        </w:tc>
        <w:tc>
          <w:tcPr>
            <w:tcW w:w="990" w:type="dxa"/>
            <w:vAlign w:val="bottom"/>
          </w:tcPr>
          <w:p w14:paraId="4E2D0A66" w14:textId="039071DA" w:rsidR="00421CE3" w:rsidRPr="00F22A05" w:rsidRDefault="00421CE3" w:rsidP="00421CE3">
            <w:pPr>
              <w:jc w:val="center"/>
              <w:rPr>
                <w:u w:val="single"/>
              </w:rPr>
            </w:pPr>
            <w:r w:rsidRPr="00F22A05">
              <w:rPr>
                <w:u w:val="single"/>
              </w:rPr>
              <w:t>0.024</w:t>
            </w:r>
          </w:p>
        </w:tc>
        <w:tc>
          <w:tcPr>
            <w:tcW w:w="1620" w:type="dxa"/>
            <w:vAlign w:val="bottom"/>
          </w:tcPr>
          <w:p w14:paraId="5EF4C6ED" w14:textId="3CD5A909" w:rsidR="00421CE3" w:rsidRPr="00F22A05" w:rsidRDefault="00421CE3" w:rsidP="00421CE3">
            <w:pPr>
              <w:jc w:val="center"/>
              <w:rPr>
                <w:u w:val="single"/>
              </w:rPr>
            </w:pPr>
            <w:r w:rsidRPr="00F22A05">
              <w:rPr>
                <w:u w:val="single"/>
              </w:rPr>
              <w:t>0.051</w:t>
            </w:r>
          </w:p>
        </w:tc>
        <w:tc>
          <w:tcPr>
            <w:tcW w:w="1800" w:type="dxa"/>
            <w:vAlign w:val="bottom"/>
          </w:tcPr>
          <w:p w14:paraId="37F3CE69" w14:textId="665CF004" w:rsidR="00421CE3" w:rsidRPr="00F22A05" w:rsidRDefault="00421CE3" w:rsidP="00421CE3">
            <w:pPr>
              <w:jc w:val="center"/>
              <w:rPr>
                <w:u w:val="single"/>
              </w:rPr>
            </w:pPr>
            <w:r w:rsidRPr="00F22A05">
              <w:rPr>
                <w:u w:val="single"/>
              </w:rPr>
              <w:t>0.034</w:t>
            </w:r>
          </w:p>
        </w:tc>
      </w:tr>
      <w:tr w:rsidR="00F22A05" w:rsidRPr="00F22A05" w14:paraId="7A02795A" w14:textId="666D0F34" w:rsidTr="00DB2B80">
        <w:trPr>
          <w:tblHeader/>
          <w:jc w:val="center"/>
        </w:trPr>
        <w:tc>
          <w:tcPr>
            <w:tcW w:w="1075" w:type="dxa"/>
          </w:tcPr>
          <w:p w14:paraId="61E1947F" w14:textId="77777777" w:rsidR="00421CE3" w:rsidRPr="00F22A05" w:rsidRDefault="00421CE3" w:rsidP="00421CE3">
            <w:pPr>
              <w:rPr>
                <w:u w:val="single"/>
              </w:rPr>
            </w:pPr>
            <w:r w:rsidRPr="00F22A05">
              <w:rPr>
                <w:sz w:val="22"/>
                <w:szCs w:val="22"/>
                <w:u w:val="single"/>
              </w:rPr>
              <w:t>18-19</w:t>
            </w:r>
          </w:p>
        </w:tc>
        <w:tc>
          <w:tcPr>
            <w:tcW w:w="1170" w:type="dxa"/>
            <w:vAlign w:val="bottom"/>
          </w:tcPr>
          <w:p w14:paraId="260ABD94" w14:textId="763A6DD7" w:rsidR="00421CE3" w:rsidRPr="00F22A05" w:rsidRDefault="00421CE3" w:rsidP="00421CE3">
            <w:pPr>
              <w:jc w:val="center"/>
              <w:rPr>
                <w:u w:val="single"/>
              </w:rPr>
            </w:pPr>
            <w:r w:rsidRPr="00F22A05">
              <w:rPr>
                <w:u w:val="single"/>
              </w:rPr>
              <w:t>0.060</w:t>
            </w:r>
          </w:p>
        </w:tc>
        <w:tc>
          <w:tcPr>
            <w:tcW w:w="1350" w:type="dxa"/>
            <w:vAlign w:val="bottom"/>
          </w:tcPr>
          <w:p w14:paraId="0517B0C2" w14:textId="7BA444A1" w:rsidR="00421CE3" w:rsidRPr="00F22A05" w:rsidRDefault="00421CE3" w:rsidP="00421CE3">
            <w:pPr>
              <w:jc w:val="center"/>
              <w:rPr>
                <w:sz w:val="22"/>
                <w:szCs w:val="22"/>
                <w:u w:val="single"/>
              </w:rPr>
            </w:pPr>
            <w:r w:rsidRPr="00F22A05">
              <w:rPr>
                <w:u w:val="single"/>
              </w:rPr>
              <w:t>0.068</w:t>
            </w:r>
          </w:p>
        </w:tc>
        <w:tc>
          <w:tcPr>
            <w:tcW w:w="1080" w:type="dxa"/>
            <w:vAlign w:val="bottom"/>
          </w:tcPr>
          <w:p w14:paraId="78E4BBB8" w14:textId="11BF2E66" w:rsidR="00421CE3" w:rsidRPr="00F22A05" w:rsidRDefault="00421CE3" w:rsidP="00421CE3">
            <w:pPr>
              <w:jc w:val="center"/>
              <w:rPr>
                <w:u w:val="single"/>
              </w:rPr>
            </w:pPr>
            <w:r w:rsidRPr="00F22A05">
              <w:rPr>
                <w:u w:val="single"/>
              </w:rPr>
              <w:t>0.065</w:t>
            </w:r>
          </w:p>
        </w:tc>
        <w:tc>
          <w:tcPr>
            <w:tcW w:w="990" w:type="dxa"/>
            <w:vAlign w:val="bottom"/>
          </w:tcPr>
          <w:p w14:paraId="4F3E8F93" w14:textId="6E63A75D" w:rsidR="00421CE3" w:rsidRPr="00F22A05" w:rsidRDefault="00421CE3" w:rsidP="00421CE3">
            <w:pPr>
              <w:jc w:val="center"/>
              <w:rPr>
                <w:u w:val="single"/>
              </w:rPr>
            </w:pPr>
            <w:r w:rsidRPr="00F22A05">
              <w:rPr>
                <w:u w:val="single"/>
              </w:rPr>
              <w:t>0.052</w:t>
            </w:r>
          </w:p>
        </w:tc>
        <w:tc>
          <w:tcPr>
            <w:tcW w:w="1620" w:type="dxa"/>
            <w:vAlign w:val="bottom"/>
          </w:tcPr>
          <w:p w14:paraId="30AC9807" w14:textId="6BC29C61" w:rsidR="00421CE3" w:rsidRPr="00F22A05" w:rsidRDefault="00421CE3" w:rsidP="00421CE3">
            <w:pPr>
              <w:jc w:val="center"/>
              <w:rPr>
                <w:u w:val="single"/>
              </w:rPr>
            </w:pPr>
            <w:r w:rsidRPr="00F22A05">
              <w:rPr>
                <w:u w:val="single"/>
              </w:rPr>
              <w:t>0.060</w:t>
            </w:r>
          </w:p>
        </w:tc>
        <w:tc>
          <w:tcPr>
            <w:tcW w:w="1800" w:type="dxa"/>
            <w:vAlign w:val="bottom"/>
          </w:tcPr>
          <w:p w14:paraId="00ED1E54" w14:textId="1670AF49" w:rsidR="00421CE3" w:rsidRPr="00F22A05" w:rsidRDefault="00421CE3" w:rsidP="00421CE3">
            <w:pPr>
              <w:jc w:val="center"/>
              <w:rPr>
                <w:u w:val="single"/>
              </w:rPr>
            </w:pPr>
            <w:r w:rsidRPr="00F22A05">
              <w:rPr>
                <w:u w:val="single"/>
              </w:rPr>
              <w:t>0.026</w:t>
            </w:r>
          </w:p>
        </w:tc>
      </w:tr>
      <w:tr w:rsidR="00F22A05" w:rsidRPr="00F22A05" w14:paraId="54EE008A" w14:textId="0AB5679A" w:rsidTr="00DB2B80">
        <w:trPr>
          <w:tblHeader/>
          <w:jc w:val="center"/>
        </w:trPr>
        <w:tc>
          <w:tcPr>
            <w:tcW w:w="1075" w:type="dxa"/>
          </w:tcPr>
          <w:p w14:paraId="4BF6671C" w14:textId="77777777" w:rsidR="00421CE3" w:rsidRPr="00F22A05" w:rsidRDefault="00421CE3" w:rsidP="00421CE3">
            <w:pPr>
              <w:rPr>
                <w:u w:val="single"/>
              </w:rPr>
            </w:pPr>
            <w:r w:rsidRPr="00F22A05">
              <w:rPr>
                <w:sz w:val="22"/>
                <w:szCs w:val="22"/>
                <w:u w:val="single"/>
              </w:rPr>
              <w:t>19-20</w:t>
            </w:r>
          </w:p>
        </w:tc>
        <w:tc>
          <w:tcPr>
            <w:tcW w:w="1170" w:type="dxa"/>
            <w:vAlign w:val="bottom"/>
          </w:tcPr>
          <w:p w14:paraId="46DE68ED" w14:textId="49668005" w:rsidR="00421CE3" w:rsidRPr="00F22A05" w:rsidRDefault="00421CE3" w:rsidP="00421CE3">
            <w:pPr>
              <w:jc w:val="center"/>
              <w:rPr>
                <w:u w:val="single"/>
              </w:rPr>
            </w:pPr>
            <w:r w:rsidRPr="00F22A05">
              <w:rPr>
                <w:u w:val="single"/>
              </w:rPr>
              <w:t>0.060</w:t>
            </w:r>
          </w:p>
        </w:tc>
        <w:tc>
          <w:tcPr>
            <w:tcW w:w="1350" w:type="dxa"/>
            <w:vAlign w:val="bottom"/>
          </w:tcPr>
          <w:p w14:paraId="5D6C1813" w14:textId="4436E547" w:rsidR="00421CE3" w:rsidRPr="00F22A05" w:rsidRDefault="00421CE3" w:rsidP="00421CE3">
            <w:pPr>
              <w:jc w:val="center"/>
              <w:rPr>
                <w:sz w:val="22"/>
                <w:szCs w:val="22"/>
                <w:u w:val="single"/>
              </w:rPr>
            </w:pPr>
            <w:r w:rsidRPr="00F22A05">
              <w:rPr>
                <w:u w:val="single"/>
              </w:rPr>
              <w:t>0.082</w:t>
            </w:r>
          </w:p>
        </w:tc>
        <w:tc>
          <w:tcPr>
            <w:tcW w:w="1080" w:type="dxa"/>
            <w:vAlign w:val="bottom"/>
          </w:tcPr>
          <w:p w14:paraId="16E471CA" w14:textId="5EE51FDA" w:rsidR="00421CE3" w:rsidRPr="00F22A05" w:rsidRDefault="00421CE3" w:rsidP="00421CE3">
            <w:pPr>
              <w:jc w:val="center"/>
              <w:rPr>
                <w:u w:val="single"/>
              </w:rPr>
            </w:pPr>
            <w:r w:rsidRPr="00F22A05">
              <w:rPr>
                <w:u w:val="single"/>
              </w:rPr>
              <w:t>0.072</w:t>
            </w:r>
          </w:p>
        </w:tc>
        <w:tc>
          <w:tcPr>
            <w:tcW w:w="990" w:type="dxa"/>
            <w:vAlign w:val="bottom"/>
          </w:tcPr>
          <w:p w14:paraId="7FD491A8" w14:textId="1703D6B9" w:rsidR="00421CE3" w:rsidRPr="00F22A05" w:rsidRDefault="00421CE3" w:rsidP="00421CE3">
            <w:pPr>
              <w:jc w:val="center"/>
              <w:rPr>
                <w:u w:val="single"/>
              </w:rPr>
            </w:pPr>
            <w:r w:rsidRPr="00F22A05">
              <w:rPr>
                <w:u w:val="single"/>
              </w:rPr>
              <w:t>0.057</w:t>
            </w:r>
          </w:p>
        </w:tc>
        <w:tc>
          <w:tcPr>
            <w:tcW w:w="1620" w:type="dxa"/>
            <w:vAlign w:val="bottom"/>
          </w:tcPr>
          <w:p w14:paraId="710D8577" w14:textId="23F61479" w:rsidR="00421CE3" w:rsidRPr="00F22A05" w:rsidRDefault="00421CE3" w:rsidP="00421CE3">
            <w:pPr>
              <w:jc w:val="center"/>
              <w:rPr>
                <w:u w:val="single"/>
              </w:rPr>
            </w:pPr>
            <w:r w:rsidRPr="00F22A05">
              <w:rPr>
                <w:u w:val="single"/>
              </w:rPr>
              <w:t>0.060</w:t>
            </w:r>
          </w:p>
        </w:tc>
        <w:tc>
          <w:tcPr>
            <w:tcW w:w="1800" w:type="dxa"/>
            <w:vAlign w:val="bottom"/>
          </w:tcPr>
          <w:p w14:paraId="6C542FF2" w14:textId="7C013139" w:rsidR="00421CE3" w:rsidRPr="00F22A05" w:rsidRDefault="00421CE3" w:rsidP="00421CE3">
            <w:pPr>
              <w:jc w:val="center"/>
              <w:rPr>
                <w:u w:val="single"/>
              </w:rPr>
            </w:pPr>
            <w:r w:rsidRPr="00F22A05">
              <w:rPr>
                <w:u w:val="single"/>
              </w:rPr>
              <w:t>0.026</w:t>
            </w:r>
          </w:p>
        </w:tc>
      </w:tr>
      <w:tr w:rsidR="00F22A05" w:rsidRPr="00F22A05" w14:paraId="0D306353" w14:textId="6D6720F6" w:rsidTr="00DB2B80">
        <w:trPr>
          <w:tblHeader/>
          <w:jc w:val="center"/>
        </w:trPr>
        <w:tc>
          <w:tcPr>
            <w:tcW w:w="1075" w:type="dxa"/>
          </w:tcPr>
          <w:p w14:paraId="499783C7" w14:textId="77777777" w:rsidR="00421CE3" w:rsidRPr="00F22A05" w:rsidRDefault="00421CE3" w:rsidP="00421CE3">
            <w:pPr>
              <w:rPr>
                <w:u w:val="single"/>
              </w:rPr>
            </w:pPr>
            <w:r w:rsidRPr="00F22A05">
              <w:rPr>
                <w:sz w:val="22"/>
                <w:szCs w:val="22"/>
                <w:u w:val="single"/>
              </w:rPr>
              <w:t>20-21</w:t>
            </w:r>
          </w:p>
        </w:tc>
        <w:tc>
          <w:tcPr>
            <w:tcW w:w="1170" w:type="dxa"/>
            <w:vAlign w:val="bottom"/>
          </w:tcPr>
          <w:p w14:paraId="54A7345F" w14:textId="0C1B5384" w:rsidR="00421CE3" w:rsidRPr="00F22A05" w:rsidRDefault="00421CE3" w:rsidP="00421CE3">
            <w:pPr>
              <w:jc w:val="center"/>
              <w:rPr>
                <w:u w:val="single"/>
              </w:rPr>
            </w:pPr>
            <w:r w:rsidRPr="00F22A05">
              <w:rPr>
                <w:u w:val="single"/>
              </w:rPr>
              <w:t>0.055</w:t>
            </w:r>
          </w:p>
        </w:tc>
        <w:tc>
          <w:tcPr>
            <w:tcW w:w="1350" w:type="dxa"/>
            <w:vAlign w:val="bottom"/>
          </w:tcPr>
          <w:p w14:paraId="2D90FA81" w14:textId="60AB215E" w:rsidR="00421CE3" w:rsidRPr="00F22A05" w:rsidRDefault="00421CE3" w:rsidP="00421CE3">
            <w:pPr>
              <w:jc w:val="center"/>
              <w:rPr>
                <w:sz w:val="22"/>
                <w:szCs w:val="22"/>
                <w:u w:val="single"/>
              </w:rPr>
            </w:pPr>
            <w:r w:rsidRPr="00F22A05">
              <w:rPr>
                <w:u w:val="single"/>
              </w:rPr>
              <w:t>0.082</w:t>
            </w:r>
          </w:p>
        </w:tc>
        <w:tc>
          <w:tcPr>
            <w:tcW w:w="1080" w:type="dxa"/>
            <w:vAlign w:val="bottom"/>
          </w:tcPr>
          <w:p w14:paraId="2DE6E01C" w14:textId="5248FF66" w:rsidR="00421CE3" w:rsidRPr="00F22A05" w:rsidRDefault="00421CE3" w:rsidP="00421CE3">
            <w:pPr>
              <w:jc w:val="center"/>
              <w:rPr>
                <w:u w:val="single"/>
              </w:rPr>
            </w:pPr>
            <w:r w:rsidRPr="00F22A05">
              <w:rPr>
                <w:u w:val="single"/>
              </w:rPr>
              <w:t>0.073</w:t>
            </w:r>
          </w:p>
        </w:tc>
        <w:tc>
          <w:tcPr>
            <w:tcW w:w="990" w:type="dxa"/>
            <w:vAlign w:val="bottom"/>
          </w:tcPr>
          <w:p w14:paraId="28808FED" w14:textId="557AC212" w:rsidR="00421CE3" w:rsidRPr="00F22A05" w:rsidRDefault="00421CE3" w:rsidP="00421CE3">
            <w:pPr>
              <w:jc w:val="center"/>
              <w:rPr>
                <w:u w:val="single"/>
              </w:rPr>
            </w:pPr>
            <w:r w:rsidRPr="00F22A05">
              <w:rPr>
                <w:u w:val="single"/>
              </w:rPr>
              <w:t>0.057</w:t>
            </w:r>
          </w:p>
        </w:tc>
        <w:tc>
          <w:tcPr>
            <w:tcW w:w="1620" w:type="dxa"/>
            <w:vAlign w:val="bottom"/>
          </w:tcPr>
          <w:p w14:paraId="0981A0DF" w14:textId="327C3AB4" w:rsidR="00421CE3" w:rsidRPr="00F22A05" w:rsidRDefault="00421CE3" w:rsidP="00421CE3">
            <w:pPr>
              <w:jc w:val="center"/>
              <w:rPr>
                <w:u w:val="single"/>
              </w:rPr>
            </w:pPr>
            <w:r w:rsidRPr="00F22A05">
              <w:rPr>
                <w:u w:val="single"/>
              </w:rPr>
              <w:t>0.055</w:t>
            </w:r>
          </w:p>
        </w:tc>
        <w:tc>
          <w:tcPr>
            <w:tcW w:w="1800" w:type="dxa"/>
            <w:vAlign w:val="bottom"/>
          </w:tcPr>
          <w:p w14:paraId="28687375" w14:textId="54CA5044" w:rsidR="00421CE3" w:rsidRPr="00F22A05" w:rsidRDefault="00421CE3" w:rsidP="00421CE3">
            <w:pPr>
              <w:jc w:val="center"/>
              <w:rPr>
                <w:u w:val="single"/>
              </w:rPr>
            </w:pPr>
            <w:r w:rsidRPr="00F22A05">
              <w:rPr>
                <w:u w:val="single"/>
              </w:rPr>
              <w:t>0.030</w:t>
            </w:r>
          </w:p>
        </w:tc>
      </w:tr>
      <w:tr w:rsidR="00F22A05" w:rsidRPr="00F22A05" w14:paraId="0135D6A4" w14:textId="5C697414" w:rsidTr="00DB2B80">
        <w:trPr>
          <w:tblHeader/>
          <w:jc w:val="center"/>
        </w:trPr>
        <w:tc>
          <w:tcPr>
            <w:tcW w:w="1075" w:type="dxa"/>
          </w:tcPr>
          <w:p w14:paraId="145F0FC4" w14:textId="77777777" w:rsidR="00421CE3" w:rsidRPr="00F22A05" w:rsidRDefault="00421CE3" w:rsidP="00421CE3">
            <w:pPr>
              <w:rPr>
                <w:u w:val="single"/>
              </w:rPr>
            </w:pPr>
            <w:r w:rsidRPr="00F22A05">
              <w:rPr>
                <w:sz w:val="22"/>
                <w:szCs w:val="22"/>
                <w:u w:val="single"/>
              </w:rPr>
              <w:t>21-22</w:t>
            </w:r>
          </w:p>
        </w:tc>
        <w:tc>
          <w:tcPr>
            <w:tcW w:w="1170" w:type="dxa"/>
            <w:vAlign w:val="bottom"/>
          </w:tcPr>
          <w:p w14:paraId="1DEC96EA" w14:textId="3E27E640" w:rsidR="00421CE3" w:rsidRPr="00F22A05" w:rsidRDefault="00421CE3" w:rsidP="00421CE3">
            <w:pPr>
              <w:jc w:val="center"/>
              <w:rPr>
                <w:u w:val="single"/>
              </w:rPr>
            </w:pPr>
            <w:r w:rsidRPr="00F22A05">
              <w:rPr>
                <w:u w:val="single"/>
              </w:rPr>
              <w:t>0.048</w:t>
            </w:r>
          </w:p>
        </w:tc>
        <w:tc>
          <w:tcPr>
            <w:tcW w:w="1350" w:type="dxa"/>
            <w:vAlign w:val="bottom"/>
          </w:tcPr>
          <w:p w14:paraId="18665824" w14:textId="244419D7" w:rsidR="00421CE3" w:rsidRPr="00F22A05" w:rsidRDefault="00421CE3" w:rsidP="00421CE3">
            <w:pPr>
              <w:jc w:val="center"/>
              <w:rPr>
                <w:sz w:val="22"/>
                <w:szCs w:val="22"/>
                <w:u w:val="single"/>
              </w:rPr>
            </w:pPr>
            <w:r w:rsidRPr="00F22A05">
              <w:rPr>
                <w:u w:val="single"/>
              </w:rPr>
              <w:t>0.070</w:t>
            </w:r>
          </w:p>
        </w:tc>
        <w:tc>
          <w:tcPr>
            <w:tcW w:w="1080" w:type="dxa"/>
            <w:vAlign w:val="bottom"/>
          </w:tcPr>
          <w:p w14:paraId="29501B58" w14:textId="0C7123BC" w:rsidR="00421CE3" w:rsidRPr="00F22A05" w:rsidRDefault="00421CE3" w:rsidP="00421CE3">
            <w:pPr>
              <w:jc w:val="center"/>
              <w:rPr>
                <w:u w:val="single"/>
              </w:rPr>
            </w:pPr>
            <w:r w:rsidRPr="00F22A05">
              <w:rPr>
                <w:u w:val="single"/>
              </w:rPr>
              <w:t>0.063</w:t>
            </w:r>
          </w:p>
        </w:tc>
        <w:tc>
          <w:tcPr>
            <w:tcW w:w="990" w:type="dxa"/>
            <w:vAlign w:val="bottom"/>
          </w:tcPr>
          <w:p w14:paraId="73AAEFDC" w14:textId="6B74A11C" w:rsidR="00421CE3" w:rsidRPr="00F22A05" w:rsidRDefault="00421CE3" w:rsidP="00421CE3">
            <w:pPr>
              <w:jc w:val="center"/>
              <w:rPr>
                <w:u w:val="single"/>
              </w:rPr>
            </w:pPr>
            <w:r w:rsidRPr="00F22A05">
              <w:rPr>
                <w:u w:val="single"/>
              </w:rPr>
              <w:t>0.057</w:t>
            </w:r>
          </w:p>
        </w:tc>
        <w:tc>
          <w:tcPr>
            <w:tcW w:w="1620" w:type="dxa"/>
            <w:vAlign w:val="bottom"/>
          </w:tcPr>
          <w:p w14:paraId="05E2DB49" w14:textId="62E4CF93" w:rsidR="00421CE3" w:rsidRPr="00F22A05" w:rsidRDefault="00421CE3" w:rsidP="00421CE3">
            <w:pPr>
              <w:jc w:val="center"/>
              <w:rPr>
                <w:u w:val="single"/>
              </w:rPr>
            </w:pPr>
            <w:r w:rsidRPr="00F22A05">
              <w:rPr>
                <w:u w:val="single"/>
              </w:rPr>
              <w:t>0.048</w:t>
            </w:r>
          </w:p>
        </w:tc>
        <w:tc>
          <w:tcPr>
            <w:tcW w:w="1800" w:type="dxa"/>
            <w:vAlign w:val="bottom"/>
          </w:tcPr>
          <w:p w14:paraId="5496FE14" w14:textId="70762494" w:rsidR="00421CE3" w:rsidRPr="00F22A05" w:rsidRDefault="00421CE3" w:rsidP="00421CE3">
            <w:pPr>
              <w:jc w:val="center"/>
              <w:rPr>
                <w:u w:val="single"/>
              </w:rPr>
            </w:pPr>
            <w:r w:rsidRPr="00F22A05">
              <w:rPr>
                <w:u w:val="single"/>
              </w:rPr>
              <w:t>0.036</w:t>
            </w:r>
          </w:p>
        </w:tc>
      </w:tr>
      <w:tr w:rsidR="00F22A05" w:rsidRPr="00F22A05" w14:paraId="5EC40AA8" w14:textId="7EFE57C3" w:rsidTr="00DB2B80">
        <w:trPr>
          <w:tblHeader/>
          <w:jc w:val="center"/>
        </w:trPr>
        <w:tc>
          <w:tcPr>
            <w:tcW w:w="1075" w:type="dxa"/>
          </w:tcPr>
          <w:p w14:paraId="0977F2A0" w14:textId="77777777" w:rsidR="00421CE3" w:rsidRPr="00F22A05" w:rsidRDefault="00421CE3" w:rsidP="00421CE3">
            <w:pPr>
              <w:rPr>
                <w:sz w:val="22"/>
                <w:szCs w:val="22"/>
                <w:u w:val="single"/>
              </w:rPr>
            </w:pPr>
            <w:r w:rsidRPr="00F22A05">
              <w:rPr>
                <w:sz w:val="22"/>
                <w:szCs w:val="22"/>
                <w:u w:val="single"/>
              </w:rPr>
              <w:t>22-23</w:t>
            </w:r>
          </w:p>
        </w:tc>
        <w:tc>
          <w:tcPr>
            <w:tcW w:w="1170" w:type="dxa"/>
            <w:vAlign w:val="bottom"/>
          </w:tcPr>
          <w:p w14:paraId="59A39B92" w14:textId="155E3140" w:rsidR="00421CE3" w:rsidRPr="00F22A05" w:rsidRDefault="00421CE3" w:rsidP="00421CE3">
            <w:pPr>
              <w:jc w:val="center"/>
              <w:rPr>
                <w:sz w:val="22"/>
                <w:szCs w:val="22"/>
                <w:u w:val="single"/>
              </w:rPr>
            </w:pPr>
            <w:r w:rsidRPr="00F22A05">
              <w:rPr>
                <w:u w:val="single"/>
              </w:rPr>
              <w:t>0.038</w:t>
            </w:r>
          </w:p>
        </w:tc>
        <w:tc>
          <w:tcPr>
            <w:tcW w:w="1350" w:type="dxa"/>
            <w:vAlign w:val="bottom"/>
          </w:tcPr>
          <w:p w14:paraId="74942543" w14:textId="21A40924" w:rsidR="00421CE3" w:rsidRPr="00F22A05" w:rsidRDefault="00421CE3" w:rsidP="00421CE3">
            <w:pPr>
              <w:jc w:val="center"/>
              <w:rPr>
                <w:sz w:val="22"/>
                <w:szCs w:val="22"/>
                <w:u w:val="single"/>
              </w:rPr>
            </w:pPr>
            <w:r w:rsidRPr="00F22A05">
              <w:rPr>
                <w:u w:val="single"/>
              </w:rPr>
              <w:t>0.053</w:t>
            </w:r>
          </w:p>
        </w:tc>
        <w:tc>
          <w:tcPr>
            <w:tcW w:w="1080" w:type="dxa"/>
            <w:vAlign w:val="bottom"/>
          </w:tcPr>
          <w:p w14:paraId="72666F2D" w14:textId="5E108719" w:rsidR="00421CE3" w:rsidRPr="00F22A05" w:rsidRDefault="00421CE3" w:rsidP="00421CE3">
            <w:pPr>
              <w:jc w:val="center"/>
              <w:rPr>
                <w:u w:val="single"/>
              </w:rPr>
            </w:pPr>
            <w:r w:rsidRPr="00F22A05">
              <w:rPr>
                <w:u w:val="single"/>
              </w:rPr>
              <w:t>0.045</w:t>
            </w:r>
          </w:p>
        </w:tc>
        <w:tc>
          <w:tcPr>
            <w:tcW w:w="990" w:type="dxa"/>
            <w:vAlign w:val="bottom"/>
          </w:tcPr>
          <w:p w14:paraId="2F00DDFA" w14:textId="3B1BB468" w:rsidR="00421CE3" w:rsidRPr="00F22A05" w:rsidRDefault="00421CE3" w:rsidP="00421CE3">
            <w:pPr>
              <w:jc w:val="center"/>
              <w:rPr>
                <w:u w:val="single"/>
              </w:rPr>
            </w:pPr>
            <w:r w:rsidRPr="00F22A05">
              <w:rPr>
                <w:u w:val="single"/>
              </w:rPr>
              <w:t>0.057</w:t>
            </w:r>
          </w:p>
        </w:tc>
        <w:tc>
          <w:tcPr>
            <w:tcW w:w="1620" w:type="dxa"/>
            <w:vAlign w:val="bottom"/>
          </w:tcPr>
          <w:p w14:paraId="2B0C7E0D" w14:textId="7EFC1F7A" w:rsidR="00421CE3" w:rsidRPr="00F22A05" w:rsidRDefault="00421CE3" w:rsidP="00421CE3">
            <w:pPr>
              <w:jc w:val="center"/>
              <w:rPr>
                <w:u w:val="single"/>
              </w:rPr>
            </w:pPr>
            <w:r w:rsidRPr="00F22A05">
              <w:rPr>
                <w:u w:val="single"/>
              </w:rPr>
              <w:t>0.038</w:t>
            </w:r>
          </w:p>
        </w:tc>
        <w:tc>
          <w:tcPr>
            <w:tcW w:w="1800" w:type="dxa"/>
            <w:vAlign w:val="bottom"/>
          </w:tcPr>
          <w:p w14:paraId="7E79BE89" w14:textId="7F6646D6" w:rsidR="00421CE3" w:rsidRPr="00F22A05" w:rsidRDefault="00421CE3" w:rsidP="00421CE3">
            <w:pPr>
              <w:jc w:val="center"/>
              <w:rPr>
                <w:u w:val="single"/>
              </w:rPr>
            </w:pPr>
            <w:r w:rsidRPr="00F22A05">
              <w:rPr>
                <w:u w:val="single"/>
              </w:rPr>
              <w:t>0.045</w:t>
            </w:r>
          </w:p>
        </w:tc>
      </w:tr>
      <w:tr w:rsidR="00421CE3" w:rsidRPr="00F22A05" w14:paraId="527A8C84" w14:textId="12BCED7F" w:rsidTr="00DB2B80">
        <w:trPr>
          <w:tblHeader/>
          <w:jc w:val="center"/>
        </w:trPr>
        <w:tc>
          <w:tcPr>
            <w:tcW w:w="1075" w:type="dxa"/>
          </w:tcPr>
          <w:p w14:paraId="21D9ABDF" w14:textId="77777777" w:rsidR="00421CE3" w:rsidRPr="00F22A05" w:rsidRDefault="00421CE3" w:rsidP="00421CE3">
            <w:pPr>
              <w:rPr>
                <w:sz w:val="22"/>
                <w:szCs w:val="22"/>
                <w:u w:val="single"/>
              </w:rPr>
            </w:pPr>
            <w:r w:rsidRPr="00F22A05">
              <w:rPr>
                <w:sz w:val="22"/>
                <w:szCs w:val="22"/>
                <w:u w:val="single"/>
              </w:rPr>
              <w:t>23-24</w:t>
            </w:r>
          </w:p>
        </w:tc>
        <w:tc>
          <w:tcPr>
            <w:tcW w:w="1170" w:type="dxa"/>
            <w:vAlign w:val="bottom"/>
          </w:tcPr>
          <w:p w14:paraId="36A33F83" w14:textId="54247D1E" w:rsidR="00421CE3" w:rsidRPr="00F22A05" w:rsidRDefault="00421CE3" w:rsidP="00421CE3">
            <w:pPr>
              <w:jc w:val="center"/>
              <w:rPr>
                <w:sz w:val="22"/>
                <w:szCs w:val="22"/>
                <w:u w:val="single"/>
              </w:rPr>
            </w:pPr>
            <w:r w:rsidRPr="00F22A05">
              <w:rPr>
                <w:u w:val="single"/>
              </w:rPr>
              <w:t>0.026</w:t>
            </w:r>
          </w:p>
        </w:tc>
        <w:tc>
          <w:tcPr>
            <w:tcW w:w="1350" w:type="dxa"/>
            <w:vAlign w:val="bottom"/>
          </w:tcPr>
          <w:p w14:paraId="2FC85297" w14:textId="46922B8C" w:rsidR="00421CE3" w:rsidRPr="00F22A05" w:rsidRDefault="00421CE3" w:rsidP="00421CE3">
            <w:pPr>
              <w:jc w:val="center"/>
              <w:rPr>
                <w:sz w:val="22"/>
                <w:szCs w:val="22"/>
                <w:u w:val="single"/>
              </w:rPr>
            </w:pPr>
            <w:r w:rsidRPr="00F22A05">
              <w:rPr>
                <w:u w:val="single"/>
              </w:rPr>
              <w:t>0.035</w:t>
            </w:r>
          </w:p>
        </w:tc>
        <w:tc>
          <w:tcPr>
            <w:tcW w:w="1080" w:type="dxa"/>
            <w:vAlign w:val="bottom"/>
          </w:tcPr>
          <w:p w14:paraId="33154811" w14:textId="6626EC45" w:rsidR="00421CE3" w:rsidRPr="00F22A05" w:rsidRDefault="00421CE3" w:rsidP="00421CE3">
            <w:pPr>
              <w:jc w:val="center"/>
              <w:rPr>
                <w:u w:val="single"/>
              </w:rPr>
            </w:pPr>
            <w:r w:rsidRPr="00F22A05">
              <w:rPr>
                <w:u w:val="single"/>
              </w:rPr>
              <w:t>0.034</w:t>
            </w:r>
          </w:p>
        </w:tc>
        <w:tc>
          <w:tcPr>
            <w:tcW w:w="990" w:type="dxa"/>
            <w:vAlign w:val="bottom"/>
          </w:tcPr>
          <w:p w14:paraId="05241E8F" w14:textId="7E430EEB" w:rsidR="00421CE3" w:rsidRPr="00F22A05" w:rsidRDefault="00421CE3" w:rsidP="00421CE3">
            <w:pPr>
              <w:jc w:val="center"/>
              <w:rPr>
                <w:u w:val="single"/>
              </w:rPr>
            </w:pPr>
            <w:r w:rsidRPr="00F22A05">
              <w:rPr>
                <w:u w:val="single"/>
              </w:rPr>
              <w:t>0.057</w:t>
            </w:r>
          </w:p>
        </w:tc>
        <w:tc>
          <w:tcPr>
            <w:tcW w:w="1620" w:type="dxa"/>
            <w:vAlign w:val="bottom"/>
          </w:tcPr>
          <w:p w14:paraId="3D77C271" w14:textId="29508CCC" w:rsidR="00421CE3" w:rsidRPr="00F22A05" w:rsidRDefault="00421CE3" w:rsidP="00421CE3">
            <w:pPr>
              <w:jc w:val="center"/>
              <w:rPr>
                <w:u w:val="single"/>
              </w:rPr>
            </w:pPr>
            <w:r w:rsidRPr="00F22A05">
              <w:rPr>
                <w:u w:val="single"/>
              </w:rPr>
              <w:t>0.026</w:t>
            </w:r>
          </w:p>
        </w:tc>
        <w:tc>
          <w:tcPr>
            <w:tcW w:w="1800" w:type="dxa"/>
            <w:vAlign w:val="bottom"/>
          </w:tcPr>
          <w:p w14:paraId="74EFCFAA" w14:textId="11B8705D" w:rsidR="00421CE3" w:rsidRPr="00F22A05" w:rsidRDefault="00421CE3" w:rsidP="00421CE3">
            <w:pPr>
              <w:jc w:val="center"/>
              <w:rPr>
                <w:u w:val="single"/>
              </w:rPr>
            </w:pPr>
            <w:r w:rsidRPr="00F22A05">
              <w:rPr>
                <w:u w:val="single"/>
              </w:rPr>
              <w:t>0.055</w:t>
            </w:r>
          </w:p>
        </w:tc>
      </w:tr>
    </w:tbl>
    <w:p w14:paraId="42CAAEE8" w14:textId="426D83B6" w:rsidR="0084003D" w:rsidRPr="00F22A05" w:rsidRDefault="0084003D" w:rsidP="00DB2B80">
      <w:pPr>
        <w:rPr>
          <w:rFonts w:eastAsiaTheme="majorEastAsia"/>
          <w:u w:val="single"/>
        </w:rPr>
      </w:pPr>
    </w:p>
    <w:bookmarkEnd w:id="137"/>
    <w:bookmarkEnd w:id="138"/>
    <w:p w14:paraId="2788152D" w14:textId="7779B53B" w:rsidR="008F1DC1" w:rsidRPr="00F22A05" w:rsidRDefault="008F1DC1" w:rsidP="003B6A75">
      <w:pPr>
        <w:spacing w:after="200" w:line="276" w:lineRule="auto"/>
        <w:rPr>
          <w:rFonts w:eastAsiaTheme="majorEastAsia"/>
          <w:b/>
          <w:bCs/>
          <w:szCs w:val="28"/>
        </w:rPr>
      </w:pPr>
    </w:p>
    <w:sectPr w:rsidR="008F1DC1" w:rsidRPr="00F22A05" w:rsidSect="00AA542C">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E50B" w14:textId="77777777" w:rsidR="00AA542C" w:rsidRDefault="00AA542C" w:rsidP="008F1DC1">
      <w:r>
        <w:separator/>
      </w:r>
    </w:p>
  </w:endnote>
  <w:endnote w:type="continuationSeparator" w:id="0">
    <w:p w14:paraId="7ED7CC1D" w14:textId="77777777" w:rsidR="00AA542C" w:rsidRDefault="00AA542C" w:rsidP="008F1DC1">
      <w:r>
        <w:continuationSeparator/>
      </w:r>
    </w:p>
  </w:endnote>
  <w:endnote w:type="continuationNotice" w:id="1">
    <w:p w14:paraId="1DBA0934" w14:textId="77777777" w:rsidR="00AA542C" w:rsidRDefault="00AA5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A2D" w14:textId="0BC528D8" w:rsidR="00E6400F" w:rsidRDefault="00E6400F" w:rsidP="003A3319">
    <w:pPr>
      <w:pStyle w:val="Footer"/>
      <w:tabs>
        <w:tab w:val="clear" w:pos="4320"/>
        <w:tab w:val="clear" w:pos="8640"/>
        <w:tab w:val="center" w:pos="3600"/>
        <w:tab w:val="right" w:pos="9360"/>
      </w:tabs>
    </w:pPr>
    <w:r>
      <w:fldChar w:fldCharType="begin"/>
    </w:r>
    <w:r>
      <w:instrText xml:space="preserve"> PAGE   \* MERGEFORMAT </w:instrText>
    </w:r>
    <w:r>
      <w:fldChar w:fldCharType="separate"/>
    </w:r>
    <w:r w:rsidR="00B1638F">
      <w:rPr>
        <w:noProof/>
      </w:rPr>
      <w:t>46</w:t>
    </w:r>
    <w:r>
      <w:rPr>
        <w:noProof/>
      </w:rPr>
      <w:fldChar w:fldCharType="end"/>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1F2" w14:textId="1F8F39A6" w:rsidR="00E6400F" w:rsidRPr="00B948FD" w:rsidRDefault="00E6400F" w:rsidP="00354792">
    <w:pPr>
      <w:tabs>
        <w:tab w:val="right" w:pos="9360"/>
      </w:tabs>
      <w:ind w:right="2"/>
    </w:pPr>
    <w:r>
      <w:tab/>
    </w:r>
    <w:r>
      <w:fldChar w:fldCharType="begin"/>
    </w:r>
    <w:r>
      <w:instrText xml:space="preserve"> PAGE   \* MERGEFORMAT </w:instrText>
    </w:r>
    <w:r>
      <w:fldChar w:fldCharType="separate"/>
    </w:r>
    <w:r w:rsidR="00B1638F">
      <w:rPr>
        <w:noProof/>
      </w:rPr>
      <w:t>45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E64" w14:textId="6AEAD659" w:rsidR="00E6400F" w:rsidRDefault="00E6400F" w:rsidP="00AA1494">
    <w:pPr>
      <w:pStyle w:val="Footer"/>
      <w:tabs>
        <w:tab w:val="clear" w:pos="4320"/>
        <w:tab w:val="clear" w:pos="8640"/>
        <w:tab w:val="center" w:pos="3600"/>
        <w:tab w:val="right" w:pos="12960"/>
      </w:tabs>
    </w:pPr>
    <w:r>
      <w:rPr>
        <w:noProof/>
      </w:rPr>
      <w:tab/>
    </w:r>
    <w:r>
      <w:rPr>
        <w:noProof/>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F02" w14:textId="739D0C39" w:rsidR="00E6400F" w:rsidRPr="00B948FD" w:rsidRDefault="00E6400F" w:rsidP="006464B8">
    <w:pPr>
      <w:tabs>
        <w:tab w:val="left" w:pos="0"/>
        <w:tab w:val="left" w:pos="9360"/>
        <w:tab w:val="left" w:pos="12420"/>
      </w:tabs>
      <w:ind w:right="-54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5BD2" w14:textId="77777777" w:rsidR="00AA542C" w:rsidRDefault="00AA542C" w:rsidP="008F1DC1">
      <w:r>
        <w:separator/>
      </w:r>
    </w:p>
  </w:footnote>
  <w:footnote w:type="continuationSeparator" w:id="0">
    <w:p w14:paraId="6A9494E4" w14:textId="77777777" w:rsidR="00AA542C" w:rsidRDefault="00AA542C" w:rsidP="008F1DC1">
      <w:r>
        <w:continuationSeparator/>
      </w:r>
    </w:p>
  </w:footnote>
  <w:footnote w:type="continuationNotice" w:id="1">
    <w:p w14:paraId="42F86BB2" w14:textId="77777777" w:rsidR="00AA542C" w:rsidRDefault="00AA542C"/>
  </w:footnote>
  <w:footnote w:id="2">
    <w:p w14:paraId="69F7FAAF" w14:textId="77777777" w:rsidR="00AF1DD0" w:rsidRPr="009A272B" w:rsidRDefault="00AF1DD0" w:rsidP="00AF1DD0">
      <w:pPr>
        <w:pStyle w:val="FootnoteText"/>
      </w:pPr>
      <w:r w:rsidRPr="00EA5B02">
        <w:rPr>
          <w:rStyle w:val="FootnoteReference"/>
        </w:rPr>
        <w:footnoteRef/>
      </w:r>
      <w:r w:rsidRPr="00EA5B02">
        <w:t xml:space="preserve"> (Informative Note)</w:t>
      </w:r>
      <w:r>
        <w:t xml:space="preserve"> </w:t>
      </w:r>
      <w:r w:rsidRPr="00B6439D">
        <w:t xml:space="preserve">Informative Annex A </w:t>
      </w:r>
      <w:r w:rsidRPr="006A6587">
        <w:t xml:space="preserve">of Standard ANSI/RESNET/ICC </w:t>
      </w:r>
      <w:r w:rsidRPr="00B6439D">
        <w:t>380 contains a table that summarizes parts of a Dwelling Unit that are included in Conditioned</w:t>
      </w:r>
      <w:r>
        <w:t xml:space="preserve"> Space Volume</w:t>
      </w:r>
      <w:r w:rsidRPr="00EA5B02">
        <w:t xml:space="preserve">. </w:t>
      </w:r>
    </w:p>
  </w:footnote>
  <w:footnote w:id="3">
    <w:p w14:paraId="6958FC7D" w14:textId="77777777" w:rsidR="00AF1DD0" w:rsidRPr="0070117D" w:rsidRDefault="00AF1DD0" w:rsidP="00AF1DD0">
      <w:pPr>
        <w:pStyle w:val="FootnoteText"/>
      </w:pPr>
      <w:r w:rsidRPr="0070117D">
        <w:rPr>
          <w:rStyle w:val="FootnoteReference"/>
        </w:rPr>
        <w:footnoteRef/>
      </w:r>
      <w:r w:rsidRPr="0070117D">
        <w:t xml:space="preserve"> (Informative Note) For example, a common or demising wall.</w:t>
      </w:r>
    </w:p>
  </w:footnote>
  <w:footnote w:id="4">
    <w:p w14:paraId="16CD556D" w14:textId="77777777" w:rsidR="00AF1DD0" w:rsidRPr="00B33F37" w:rsidRDefault="00AF1DD0" w:rsidP="00AF1DD0">
      <w:pPr>
        <w:pStyle w:val="FootnoteText"/>
        <w:rPr>
          <w:u w:val="single"/>
        </w:rPr>
      </w:pPr>
      <w:r w:rsidRPr="0070117D">
        <w:rPr>
          <w:rStyle w:val="FootnoteReference"/>
        </w:rPr>
        <w:footnoteRef/>
      </w:r>
      <w:r w:rsidRPr="0070117D">
        <w:t xml:space="preserve"> (Informative Note) That is, it does not span multiple Dwelling Units undivided.</w:t>
      </w:r>
    </w:p>
  </w:footnote>
  <w:footnote w:id="5">
    <w:p w14:paraId="31CDBBB6" w14:textId="77777777" w:rsidR="00443948" w:rsidRPr="008C20F9" w:rsidRDefault="00443948" w:rsidP="00443948">
      <w:pPr>
        <w:pStyle w:val="FootnoteText"/>
      </w:pPr>
      <w:r w:rsidRPr="008C20F9">
        <w:rPr>
          <w:rStyle w:val="FootnoteReference"/>
        </w:rPr>
        <w:footnoteRef/>
      </w:r>
      <w:r w:rsidRPr="008C20F9">
        <w:t xml:space="preserve"> (Informative Note)</w:t>
      </w:r>
      <w:r w:rsidRPr="007F12E7">
        <w:t xml:space="preserve"> </w:t>
      </w:r>
      <w:r w:rsidRPr="00B6439D">
        <w:t xml:space="preserve">Informative Annex A </w:t>
      </w:r>
      <w:r w:rsidRPr="00CB0527">
        <w:t xml:space="preserve">of Standard ANSI/RESNET/ICC 380 </w:t>
      </w:r>
      <w:r w:rsidRPr="00B6439D">
        <w:t>contains a table that summarizes parts of a Dwel</w:t>
      </w:r>
      <w:r>
        <w:t>ling Unit that are included in Unc</w:t>
      </w:r>
      <w:r w:rsidRPr="00B6439D">
        <w:t>onditioned</w:t>
      </w:r>
      <w:r>
        <w:t xml:space="preserve"> Space Volume</w:t>
      </w:r>
      <w:r w:rsidRPr="008C20F9">
        <w:t>.</w:t>
      </w:r>
    </w:p>
  </w:footnote>
  <w:footnote w:id="6">
    <w:p w14:paraId="36F5737C" w14:textId="5A661B5A" w:rsidR="0042060A" w:rsidRPr="00CF5B2F" w:rsidRDefault="0042060A">
      <w:pPr>
        <w:pStyle w:val="FootnoteText"/>
        <w:rPr>
          <w:u w:val="single"/>
        </w:rPr>
      </w:pPr>
      <w:r w:rsidRPr="00CF5B2F">
        <w:rPr>
          <w:rStyle w:val="FootnoteReference"/>
          <w:color w:val="FF0000"/>
          <w:u w:val="single"/>
        </w:rPr>
        <w:footnoteRef/>
      </w:r>
      <w:r w:rsidRPr="00CF5B2F">
        <w:rPr>
          <w:color w:val="FF0000"/>
          <w:u w:val="single"/>
        </w:rPr>
        <w:t xml:space="preserve"> (Normative Note) Where indicated, MEPR values shall be determined using HSPF and SEER.  When only HSPF2 and SEER2 are available, HSPF and SEER shall be calculated in accordance with Section 4.4.4.1. </w:t>
      </w:r>
    </w:p>
  </w:footnote>
  <w:footnote w:id="7">
    <w:p w14:paraId="4B44D55D" w14:textId="51DB8899" w:rsidR="0042060A" w:rsidRPr="00CF5B2F" w:rsidRDefault="0042060A">
      <w:pPr>
        <w:pStyle w:val="FootnoteText"/>
        <w:rPr>
          <w:u w:val="single"/>
        </w:rPr>
      </w:pPr>
      <w:r w:rsidRPr="00CF5B2F">
        <w:rPr>
          <w:rStyle w:val="FootnoteReference"/>
          <w:color w:val="FF0000"/>
          <w:u w:val="single"/>
        </w:rPr>
        <w:footnoteRef/>
      </w:r>
      <w:r w:rsidRPr="00CF5B2F">
        <w:rPr>
          <w:color w:val="FF0000"/>
          <w:u w:val="single"/>
        </w:rPr>
        <w:t xml:space="preserve"> </w:t>
      </w:r>
      <w:r w:rsidR="005F0EF9" w:rsidRPr="00CF5B2F">
        <w:rPr>
          <w:color w:val="FF0000"/>
          <w:u w:val="single"/>
        </w:rPr>
        <w:t xml:space="preserve">(Normative Note) Where indicated, MEPR values shall be calculated using EF.  When only UEF is available, EF shall be calculated from the UEF using the EF calculator located at </w:t>
      </w:r>
      <w:hyperlink r:id="rId1" w:history="1">
        <w:r w:rsidR="005F0EF9" w:rsidRPr="00CF5B2F">
          <w:rPr>
            <w:rStyle w:val="Hyperlink"/>
          </w:rPr>
          <w:t>https://www.resnet.us/wp-content/uploads/RESNET-EF-Calculator-2017.xlsx</w:t>
        </w:r>
      </w:hyperlink>
      <w:r w:rsidR="005F0EF9" w:rsidRPr="00CF5B2F">
        <w:rPr>
          <w:u w:val="single"/>
        </w:rPr>
        <w:t xml:space="preserve"> </w:t>
      </w:r>
      <w:r w:rsidR="005F0EF9" w:rsidRPr="00CF5B2F">
        <w:rPr>
          <w:color w:val="FF0000"/>
          <w:u w:val="single"/>
        </w:rPr>
        <w:t>or equivalent.</w:t>
      </w:r>
    </w:p>
  </w:footnote>
  <w:footnote w:id="8">
    <w:p w14:paraId="5015D9EE" w14:textId="77777777" w:rsidR="00E6400F" w:rsidRPr="00CD4FDA" w:rsidRDefault="00E6400F" w:rsidP="00F0324C">
      <w:pPr>
        <w:pBdr>
          <w:top w:val="nil"/>
          <w:left w:val="nil"/>
          <w:bottom w:val="nil"/>
          <w:right w:val="nil"/>
          <w:between w:val="nil"/>
        </w:pBdr>
        <w:rPr>
          <w:sz w:val="20"/>
          <w:szCs w:val="20"/>
        </w:rPr>
      </w:pPr>
      <w:r w:rsidRPr="00CD4FDA">
        <w:rPr>
          <w:rStyle w:val="FootnoteReference"/>
          <w:sz w:val="20"/>
          <w:szCs w:val="20"/>
        </w:rPr>
        <w:footnoteRef/>
      </w:r>
      <w:r w:rsidRPr="00CD4FDA">
        <w:rPr>
          <w:sz w:val="20"/>
          <w:szCs w:val="20"/>
        </w:rPr>
        <w:t xml:space="preserve"> (Normative Note) Solar Reflectance is permitted to be measured in accordance with the CRRC-1 Product Rating Program Manual Appendix 8 “Standard Test Method for Determining the Directional-Hemispherical Solar Reflectance of Materials Using a Directional-Hemispherical Portable Reflectometer” with the ASTM G197 air-mass 1.5 sun-facing global vertical solar spectral irradiance. </w:t>
      </w:r>
    </w:p>
    <w:p w14:paraId="7156643D" w14:textId="77777777" w:rsidR="00E6400F" w:rsidRDefault="00E6400F" w:rsidP="002E30C8">
      <w:pPr>
        <w:pStyle w:val="FootnoteText"/>
      </w:pPr>
    </w:p>
  </w:footnote>
  <w:footnote w:id="9">
    <w:p w14:paraId="4D63E434" w14:textId="07508D8F" w:rsidR="007D48AF" w:rsidRPr="000E4FF7" w:rsidRDefault="007D48AF">
      <w:pPr>
        <w:pStyle w:val="FootnoteText"/>
        <w:rPr>
          <w:u w:val="single"/>
        </w:rPr>
      </w:pPr>
      <w:r w:rsidRPr="000E4FF7">
        <w:rPr>
          <w:rStyle w:val="FootnoteReference"/>
          <w:u w:val="single"/>
        </w:rPr>
        <w:footnoteRef/>
      </w:r>
      <w:r w:rsidRPr="000E4FF7">
        <w:rPr>
          <w:u w:val="single"/>
        </w:rPr>
        <w:t xml:space="preserve"> </w:t>
      </w:r>
      <w:r w:rsidR="0076522C" w:rsidRPr="00CF5B2F">
        <w:rPr>
          <w:color w:val="FF0000"/>
          <w:u w:val="single"/>
        </w:rPr>
        <w:t xml:space="preserve">(Informative Note) Roof shape is not a minimum rated feature. It is included here to make explicit that whatever Roof Shape is used in the Rated Home shall also be used in the Reference Home. Examples of roof shapes include Flat, Sloped/Shed, Hip and </w:t>
      </w:r>
      <w:proofErr w:type="gramStart"/>
      <w:r w:rsidR="0076522C" w:rsidRPr="00CF5B2F">
        <w:rPr>
          <w:color w:val="FF0000"/>
          <w:u w:val="single"/>
        </w:rPr>
        <w:t>Gable.</w:t>
      </w:r>
      <w:r w:rsidRPr="00CF5B2F">
        <w:rPr>
          <w:strike/>
          <w:color w:val="FF0000"/>
          <w:u w:val="single"/>
        </w:rPr>
        <w:t>(</w:t>
      </w:r>
      <w:proofErr w:type="gramEnd"/>
      <w:r w:rsidRPr="00CF5B2F">
        <w:rPr>
          <w:strike/>
          <w:color w:val="FF0000"/>
          <w:u w:val="single"/>
        </w:rPr>
        <w:t xml:space="preserve">Informative Note) Examples of roof shapes include </w:t>
      </w:r>
      <w:r w:rsidRPr="00CF5B2F">
        <w:rPr>
          <w:rStyle w:val="normaltextrun"/>
          <w:strike/>
          <w:color w:val="FF0000"/>
          <w:u w:val="single"/>
        </w:rPr>
        <w:t>Flat, Sloped/Shed, Hip and Gable.</w:t>
      </w:r>
    </w:p>
  </w:footnote>
  <w:footnote w:id="10">
    <w:p w14:paraId="2A6C13E6" w14:textId="1D1DB345" w:rsidR="00E6400F" w:rsidRPr="00F55668" w:rsidRDefault="00E6400F">
      <w:pPr>
        <w:pStyle w:val="FootnoteText"/>
      </w:pPr>
      <w:r w:rsidRPr="00F55668">
        <w:rPr>
          <w:rStyle w:val="FootnoteReference"/>
        </w:rPr>
        <w:footnoteRef/>
      </w:r>
      <w:r w:rsidRPr="00F55668">
        <w:t xml:space="preserve"> (Informative Note) Such as dehumidifying ventilation systems.</w:t>
      </w:r>
    </w:p>
  </w:footnote>
  <w:footnote w:id="11">
    <w:p w14:paraId="1B178093" w14:textId="259E07AC" w:rsidR="00E6400F" w:rsidRPr="00EA09B6" w:rsidRDefault="00E6400F">
      <w:pPr>
        <w:pStyle w:val="FootnoteText"/>
        <w:rPr>
          <w:color w:val="FF0000"/>
          <w:u w:val="single"/>
        </w:rPr>
      </w:pPr>
      <w:r w:rsidRPr="000D1E43">
        <w:rPr>
          <w:rStyle w:val="FootnoteReference"/>
          <w:u w:val="single"/>
        </w:rPr>
        <w:footnoteRef/>
      </w:r>
      <w:r w:rsidRPr="000D1E43">
        <w:rPr>
          <w:u w:val="single"/>
        </w:rPr>
        <w:t xml:space="preserve"> (Informative Note) Calculated refrigerator annual energy will deviate from the annual energy input into the equation.</w:t>
      </w:r>
    </w:p>
  </w:footnote>
  <w:footnote w:id="12">
    <w:p w14:paraId="71A50D0D" w14:textId="71C91544" w:rsidR="00E6400F" w:rsidRPr="006001D6" w:rsidRDefault="00E6400F" w:rsidP="008F1DC1">
      <w:pPr>
        <w:pStyle w:val="FootnoteText"/>
      </w:pPr>
      <w:r w:rsidRPr="00947BD8">
        <w:rPr>
          <w:rStyle w:val="FootnoteReference"/>
        </w:rPr>
        <w:footnoteRef/>
      </w:r>
      <w:r w:rsidRPr="00947BD8">
        <w:rPr>
          <w:vertAlign w:val="superscript"/>
        </w:rPr>
        <w:t xml:space="preserve"> </w:t>
      </w:r>
      <w:r w:rsidRPr="00947BD8">
        <w:t>(Informative Reference) For example</w:t>
      </w:r>
      <w:r>
        <w:t>:</w:t>
      </w:r>
      <w:r w:rsidRPr="00947BD8">
        <w:t xml:space="preserve"> </w:t>
      </w:r>
      <w:proofErr w:type="spellStart"/>
      <w:proofErr w:type="gramStart"/>
      <w:r w:rsidRPr="00947BD8">
        <w:t>T</w:t>
      </w:r>
      <w:r w:rsidRPr="00947BD8">
        <w:rPr>
          <w:vertAlign w:val="subscript"/>
        </w:rPr>
        <w:t>amb,avg</w:t>
      </w:r>
      <w:proofErr w:type="gramEnd"/>
      <w:r w:rsidRPr="00947BD8">
        <w:rPr>
          <w:vertAlign w:val="subscript"/>
        </w:rPr>
        <w:t>,july</w:t>
      </w:r>
      <w:proofErr w:type="spellEnd"/>
      <w:r w:rsidRPr="00947BD8">
        <w:t xml:space="preserve"> – </w:t>
      </w:r>
      <w:proofErr w:type="spellStart"/>
      <w:r w:rsidRPr="00947BD8">
        <w:t>T</w:t>
      </w:r>
      <w:r w:rsidRPr="00947BD8">
        <w:rPr>
          <w:vertAlign w:val="subscript"/>
        </w:rPr>
        <w:t>amb,avg,january</w:t>
      </w:r>
      <w:proofErr w:type="spellEnd"/>
    </w:p>
  </w:footnote>
  <w:footnote w:id="13">
    <w:p w14:paraId="63F29DE9" w14:textId="068E0566" w:rsidR="00E6400F" w:rsidRPr="00F22A05" w:rsidRDefault="00E6400F" w:rsidP="008F1DC1">
      <w:pPr>
        <w:pStyle w:val="FootnoteText"/>
        <w:rPr>
          <w:strike/>
        </w:rPr>
      </w:pPr>
      <w:r w:rsidRPr="00F22A05">
        <w:rPr>
          <w:rStyle w:val="FootnoteReference"/>
          <w:strike/>
        </w:rPr>
        <w:footnoteRef/>
      </w:r>
      <w:r w:rsidRPr="00F22A05">
        <w:rPr>
          <w:strike/>
        </w:rPr>
        <w:t xml:space="preserve"> (Informative Note) Example: an unconditioned garage.</w:t>
      </w:r>
    </w:p>
  </w:footnote>
  <w:footnote w:id="14">
    <w:p w14:paraId="6DA0ECF3" w14:textId="216DAD38" w:rsidR="00E6400F" w:rsidRPr="004F1348" w:rsidRDefault="00E6400F" w:rsidP="00485396">
      <w:pPr>
        <w:rPr>
          <w:sz w:val="20"/>
        </w:rPr>
      </w:pPr>
      <w:r w:rsidRPr="00947BD8">
        <w:rPr>
          <w:rStyle w:val="FootnoteReference"/>
          <w:sz w:val="20"/>
        </w:rPr>
        <w:footnoteRef/>
      </w:r>
      <w:r w:rsidRPr="00947BD8">
        <w:rPr>
          <w:sz w:val="20"/>
          <w:szCs w:val="20"/>
        </w:rPr>
        <w:t xml:space="preserve">  (Informative Reference) See the CEC Appliance Efficiency Database  </w:t>
      </w:r>
      <w:hyperlink r:id="rId2" w:history="1">
        <w:r w:rsidRPr="00947BD8">
          <w:rPr>
            <w:rStyle w:val="Hyperlink"/>
            <w:sz w:val="20"/>
            <w:szCs w:val="20"/>
          </w:rPr>
          <w:t>http://www.energy.ca.gov/appliances/</w:t>
        </w:r>
      </w:hyperlink>
      <w:r>
        <w:rPr>
          <w:sz w:val="20"/>
          <w:szCs w:val="20"/>
        </w:rPr>
        <w:t xml:space="preserve"> </w:t>
      </w:r>
      <w:r w:rsidRPr="00947BD8">
        <w:rPr>
          <w:sz w:val="20"/>
          <w:szCs w:val="20"/>
        </w:rPr>
        <w:t xml:space="preserve">or the </w:t>
      </w:r>
      <w:r w:rsidRPr="00D42ECB">
        <w:rPr>
          <w:sz w:val="22"/>
          <w:szCs w:val="20"/>
        </w:rPr>
        <w:t>E</w:t>
      </w:r>
      <w:r w:rsidRPr="003A0C10">
        <w:rPr>
          <w:sz w:val="20"/>
          <w:szCs w:val="20"/>
        </w:rPr>
        <w:t>NERGY</w:t>
      </w:r>
      <w:r w:rsidRPr="00D42ECB">
        <w:rPr>
          <w:sz w:val="22"/>
          <w:szCs w:val="20"/>
        </w:rPr>
        <w:t xml:space="preserve"> </w:t>
      </w:r>
      <w:r w:rsidRPr="003A0C10">
        <w:rPr>
          <w:sz w:val="20"/>
          <w:szCs w:val="20"/>
        </w:rPr>
        <w:t>STAR</w:t>
      </w:r>
      <w:r w:rsidRPr="00D42ECB">
        <w:rPr>
          <w:sz w:val="22"/>
          <w:szCs w:val="20"/>
        </w:rPr>
        <w:t xml:space="preserve"> </w:t>
      </w:r>
      <w:r w:rsidRPr="00947BD8">
        <w:rPr>
          <w:sz w:val="20"/>
          <w:szCs w:val="20"/>
        </w:rPr>
        <w:t xml:space="preserve">Appliance database </w:t>
      </w:r>
      <w:hyperlink r:id="rId3" w:history="1">
        <w:r w:rsidRPr="00947BD8">
          <w:rPr>
            <w:rStyle w:val="Hyperlink"/>
            <w:sz w:val="20"/>
            <w:szCs w:val="20"/>
          </w:rPr>
          <w:t>https://www.energystar.gov/products/appliances/clothes_dryers</w:t>
        </w:r>
      </w:hyperlink>
      <w:r w:rsidRPr="00947BD8">
        <w:rPr>
          <w:sz w:val="20"/>
          <w:szCs w:val="20"/>
        </w:rPr>
        <w:t xml:space="preserve">. </w:t>
      </w:r>
    </w:p>
  </w:footnote>
  <w:footnote w:id="15">
    <w:p w14:paraId="47D42976" w14:textId="1171D361" w:rsidR="00E6400F" w:rsidRPr="00F22A05" w:rsidRDefault="00E6400F" w:rsidP="008F1DC1">
      <w:pPr>
        <w:pStyle w:val="FootnoteText"/>
        <w:rPr>
          <w:strike/>
        </w:rPr>
      </w:pPr>
      <w:r w:rsidRPr="00F22A05">
        <w:rPr>
          <w:rStyle w:val="FootnoteReference"/>
          <w:strike/>
        </w:rPr>
        <w:footnoteRef/>
      </w:r>
      <w:r w:rsidRPr="00F22A05">
        <w:rPr>
          <w:strike/>
        </w:rPr>
        <w:t xml:space="preserve"> (Informative Note) Example: an unconditioned garage.</w:t>
      </w:r>
    </w:p>
  </w:footnote>
  <w:footnote w:id="16">
    <w:p w14:paraId="66C7A5E9" w14:textId="26D89821" w:rsidR="00E6400F" w:rsidRPr="00F22A05" w:rsidRDefault="00E6400F" w:rsidP="008F1DC1">
      <w:pPr>
        <w:pStyle w:val="FootnoteText"/>
        <w:rPr>
          <w:strike/>
        </w:rPr>
      </w:pPr>
      <w:r w:rsidRPr="00F22A05">
        <w:rPr>
          <w:rStyle w:val="FootnoteReference"/>
          <w:strike/>
        </w:rPr>
        <w:footnoteRef/>
      </w:r>
      <w:r w:rsidRPr="00F22A05">
        <w:rPr>
          <w:strike/>
        </w:rPr>
        <w:t xml:space="preserve">  (Informative Note) Example:  an unconditioned garage.</w:t>
      </w:r>
    </w:p>
  </w:footnote>
  <w:footnote w:id="17">
    <w:p w14:paraId="447AAB23" w14:textId="65A2DBCD" w:rsidR="00A12F37" w:rsidRPr="001A5F6E" w:rsidRDefault="00A12F37" w:rsidP="00C0444F">
      <w:pPr>
        <w:pStyle w:val="FootnoteText"/>
      </w:pPr>
      <w:bookmarkStart w:id="75" w:name="_Hlk56271609"/>
      <w:r w:rsidRPr="001A5F6E">
        <w:rPr>
          <w:rStyle w:val="FootnoteReference"/>
        </w:rPr>
        <w:footnoteRef/>
      </w:r>
      <w:r w:rsidRPr="001A5F6E">
        <w:t xml:space="preserve"> (Normative Note) A shower with multiple showerheads that operate simultaneously meets the low-flow criteria if the sum of the flow rates of all showerheads is less than or equal to 2.0 </w:t>
      </w:r>
      <w:proofErr w:type="spellStart"/>
      <w:r w:rsidRPr="001A5F6E">
        <w:t>gpm</w:t>
      </w:r>
      <w:proofErr w:type="spellEnd"/>
      <w:r w:rsidRPr="001A5F6E">
        <w:t>.</w:t>
      </w:r>
      <w:bookmarkEnd w:id="75"/>
    </w:p>
  </w:footnote>
  <w:footnote w:id="18">
    <w:p w14:paraId="1434C8F8" w14:textId="7E7846EB" w:rsidR="00E6400F" w:rsidRPr="00277EA0" w:rsidRDefault="00E6400F">
      <w:pPr>
        <w:pStyle w:val="FootnoteText"/>
      </w:pPr>
      <w:r>
        <w:rPr>
          <w:rStyle w:val="FootnoteReference"/>
        </w:rPr>
        <w:footnoteRef/>
      </w:r>
      <w:r>
        <w:t xml:space="preserve"> (Informative Note</w:t>
      </w:r>
      <w:r w:rsidRPr="00B77922">
        <w:t xml:space="preserve">) </w:t>
      </w:r>
      <w:r w:rsidRPr="001A5F6E">
        <w:t>Pump energy associated with the shared central recirculation loops are modeled separately from this section in section 4.2.2.6.2.11.2.</w:t>
      </w:r>
    </w:p>
  </w:footnote>
  <w:footnote w:id="19">
    <w:p w14:paraId="5B6536DB" w14:textId="1A8C1F74" w:rsidR="00C818B5" w:rsidRPr="00F22A05" w:rsidRDefault="00C818B5">
      <w:pPr>
        <w:pStyle w:val="FootnoteText"/>
        <w:rPr>
          <w:u w:val="single"/>
        </w:rPr>
      </w:pPr>
      <w:r w:rsidRPr="00F22A05">
        <w:rPr>
          <w:rStyle w:val="FootnoteReference"/>
          <w:u w:val="single"/>
        </w:rPr>
        <w:footnoteRef/>
      </w:r>
      <w:bookmarkStart w:id="76" w:name="_Hlk141022160"/>
      <w:r w:rsidRPr="00F22A05">
        <w:rPr>
          <w:u w:val="single"/>
        </w:rPr>
        <w:t xml:space="preserve"> (Normative Note) Ten feet of pipe length applies to every conditioned floor level</w:t>
      </w:r>
      <w:r w:rsidR="00675BFA" w:rsidRPr="00F22A05">
        <w:rPr>
          <w:u w:val="single"/>
        </w:rPr>
        <w:t xml:space="preserve"> not just the level on which the farthest hot water fixture is located.</w:t>
      </w:r>
      <w:bookmarkEnd w:id="76"/>
    </w:p>
  </w:footnote>
  <w:footnote w:id="20">
    <w:p w14:paraId="07AE75E6" w14:textId="741F3D2D" w:rsidR="00C818B5" w:rsidRPr="00F22A05" w:rsidRDefault="00C818B5">
      <w:pPr>
        <w:pStyle w:val="FootnoteText"/>
      </w:pPr>
      <w:r w:rsidRPr="00F22A05">
        <w:rPr>
          <w:rStyle w:val="FootnoteReference"/>
          <w:u w:val="single"/>
        </w:rPr>
        <w:footnoteRef/>
      </w:r>
      <w:r w:rsidRPr="00F22A05">
        <w:rPr>
          <w:u w:val="single"/>
        </w:rPr>
        <w:t xml:space="preserve"> </w:t>
      </w:r>
      <w:bookmarkStart w:id="77" w:name="_Hlk141022222"/>
      <w:r w:rsidRPr="00F22A05">
        <w:rPr>
          <w:u w:val="single"/>
        </w:rPr>
        <w:t xml:space="preserve">(Normative Note) Where both an unconditioned basement and a conditioned basement exist on the same floor level of the Rated Home, only </w:t>
      </w:r>
      <w:r w:rsidR="00AD75F4" w:rsidRPr="00F22A05">
        <w:rPr>
          <w:u w:val="single"/>
        </w:rPr>
        <w:t>ten feet</w:t>
      </w:r>
      <w:r w:rsidRPr="00F22A05">
        <w:rPr>
          <w:u w:val="single"/>
        </w:rPr>
        <w:t xml:space="preserve"> shall be assumed for the vertical pipe length.</w:t>
      </w:r>
      <w:bookmarkEnd w:id="77"/>
    </w:p>
  </w:footnote>
  <w:footnote w:id="21">
    <w:p w14:paraId="480E8618" w14:textId="64A53242" w:rsidR="00E6400F" w:rsidRPr="00F22A05" w:rsidRDefault="00E6400F">
      <w:pPr>
        <w:pStyle w:val="FootnoteText"/>
      </w:pPr>
      <w:r w:rsidRPr="00B77922">
        <w:rPr>
          <w:rStyle w:val="FootnoteReference"/>
        </w:rPr>
        <w:footnoteRef/>
      </w:r>
      <w:r w:rsidRPr="00B77922">
        <w:t xml:space="preserve"> (Normative Note) Attached Dwelling Units shall be modeled with a Standard (</w:t>
      </w:r>
      <w:r>
        <w:t>nonrecirculating</w:t>
      </w:r>
      <w:r w:rsidRPr="00B77922">
        <w:t>) system</w:t>
      </w:r>
      <w:r>
        <w:t xml:space="preserve">, </w:t>
      </w:r>
      <w:r w:rsidRPr="00B77922">
        <w:t xml:space="preserve">except </w:t>
      </w:r>
      <w:r w:rsidRPr="00F22A05">
        <w:t>for recirculating systems that are entirely within the Rated Home (i.e., an individual Townhouse).</w:t>
      </w:r>
    </w:p>
  </w:footnote>
  <w:footnote w:id="22">
    <w:p w14:paraId="4F91E03F" w14:textId="28859A54" w:rsidR="00CA61A9" w:rsidRPr="00F22A05" w:rsidRDefault="00CA61A9">
      <w:pPr>
        <w:pStyle w:val="FootnoteText"/>
        <w:rPr>
          <w:u w:val="single"/>
        </w:rPr>
      </w:pPr>
      <w:r w:rsidRPr="00F22A05">
        <w:rPr>
          <w:rStyle w:val="FootnoteReference"/>
          <w:u w:val="single"/>
        </w:rPr>
        <w:footnoteRef/>
      </w:r>
      <w:r w:rsidRPr="00F22A05">
        <w:rPr>
          <w:u w:val="single"/>
        </w:rPr>
        <w:t xml:space="preserve"> </w:t>
      </w:r>
      <w:bookmarkStart w:id="79" w:name="_Hlk141017952"/>
      <w:r w:rsidRPr="00F22A05">
        <w:rPr>
          <w:u w:val="single"/>
        </w:rPr>
        <w:t>(Normative Note) One hundred percent (100%) of the hot water distribution system piping, elbows and tees must be insulated to a minimum of R-3 to utilize the factors</w:t>
      </w:r>
      <w:r w:rsidR="006F3EDF" w:rsidRPr="00F22A05">
        <w:rPr>
          <w:u w:val="single"/>
        </w:rPr>
        <w:t xml:space="preserve"> </w:t>
      </w:r>
      <w:r w:rsidR="002279E9" w:rsidRPr="00F22A05">
        <w:rPr>
          <w:u w:val="single"/>
        </w:rPr>
        <w:t xml:space="preserve">in </w:t>
      </w:r>
      <w:r w:rsidR="006F3EDF" w:rsidRPr="00F22A05">
        <w:rPr>
          <w:u w:val="single"/>
        </w:rPr>
        <w:t>this column.</w:t>
      </w:r>
      <w:bookmarkEnd w:id="79"/>
    </w:p>
  </w:footnote>
  <w:footnote w:id="23">
    <w:p w14:paraId="703B22CE" w14:textId="77777777" w:rsidR="00E6400F" w:rsidRPr="00601D2A" w:rsidRDefault="00E6400F">
      <w:pPr>
        <w:pStyle w:val="FootnoteText"/>
      </w:pPr>
      <w:r>
        <w:rPr>
          <w:rStyle w:val="FootnoteReference"/>
        </w:rPr>
        <w:footnoteRef/>
      </w:r>
      <w:r>
        <w:t xml:space="preserve"> (Normative Note) The value for the water heater inlet temperature, </w:t>
      </w:r>
      <w:proofErr w:type="spellStart"/>
      <w:r>
        <w:t>WH</w:t>
      </w:r>
      <w:r w:rsidRPr="00601D2A">
        <w:rPr>
          <w:vertAlign w:val="subscript"/>
        </w:rPr>
        <w:t>in</w:t>
      </w:r>
      <w:r>
        <w:t>T</w:t>
      </w:r>
      <w:proofErr w:type="spellEnd"/>
      <w:r>
        <w:t xml:space="preserve">, used to determine </w:t>
      </w:r>
      <w:proofErr w:type="spellStart"/>
      <w:r>
        <w:t>adjF</w:t>
      </w:r>
      <w:r w:rsidRPr="00601D2A">
        <w:rPr>
          <w:vertAlign w:val="subscript"/>
        </w:rPr>
        <w:t>mi</w:t>
      </w:r>
      <w:r>
        <w:rPr>
          <w:vertAlign w:val="subscript"/>
        </w:rPr>
        <w:t>x</w:t>
      </w:r>
      <w:proofErr w:type="spellEnd"/>
      <w:r>
        <w:t xml:space="preserve"> shall be the value for the water heater inlet temperature used to calculate </w:t>
      </w:r>
      <w:proofErr w:type="spellStart"/>
      <w:r>
        <w:t>stdEC</w:t>
      </w:r>
      <w:r w:rsidRPr="00255CA2">
        <w:rPr>
          <w:vertAlign w:val="subscript"/>
        </w:rPr>
        <w:t>HW</w:t>
      </w:r>
      <w:proofErr w:type="spellEnd"/>
      <w:r>
        <w:rPr>
          <w:vertAlign w:val="subscript"/>
        </w:rPr>
        <w:t>.</w:t>
      </w:r>
    </w:p>
  </w:footnote>
  <w:footnote w:id="24">
    <w:p w14:paraId="23B2E54A" w14:textId="5958CD73" w:rsidR="00E6400F" w:rsidRPr="002464EC" w:rsidRDefault="00E6400F">
      <w:pPr>
        <w:pStyle w:val="FootnoteText"/>
      </w:pPr>
      <w:r w:rsidRPr="002464EC">
        <w:rPr>
          <w:rStyle w:val="FootnoteReference"/>
        </w:rPr>
        <w:footnoteRef/>
      </w:r>
      <w:r w:rsidRPr="002464EC">
        <w:t xml:space="preserve"> (Normative Note) Attached Dwelling Units shall be modeled with a Standard (</w:t>
      </w:r>
      <w:r>
        <w:t>nonrecirculating</w:t>
      </w:r>
      <w:r w:rsidRPr="002464EC">
        <w:t>) system</w:t>
      </w:r>
      <w:r>
        <w:t>,</w:t>
      </w:r>
      <w:r w:rsidRPr="002464EC">
        <w:t xml:space="preserve"> except for recirculating systems that are entirely within the Rated Home</w:t>
      </w:r>
      <w:r>
        <w:t xml:space="preserve"> (i.e., </w:t>
      </w:r>
      <w:r w:rsidRPr="002464EC">
        <w:t>an individual Townhouse</w:t>
      </w:r>
      <w:r>
        <w:t>)</w:t>
      </w:r>
      <w:r w:rsidRPr="002464EC">
        <w:t>.</w:t>
      </w:r>
    </w:p>
  </w:footnote>
  <w:footnote w:id="25">
    <w:p w14:paraId="5C7976A7" w14:textId="42747C60" w:rsidR="006F3EDF" w:rsidRPr="00F22A05" w:rsidRDefault="006F3EDF">
      <w:pPr>
        <w:pStyle w:val="FootnoteText"/>
      </w:pPr>
      <w:r w:rsidRPr="00F22A05">
        <w:rPr>
          <w:rStyle w:val="FootnoteReference"/>
          <w:u w:val="single"/>
        </w:rPr>
        <w:footnoteRef/>
      </w:r>
      <w:r w:rsidRPr="00F22A05">
        <w:rPr>
          <w:u w:val="single"/>
        </w:rPr>
        <w:t xml:space="preserve"> (Normative Note) One hundred percent (100%) of the hot water distribution system piping, elbows and tees must be insulated to a minimum of R-3 to utilize the factors </w:t>
      </w:r>
      <w:r w:rsidR="002279E9" w:rsidRPr="00F22A05">
        <w:rPr>
          <w:u w:val="single"/>
        </w:rPr>
        <w:t xml:space="preserve">in </w:t>
      </w:r>
      <w:r w:rsidRPr="00F22A05">
        <w:rPr>
          <w:u w:val="single"/>
        </w:rPr>
        <w:t>this column.</w:t>
      </w:r>
    </w:p>
  </w:footnote>
  <w:footnote w:id="26">
    <w:p w14:paraId="04CA465F" w14:textId="77777777" w:rsidR="008C57AA" w:rsidRDefault="00E6400F" w:rsidP="00706DFD">
      <w:pPr>
        <w:pStyle w:val="FootnoteText"/>
      </w:pPr>
      <w:r w:rsidRPr="00407EEC">
        <w:rPr>
          <w:rStyle w:val="FootnoteReference"/>
        </w:rPr>
        <w:footnoteRef/>
      </w:r>
      <w:r>
        <w:t xml:space="preserve"> (Normative Note)</w:t>
      </w:r>
      <w:r w:rsidRPr="00407EEC">
        <w:t xml:space="preserve"> Climates zones shall be as specified by the </w:t>
      </w:r>
      <w:r w:rsidRPr="00413BB4">
        <w:t>2006</w:t>
      </w:r>
      <w:r>
        <w:t xml:space="preserve"> </w:t>
      </w:r>
      <w:r w:rsidRPr="00407EEC">
        <w:t>IECC.</w:t>
      </w:r>
      <w:r w:rsidR="00F247CD">
        <w:t xml:space="preserve"> </w:t>
      </w:r>
    </w:p>
    <w:p w14:paraId="27B31BBE" w14:textId="50FC9418" w:rsidR="00E6400F" w:rsidRPr="00F247CD" w:rsidRDefault="00F247CD" w:rsidP="00706DFD">
      <w:pPr>
        <w:pStyle w:val="FootnoteText"/>
        <w:rPr>
          <w:i/>
          <w:iCs/>
          <w:color w:val="00B050"/>
        </w:rPr>
      </w:pPr>
      <w:r w:rsidRPr="008C57AA">
        <w:rPr>
          <w:b/>
          <w:bCs/>
          <w:i/>
          <w:iCs/>
          <w:color w:val="0070C0"/>
        </w:rPr>
        <w:t>(</w:t>
      </w:r>
      <w:r w:rsidR="008C57AA" w:rsidRPr="008C57AA">
        <w:rPr>
          <w:b/>
          <w:bCs/>
          <w:i/>
          <w:iCs/>
          <w:color w:val="0070C0"/>
        </w:rPr>
        <w:t>2)</w:t>
      </w:r>
      <w:r w:rsidR="008C57AA">
        <w:rPr>
          <w:i/>
          <w:iCs/>
          <w:color w:val="0070C0"/>
        </w:rPr>
        <w:t xml:space="preserve"> </w:t>
      </w:r>
      <w:r w:rsidRPr="00A12F37">
        <w:rPr>
          <w:i/>
          <w:iCs/>
          <w:color w:val="0070C0"/>
        </w:rPr>
        <w:t>Note on this draft: This footnote is numbered “69” in ANSI/RESNET/ICC 301-2022 but numbered</w:t>
      </w:r>
      <w:r w:rsidR="005B5622" w:rsidRPr="00A12F37">
        <w:rPr>
          <w:i/>
          <w:iCs/>
          <w:color w:val="0070C0"/>
        </w:rPr>
        <w:t xml:space="preserve"> 23 in sequence with other footnotes in this draft. The same footnote is used for “3 ACH</w:t>
      </w:r>
      <w:r w:rsidR="005B5622" w:rsidRPr="00A12F37">
        <w:rPr>
          <w:i/>
          <w:iCs/>
          <w:color w:val="0070C0"/>
          <w:vertAlign w:val="subscript"/>
        </w:rPr>
        <w:t>50</w:t>
      </w:r>
      <w:r w:rsidR="005B5622" w:rsidRPr="00A12F37">
        <w:rPr>
          <w:i/>
          <w:iCs/>
          <w:color w:val="0070C0"/>
        </w:rPr>
        <w:t xml:space="preserve"> in IECC” in the standard but is misnumbered “65”. The change shown above in the draft corrects the reference to footnote “69”.)</w:t>
      </w:r>
    </w:p>
  </w:footnote>
  <w:footnote w:id="27">
    <w:p w14:paraId="741F37F3" w14:textId="77777777" w:rsidR="00210286" w:rsidRPr="00F22A05" w:rsidRDefault="00210286" w:rsidP="00210286">
      <w:pPr>
        <w:pStyle w:val="FootnoteText"/>
      </w:pPr>
      <w:r w:rsidRPr="004B2248">
        <w:rPr>
          <w:rStyle w:val="FootnoteReference"/>
        </w:rPr>
        <w:footnoteRef/>
      </w:r>
      <w:r w:rsidRPr="004B2248">
        <w:t xml:space="preserve"> (Normative</w:t>
      </w:r>
      <w:r w:rsidRPr="004B2248">
        <w:rPr>
          <w:u w:val="single"/>
        </w:rPr>
        <w:t xml:space="preserve"> </w:t>
      </w:r>
      <w:r>
        <w:t xml:space="preserve">Note) For Commercial Variable Refrigerant Flow (VRF) Multi-Split Air Conditioning and Heat Pump </w:t>
      </w:r>
      <w:r w:rsidRPr="00F22A05">
        <w:t xml:space="preserve">Equipment, use IEER in place of SEER.  </w:t>
      </w:r>
    </w:p>
  </w:footnote>
  <w:footnote w:id="28">
    <w:p w14:paraId="6CB26062" w14:textId="77777777" w:rsidR="00210286" w:rsidRPr="00F22A05" w:rsidRDefault="00210286" w:rsidP="00210286">
      <w:pPr>
        <w:pStyle w:val="FootnoteText"/>
      </w:pPr>
      <w:r w:rsidRPr="00F22A05">
        <w:rPr>
          <w:rStyle w:val="FootnoteReference"/>
        </w:rPr>
        <w:footnoteRef/>
      </w:r>
      <w:r w:rsidRPr="00F22A05">
        <w:t xml:space="preserve"> (Informative Note) Such approaches are described in Cutler et al. 2011 and Fairey et al. 2004.</w:t>
      </w:r>
    </w:p>
  </w:footnote>
  <w:footnote w:id="29">
    <w:p w14:paraId="12287A3A" w14:textId="77777777" w:rsidR="00210286" w:rsidRPr="00F22A05" w:rsidRDefault="00210286" w:rsidP="00210286">
      <w:pPr>
        <w:pStyle w:val="FootnoteText"/>
        <w:rPr>
          <w:u w:val="single"/>
        </w:rPr>
      </w:pPr>
      <w:r w:rsidRPr="00F22A05">
        <w:rPr>
          <w:rStyle w:val="FootnoteReference"/>
          <w:u w:val="single"/>
        </w:rPr>
        <w:footnoteRef/>
      </w:r>
      <w:r w:rsidRPr="00F22A05">
        <w:rPr>
          <w:u w:val="single"/>
        </w:rPr>
        <w:t xml:space="preserve"> (Informative Note) Conversion factors developed by </w:t>
      </w:r>
      <w:proofErr w:type="gramStart"/>
      <w:r w:rsidRPr="00F22A05">
        <w:rPr>
          <w:u w:val="single"/>
        </w:rPr>
        <w:t>AHRI, and</w:t>
      </w:r>
      <w:proofErr w:type="gramEnd"/>
      <w:r w:rsidRPr="00F22A05">
        <w:rPr>
          <w:u w:val="single"/>
        </w:rPr>
        <w:t xml:space="preserve"> adopted by RESNET.</w:t>
      </w:r>
    </w:p>
  </w:footnote>
  <w:footnote w:id="30">
    <w:p w14:paraId="35E5C8D4" w14:textId="77777777" w:rsidR="00210286" w:rsidRPr="00F22A05" w:rsidRDefault="00210286" w:rsidP="00210286">
      <w:pPr>
        <w:pStyle w:val="FootnoteText"/>
        <w:rPr>
          <w:u w:val="single"/>
        </w:rPr>
      </w:pPr>
      <w:r w:rsidRPr="00F22A05">
        <w:rPr>
          <w:rStyle w:val="FootnoteReference"/>
          <w:u w:val="single"/>
        </w:rPr>
        <w:footnoteRef/>
      </w:r>
      <w:r w:rsidRPr="00F22A05">
        <w:rPr>
          <w:u w:val="single"/>
        </w:rPr>
        <w:t xml:space="preserve"> </w:t>
      </w:r>
      <w:r w:rsidRPr="00EA3AD3">
        <w:rPr>
          <w:color w:val="FF0000"/>
          <w:u w:val="single"/>
        </w:rPr>
        <w:t xml:space="preserve">(Informative Note) </w:t>
      </w:r>
      <w:r w:rsidRPr="00F22A05">
        <w:rPr>
          <w:u w:val="single"/>
        </w:rPr>
        <w:t>EER and EER2 are not required in this Standard for equipment relevant to this table, but the values are shared here for informative purposes.</w:t>
      </w:r>
    </w:p>
  </w:footnote>
  <w:footnote w:id="31">
    <w:p w14:paraId="4B564AFA" w14:textId="77777777" w:rsidR="00210286" w:rsidRPr="00F22A05" w:rsidRDefault="00210286" w:rsidP="00210286">
      <w:pPr>
        <w:pStyle w:val="FootnoteText"/>
      </w:pPr>
      <w:r w:rsidRPr="00F22A05">
        <w:rPr>
          <w:rStyle w:val="FootnoteReference"/>
          <w:u w:val="single"/>
        </w:rPr>
        <w:footnoteRef/>
      </w:r>
      <w:r w:rsidRPr="00F22A05">
        <w:rPr>
          <w:u w:val="single"/>
        </w:rPr>
        <w:t xml:space="preserve"> </w:t>
      </w:r>
      <w:bookmarkStart w:id="93" w:name="_Hlk142318368"/>
      <w:r w:rsidRPr="00F22A05">
        <w:rPr>
          <w:u w:val="single"/>
        </w:rPr>
        <w:t>(Normative Note)</w:t>
      </w:r>
      <w:r w:rsidRPr="00F22A05">
        <w:t xml:space="preserve"> </w:t>
      </w:r>
      <w:r w:rsidRPr="00F22A05">
        <w:rPr>
          <w:b/>
          <w:i/>
          <w:iCs/>
          <w:u w:val="single"/>
        </w:rPr>
        <w:t>Space Constrained AC or Heat Pump</w:t>
      </w:r>
      <w:r w:rsidRPr="00F22A05">
        <w:rPr>
          <w:u w:val="single"/>
        </w:rPr>
        <w:t xml:space="preserve"> – A space constrained unit is a product that has two overall exterior dimensions or an overall displacement that is substantially smaller than those of other units that are of similar heating and/or cooling capacity, and has rated cooling capacities no greater than 30,000 BTU/hr., and that if increased, would result in considerable increase in cost of installation or utility, and was available for purchase in the United</w:t>
      </w:r>
      <w:r w:rsidRPr="00F22A05">
        <w:rPr>
          <w:rFonts w:asciiTheme="minorHAnsi" w:hAnsiTheme="minorHAnsi" w:cstheme="minorHAnsi"/>
          <w:u w:val="single"/>
        </w:rPr>
        <w:t xml:space="preserve"> States as of December 1, 2000. (</w:t>
      </w:r>
      <w:r w:rsidRPr="00F22A05">
        <w:rPr>
          <w:u w:val="single"/>
        </w:rPr>
        <w:t>Aligns with Title 20 and AHRI Standard 210/240 definitions.)</w:t>
      </w:r>
      <w:bookmarkEnd w:id="93"/>
    </w:p>
  </w:footnote>
  <w:footnote w:id="32">
    <w:p w14:paraId="48872A1E" w14:textId="77777777" w:rsidR="00210286" w:rsidRPr="00F22A05" w:rsidRDefault="00210286" w:rsidP="00210286">
      <w:pPr>
        <w:rPr>
          <w:sz w:val="20"/>
          <w:szCs w:val="20"/>
          <w:u w:val="single"/>
        </w:rPr>
      </w:pPr>
      <w:r w:rsidRPr="00F22A05">
        <w:rPr>
          <w:rStyle w:val="FootnoteReference"/>
          <w:sz w:val="20"/>
          <w:szCs w:val="20"/>
          <w:u w:val="single"/>
        </w:rPr>
        <w:footnoteRef/>
      </w:r>
      <w:r w:rsidRPr="00F22A05">
        <w:rPr>
          <w:sz w:val="20"/>
          <w:szCs w:val="20"/>
          <w:u w:val="single"/>
        </w:rPr>
        <w:t xml:space="preserve"> (Informative Note) For example, for a model home in which a garage has been converted into a sales office, the Minimum Rated Features shall reflect the home with the sales office because that is the state of the home at the time of the inspection, even if the builder intends to convert the sales office back to a garage prior to closing. Alternatively, if the inspection is completed after the sales office has been converted back to a garage, then the Minimum Rated Features shall reflect the home with the garage.”</w:t>
      </w:r>
    </w:p>
    <w:p w14:paraId="04679DD0" w14:textId="77777777" w:rsidR="00210286" w:rsidRPr="00F22A05" w:rsidRDefault="00210286" w:rsidP="00210286">
      <w:pPr>
        <w:pStyle w:val="FootnoteText"/>
      </w:pPr>
    </w:p>
  </w:footnote>
  <w:footnote w:id="33">
    <w:p w14:paraId="710603ED" w14:textId="77777777" w:rsidR="007A100F" w:rsidRPr="00F36713" w:rsidRDefault="007A100F" w:rsidP="007A100F">
      <w:pPr>
        <w:pStyle w:val="FootnoteText"/>
      </w:pPr>
      <w:r w:rsidRPr="006F57D4">
        <w:rPr>
          <w:rStyle w:val="FootnoteReference"/>
        </w:rPr>
        <w:footnoteRef/>
      </w:r>
      <w:r w:rsidRPr="006F57D4">
        <w:t xml:space="preserve"> </w:t>
      </w:r>
      <w:r w:rsidRPr="009A272B">
        <w:t xml:space="preserve">(Informative Note) </w:t>
      </w:r>
      <w:r>
        <w:t>Example: a</w:t>
      </w:r>
      <w:r w:rsidRPr="006F57D4">
        <w:t xml:space="preserve"> refrigerator</w:t>
      </w:r>
      <w:r w:rsidRPr="009A272B">
        <w:t>.</w:t>
      </w:r>
    </w:p>
  </w:footnote>
  <w:footnote w:id="34">
    <w:p w14:paraId="6169B2D8" w14:textId="77777777" w:rsidR="00506836" w:rsidRPr="00E1256B" w:rsidRDefault="00506836" w:rsidP="00506836">
      <w:pPr>
        <w:pStyle w:val="FootnoteText"/>
      </w:pPr>
      <w:r w:rsidRPr="00E1256B">
        <w:rPr>
          <w:rStyle w:val="FootnoteReference"/>
        </w:rPr>
        <w:footnoteRef/>
      </w:r>
      <w:r w:rsidRPr="00E1256B">
        <w:t xml:space="preserve"> (Informative Note) Developed from </w:t>
      </w:r>
      <w:r w:rsidRPr="00E1256B">
        <w:rPr>
          <w:color w:val="FF0000"/>
          <w:u w:val="single"/>
        </w:rPr>
        <w:t xml:space="preserve">ASHRAE Standard 189.1-2020, Addendum m, Appendix J, Table J-6 using combined pre-combustion and combustion values for 100-year GWP time </w:t>
      </w:r>
      <w:proofErr w:type="spellStart"/>
      <w:r w:rsidRPr="00E1256B">
        <w:rPr>
          <w:color w:val="FF0000"/>
          <w:u w:val="single"/>
        </w:rPr>
        <w:t>horizon.</w:t>
      </w:r>
      <w:r w:rsidRPr="00E1256B">
        <w:rPr>
          <w:strike/>
          <w:color w:val="FF0000"/>
        </w:rPr>
        <w:t>the</w:t>
      </w:r>
      <w:proofErr w:type="spellEnd"/>
      <w:r w:rsidRPr="00E1256B">
        <w:rPr>
          <w:strike/>
          <w:color w:val="FF0000"/>
        </w:rPr>
        <w:t xml:space="preserve"> U.S. EPA AP 42, Fifth Edition Compilation of Air Pollutant Emissions Factors, Volume 1, Chapter 1: External Combustion Sources.</w:t>
      </w:r>
      <w:r w:rsidRPr="00E1256B">
        <w:rPr>
          <w:strike/>
          <w:color w:val="FF0000"/>
          <w:u w:val="single"/>
        </w:rPr>
        <w:t xml:space="preserve"> </w:t>
      </w:r>
      <w:hyperlink r:id="rId4" w:history="1">
        <w:r w:rsidRPr="00E1256B">
          <w:rPr>
            <w:rStyle w:val="Hyperlink"/>
            <w:strike/>
            <w:color w:val="FF0000"/>
          </w:rPr>
          <w:t>https://www.epa.gov/air-emissions-factors-and-quantification/ap-42-fifth-edition-volume-i-chapter-1-external-0</w:t>
        </w:r>
      </w:hyperlink>
    </w:p>
  </w:footnote>
  <w:footnote w:id="35">
    <w:p w14:paraId="48E5D08A" w14:textId="03270006" w:rsidR="00E6400F" w:rsidRPr="00F22A05" w:rsidRDefault="00E6400F">
      <w:pPr>
        <w:pStyle w:val="FootnoteText"/>
      </w:pPr>
      <w:r w:rsidRPr="00F22A05">
        <w:rPr>
          <w:rStyle w:val="FootnoteReference"/>
          <w:u w:val="single"/>
        </w:rPr>
        <w:footnoteRef/>
      </w:r>
      <w:r w:rsidRPr="00F22A05">
        <w:rPr>
          <w:u w:val="single"/>
        </w:rPr>
        <w:t xml:space="preserve"> (Informative note) For example, “Calculated in accordance with ANSI / RESNET / ICC 301-2019, including Addenda A &amp; B”</w:t>
      </w:r>
      <w:r w:rsidR="00F247CD" w:rsidRPr="00F22A05">
        <w:rPr>
          <w:u w:val="single"/>
        </w:rPr>
        <w:t>.</w:t>
      </w:r>
    </w:p>
  </w:footnote>
  <w:footnote w:id="36">
    <w:p w14:paraId="29D8D02D" w14:textId="2613D7F2" w:rsidR="00E6400F" w:rsidRPr="00F22A05" w:rsidRDefault="00E6400F">
      <w:pPr>
        <w:pStyle w:val="FootnoteText"/>
      </w:pPr>
      <w:r w:rsidRPr="00F22A05">
        <w:rPr>
          <w:rStyle w:val="FootnoteReference"/>
          <w:u w:val="single"/>
        </w:rPr>
        <w:footnoteRef/>
      </w:r>
      <w:r w:rsidRPr="00F22A05">
        <w:rPr>
          <w:u w:val="single"/>
        </w:rPr>
        <w:t xml:space="preserve"> (Normative note) Where Cambium data are not available for the Rated Home location, the CO</w:t>
      </w:r>
      <w:r w:rsidRPr="00F22A05">
        <w:rPr>
          <w:u w:val="single"/>
          <w:vertAlign w:val="subscript"/>
        </w:rPr>
        <w:t>2</w:t>
      </w:r>
      <w:r w:rsidR="00C74F80" w:rsidRPr="00F22A05">
        <w:rPr>
          <w:u w:val="single"/>
        </w:rPr>
        <w:t>e</w:t>
      </w:r>
      <w:r w:rsidRPr="00F22A05">
        <w:rPr>
          <w:u w:val="single"/>
        </w:rPr>
        <w:t xml:space="preserve"> Index and projected CO</w:t>
      </w:r>
      <w:r w:rsidRPr="00F22A05">
        <w:rPr>
          <w:u w:val="single"/>
          <w:vertAlign w:val="subscript"/>
        </w:rPr>
        <w:t>2</w:t>
      </w:r>
      <w:r w:rsidRPr="00F22A05">
        <w:rPr>
          <w:u w:val="single"/>
        </w:rPr>
        <w:t>e emissions shall not be required.</w:t>
      </w:r>
    </w:p>
  </w:footnote>
  <w:footnote w:id="37">
    <w:p w14:paraId="4EFC5DAC" w14:textId="77777777" w:rsidR="00E6400F" w:rsidRPr="00F22A05" w:rsidRDefault="00E6400F" w:rsidP="00464872">
      <w:pPr>
        <w:pStyle w:val="FootnoteText"/>
      </w:pPr>
      <w:r w:rsidRPr="00F22A05">
        <w:rPr>
          <w:rStyle w:val="FootnoteReference"/>
        </w:rPr>
        <w:footnoteRef/>
      </w:r>
      <w:r w:rsidRPr="00F22A05">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38">
    <w:p w14:paraId="211A3DDD" w14:textId="206F2720" w:rsidR="0049071E" w:rsidRPr="00F22A05" w:rsidRDefault="0049071E">
      <w:pPr>
        <w:pStyle w:val="FootnoteText"/>
      </w:pPr>
      <w:r w:rsidRPr="00F22A05">
        <w:rPr>
          <w:rStyle w:val="FootnoteReference"/>
          <w:u w:val="single"/>
        </w:rPr>
        <w:footnoteRef/>
      </w:r>
      <w:r w:rsidRPr="00F22A05">
        <w:rPr>
          <w:u w:val="single"/>
        </w:rPr>
        <w:t xml:space="preserve"> (Normative Note) </w:t>
      </w:r>
      <w:r w:rsidRPr="00F22A05">
        <w:rPr>
          <w:rFonts w:cstheme="minorHAnsi"/>
          <w:u w:val="single"/>
        </w:rPr>
        <w:t>OEM-provided documentation with the air conditioner or heat pump rated efficiency for a specific combination of different OEM indoor and outdoor components is acceptable.</w:t>
      </w:r>
    </w:p>
  </w:footnote>
  <w:footnote w:id="39">
    <w:p w14:paraId="03B6FE39" w14:textId="77777777" w:rsidR="00E6400F" w:rsidRPr="00F22A05" w:rsidRDefault="00E6400F" w:rsidP="00C53849">
      <w:pPr>
        <w:pStyle w:val="FootnoteText"/>
        <w:rPr>
          <w:u w:val="single"/>
        </w:rPr>
      </w:pPr>
      <w:r w:rsidRPr="00F22A05">
        <w:rPr>
          <w:rStyle w:val="FootnoteReference"/>
          <w:u w:val="single"/>
        </w:rPr>
        <w:footnoteRef/>
      </w:r>
      <w:r w:rsidRPr="00F22A05">
        <w:rPr>
          <w:u w:val="single"/>
        </w:rPr>
        <w:t xml:space="preserve"> The standard reference pressure differential for the calculation of ELA is 4 Pa (U.S. Standard).</w:t>
      </w:r>
    </w:p>
  </w:footnote>
  <w:footnote w:id="40">
    <w:p w14:paraId="4218A826" w14:textId="77777777" w:rsidR="00E6400F" w:rsidRPr="00F22A05" w:rsidRDefault="00E6400F" w:rsidP="00112207">
      <w:pPr>
        <w:pStyle w:val="FootnoteText"/>
        <w:rPr>
          <w:u w:val="single"/>
        </w:rPr>
      </w:pPr>
      <w:r w:rsidRPr="00F22A05">
        <w:rPr>
          <w:rStyle w:val="FootnoteReference"/>
          <w:u w:val="single"/>
        </w:rPr>
        <w:footnoteRef/>
      </w:r>
      <w:r w:rsidRPr="00F22A05">
        <w:rPr>
          <w:u w:val="single"/>
        </w:rPr>
        <w:t xml:space="preserve"> The units of measured data used in the least squares regression determine the units and value of ‘C’.  For SI units, ‘C’ will be derived from airflows measured in m</w:t>
      </w:r>
      <w:r w:rsidRPr="00F22A05">
        <w:rPr>
          <w:sz w:val="24"/>
          <w:u w:val="single"/>
          <w:vertAlign w:val="superscript"/>
        </w:rPr>
        <w:t>3</w:t>
      </w:r>
      <w:r w:rsidRPr="00F22A05">
        <w:rPr>
          <w:u w:val="single"/>
        </w:rPr>
        <w:t>/s and for IP units; ‘C’ will be derived from airflows measured in ft</w:t>
      </w:r>
      <w:r w:rsidRPr="00F22A05">
        <w:rPr>
          <w:sz w:val="24"/>
          <w:u w:val="single"/>
          <w:vertAlign w:val="superscript"/>
        </w:rPr>
        <w:t>3</w:t>
      </w:r>
      <w:r w:rsidRPr="00F22A05">
        <w:rPr>
          <w:u w:val="single"/>
        </w:rPr>
        <w:t>/min (cfm).  As a result, the value and units of ‘C’ will differ substantially based on whether the regression is performed using IP units or SI units.  The units of pressure in both systems are Pa.</w:t>
      </w:r>
    </w:p>
  </w:footnote>
  <w:footnote w:id="41">
    <w:p w14:paraId="027C163B" w14:textId="77777777" w:rsidR="00E6400F" w:rsidRPr="00F22A05" w:rsidRDefault="00E6400F" w:rsidP="00801523">
      <w:pPr>
        <w:pStyle w:val="FootnoteText"/>
        <w:rPr>
          <w:u w:val="single"/>
        </w:rPr>
      </w:pPr>
      <w:r w:rsidRPr="00F22A05">
        <w:rPr>
          <w:rStyle w:val="FootnoteReference"/>
          <w:u w:val="single"/>
        </w:rPr>
        <w:footnoteRef/>
      </w:r>
      <w:r w:rsidRPr="00F22A05">
        <w:rPr>
          <w:u w:val="single"/>
        </w:rPr>
        <w:t xml:space="preserve"> Where ‘n’ is not determined by multi-point test data regression, 0.65 is used.</w:t>
      </w:r>
    </w:p>
  </w:footnote>
  <w:footnote w:id="42">
    <w:p w14:paraId="64FB0C9A" w14:textId="77777777" w:rsidR="00E6400F" w:rsidRPr="00F22A05" w:rsidRDefault="00E6400F" w:rsidP="00EF555B">
      <w:pPr>
        <w:pStyle w:val="FootnoteText"/>
        <w:rPr>
          <w:u w:val="single"/>
        </w:rPr>
      </w:pPr>
      <w:r w:rsidRPr="00F22A05">
        <w:rPr>
          <w:rStyle w:val="FootnoteReference"/>
          <w:u w:val="single"/>
        </w:rPr>
        <w:footnoteRef/>
      </w:r>
      <w:r w:rsidRPr="00F22A05">
        <w:rPr>
          <w:u w:val="single"/>
        </w:rPr>
        <w:t xml:space="preserve"> The standard reference pressure differential for the calculation of </w:t>
      </w:r>
      <w:proofErr w:type="spellStart"/>
      <w:r w:rsidRPr="00F22A05">
        <w:rPr>
          <w:u w:val="single"/>
        </w:rPr>
        <w:t>EqLA</w:t>
      </w:r>
      <w:proofErr w:type="spellEnd"/>
      <w:r w:rsidRPr="00F22A05">
        <w:rPr>
          <w:u w:val="single"/>
        </w:rPr>
        <w:t xml:space="preserve"> is 10 Pa (Canadian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AEB4" w14:textId="77777777" w:rsidR="00E6400F" w:rsidRDefault="00E6400F" w:rsidP="005B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8252FCFA"/>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35B7B7E"/>
    <w:multiLevelType w:val="multilevel"/>
    <w:tmpl w:val="D23C070A"/>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A00767"/>
    <w:multiLevelType w:val="multilevel"/>
    <w:tmpl w:val="39BE8602"/>
    <w:lvl w:ilvl="0">
      <w:start w:val="4"/>
      <w:numFmt w:val="decimal"/>
      <w:lvlText w:val="%1"/>
      <w:lvlJc w:val="left"/>
      <w:pPr>
        <w:ind w:left="780" w:hanging="780"/>
      </w:pPr>
      <w:rPr>
        <w:rFonts w:hint="default"/>
        <w:b/>
        <w:color w:val="498205"/>
      </w:rPr>
    </w:lvl>
    <w:lvl w:ilvl="1">
      <w:start w:val="5"/>
      <w:numFmt w:val="decimal"/>
      <w:lvlText w:val="%1.%2"/>
      <w:lvlJc w:val="left"/>
      <w:pPr>
        <w:ind w:left="780" w:hanging="780"/>
      </w:pPr>
      <w:rPr>
        <w:rFonts w:hint="default"/>
        <w:b/>
        <w:color w:val="auto"/>
      </w:rPr>
    </w:lvl>
    <w:lvl w:ilvl="2">
      <w:start w:val="1"/>
      <w:numFmt w:val="decimal"/>
      <w:lvlText w:val="%1.%2.%3"/>
      <w:lvlJc w:val="left"/>
      <w:pPr>
        <w:ind w:left="780" w:hanging="780"/>
      </w:pPr>
      <w:rPr>
        <w:rFonts w:hint="default"/>
        <w:b/>
        <w:color w:val="auto"/>
      </w:rPr>
    </w:lvl>
    <w:lvl w:ilvl="3">
      <w:start w:val="10"/>
      <w:numFmt w:val="decimal"/>
      <w:lvlText w:val="%1.%2.%3.%4"/>
      <w:lvlJc w:val="left"/>
      <w:pPr>
        <w:ind w:left="780" w:hanging="780"/>
      </w:pPr>
      <w:rPr>
        <w:rFonts w:hint="default"/>
        <w:b/>
        <w:color w:val="498205"/>
      </w:rPr>
    </w:lvl>
    <w:lvl w:ilvl="4">
      <w:start w:val="1"/>
      <w:numFmt w:val="decimal"/>
      <w:lvlText w:val="%1.%2.%3.%4.%5"/>
      <w:lvlJc w:val="left"/>
      <w:pPr>
        <w:ind w:left="1080" w:hanging="1080"/>
      </w:pPr>
      <w:rPr>
        <w:rFonts w:hint="default"/>
        <w:b/>
        <w:color w:val="498205"/>
      </w:rPr>
    </w:lvl>
    <w:lvl w:ilvl="5">
      <w:start w:val="1"/>
      <w:numFmt w:val="decimal"/>
      <w:lvlText w:val="%1.%2.%3.%4.%5.%6"/>
      <w:lvlJc w:val="left"/>
      <w:pPr>
        <w:ind w:left="1080" w:hanging="1080"/>
      </w:pPr>
      <w:rPr>
        <w:rFonts w:hint="default"/>
        <w:b/>
        <w:color w:val="498205"/>
      </w:rPr>
    </w:lvl>
    <w:lvl w:ilvl="6">
      <w:start w:val="1"/>
      <w:numFmt w:val="decimal"/>
      <w:lvlText w:val="%1.%2.%3.%4.%5.%6.%7"/>
      <w:lvlJc w:val="left"/>
      <w:pPr>
        <w:ind w:left="1440" w:hanging="1440"/>
      </w:pPr>
      <w:rPr>
        <w:rFonts w:hint="default"/>
        <w:b/>
        <w:color w:val="498205"/>
      </w:rPr>
    </w:lvl>
    <w:lvl w:ilvl="7">
      <w:start w:val="1"/>
      <w:numFmt w:val="decimal"/>
      <w:lvlText w:val="%1.%2.%3.%4.%5.%6.%7.%8"/>
      <w:lvlJc w:val="left"/>
      <w:pPr>
        <w:ind w:left="1440" w:hanging="1440"/>
      </w:pPr>
      <w:rPr>
        <w:rFonts w:hint="default"/>
        <w:b/>
        <w:color w:val="498205"/>
      </w:rPr>
    </w:lvl>
    <w:lvl w:ilvl="8">
      <w:start w:val="1"/>
      <w:numFmt w:val="decimal"/>
      <w:lvlText w:val="%1.%2.%3.%4.%5.%6.%7.%8.%9"/>
      <w:lvlJc w:val="left"/>
      <w:pPr>
        <w:ind w:left="1800" w:hanging="1800"/>
      </w:pPr>
      <w:rPr>
        <w:rFonts w:hint="default"/>
        <w:b/>
        <w:color w:val="498205"/>
      </w:rPr>
    </w:lvl>
  </w:abstractNum>
  <w:abstractNum w:abstractNumId="4" w15:restartNumberingAfterBreak="0">
    <w:nsid w:val="06441A9B"/>
    <w:multiLevelType w:val="multilevel"/>
    <w:tmpl w:val="FD962FFA"/>
    <w:lvl w:ilvl="0">
      <w:start w:val="4"/>
      <w:numFmt w:val="decimal"/>
      <w:lvlText w:val="%1"/>
      <w:lvlJc w:val="left"/>
      <w:pPr>
        <w:ind w:left="780" w:hanging="780"/>
      </w:pPr>
      <w:rPr>
        <w:rFonts w:hint="default"/>
        <w:b/>
        <w:color w:val="498205"/>
      </w:rPr>
    </w:lvl>
    <w:lvl w:ilvl="1">
      <w:start w:val="3"/>
      <w:numFmt w:val="decimal"/>
      <w:lvlText w:val="%1.%2"/>
      <w:lvlJc w:val="left"/>
      <w:pPr>
        <w:ind w:left="780" w:hanging="780"/>
      </w:pPr>
      <w:rPr>
        <w:rFonts w:hint="default"/>
        <w:b/>
        <w:color w:val="auto"/>
      </w:rPr>
    </w:lvl>
    <w:lvl w:ilvl="2">
      <w:start w:val="1"/>
      <w:numFmt w:val="decimal"/>
      <w:lvlText w:val="%1.%2.%3"/>
      <w:lvlJc w:val="left"/>
      <w:pPr>
        <w:ind w:left="780" w:hanging="780"/>
      </w:pPr>
      <w:rPr>
        <w:rFonts w:hint="default"/>
        <w:b/>
        <w:color w:val="auto"/>
      </w:rPr>
    </w:lvl>
    <w:lvl w:ilvl="3">
      <w:start w:val="10"/>
      <w:numFmt w:val="decimal"/>
      <w:lvlText w:val="%1.%2.%3.%4"/>
      <w:lvlJc w:val="left"/>
      <w:pPr>
        <w:ind w:left="780" w:hanging="780"/>
      </w:pPr>
      <w:rPr>
        <w:rFonts w:hint="default"/>
        <w:b/>
        <w:color w:val="498205"/>
      </w:rPr>
    </w:lvl>
    <w:lvl w:ilvl="4">
      <w:start w:val="1"/>
      <w:numFmt w:val="decimal"/>
      <w:lvlText w:val="%1.%2.%3.%4.%5"/>
      <w:lvlJc w:val="left"/>
      <w:pPr>
        <w:ind w:left="1080" w:hanging="1080"/>
      </w:pPr>
      <w:rPr>
        <w:rFonts w:hint="default"/>
        <w:b/>
        <w:color w:val="498205"/>
      </w:rPr>
    </w:lvl>
    <w:lvl w:ilvl="5">
      <w:start w:val="1"/>
      <w:numFmt w:val="decimal"/>
      <w:lvlText w:val="%1.%2.%3.%4.%5.%6"/>
      <w:lvlJc w:val="left"/>
      <w:pPr>
        <w:ind w:left="1080" w:hanging="1080"/>
      </w:pPr>
      <w:rPr>
        <w:rFonts w:hint="default"/>
        <w:b/>
        <w:color w:val="498205"/>
      </w:rPr>
    </w:lvl>
    <w:lvl w:ilvl="6">
      <w:start w:val="1"/>
      <w:numFmt w:val="decimal"/>
      <w:lvlText w:val="%1.%2.%3.%4.%5.%6.%7"/>
      <w:lvlJc w:val="left"/>
      <w:pPr>
        <w:ind w:left="1440" w:hanging="1440"/>
      </w:pPr>
      <w:rPr>
        <w:rFonts w:hint="default"/>
        <w:b/>
        <w:color w:val="498205"/>
      </w:rPr>
    </w:lvl>
    <w:lvl w:ilvl="7">
      <w:start w:val="1"/>
      <w:numFmt w:val="decimal"/>
      <w:lvlText w:val="%1.%2.%3.%4.%5.%6.%7.%8"/>
      <w:lvlJc w:val="left"/>
      <w:pPr>
        <w:ind w:left="1440" w:hanging="1440"/>
      </w:pPr>
      <w:rPr>
        <w:rFonts w:hint="default"/>
        <w:b/>
        <w:color w:val="498205"/>
      </w:rPr>
    </w:lvl>
    <w:lvl w:ilvl="8">
      <w:start w:val="1"/>
      <w:numFmt w:val="decimal"/>
      <w:lvlText w:val="%1.%2.%3.%4.%5.%6.%7.%8.%9"/>
      <w:lvlJc w:val="left"/>
      <w:pPr>
        <w:ind w:left="1800" w:hanging="1800"/>
      </w:pPr>
      <w:rPr>
        <w:rFonts w:hint="default"/>
        <w:b/>
        <w:color w:val="498205"/>
      </w:rPr>
    </w:lvl>
  </w:abstractNum>
  <w:abstractNum w:abstractNumId="5" w15:restartNumberingAfterBreak="0">
    <w:nsid w:val="0AB7416F"/>
    <w:multiLevelType w:val="multilevel"/>
    <w:tmpl w:val="28BE4D02"/>
    <w:lvl w:ilvl="0">
      <w:start w:val="4"/>
      <w:numFmt w:val="decimal"/>
      <w:lvlText w:val="%1"/>
      <w:lvlJc w:val="left"/>
      <w:pPr>
        <w:ind w:left="780" w:hanging="780"/>
      </w:pPr>
      <w:rPr>
        <w:rFonts w:hint="default"/>
        <w:b/>
        <w:color w:val="498205"/>
      </w:rPr>
    </w:lvl>
    <w:lvl w:ilvl="1">
      <w:start w:val="4"/>
      <w:numFmt w:val="decimal"/>
      <w:lvlText w:val="%1.%2"/>
      <w:lvlJc w:val="left"/>
      <w:pPr>
        <w:ind w:left="780" w:hanging="780"/>
      </w:pPr>
      <w:rPr>
        <w:rFonts w:hint="default"/>
        <w:b/>
        <w:color w:val="auto"/>
      </w:rPr>
    </w:lvl>
    <w:lvl w:ilvl="2">
      <w:start w:val="2"/>
      <w:numFmt w:val="decimal"/>
      <w:lvlText w:val="%1.%2.%3"/>
      <w:lvlJc w:val="left"/>
      <w:pPr>
        <w:ind w:left="780" w:hanging="780"/>
      </w:pPr>
      <w:rPr>
        <w:rFonts w:hint="default"/>
        <w:b/>
        <w:color w:val="auto"/>
      </w:rPr>
    </w:lvl>
    <w:lvl w:ilvl="3">
      <w:start w:val="10"/>
      <w:numFmt w:val="decimal"/>
      <w:lvlText w:val="%1.%2.%3.%4"/>
      <w:lvlJc w:val="left"/>
      <w:pPr>
        <w:ind w:left="780" w:hanging="780"/>
      </w:pPr>
      <w:rPr>
        <w:rFonts w:hint="default"/>
        <w:b/>
        <w:color w:val="498205"/>
      </w:rPr>
    </w:lvl>
    <w:lvl w:ilvl="4">
      <w:start w:val="1"/>
      <w:numFmt w:val="decimal"/>
      <w:lvlText w:val="%1.%2.%3.%4.%5"/>
      <w:lvlJc w:val="left"/>
      <w:pPr>
        <w:ind w:left="1080" w:hanging="1080"/>
      </w:pPr>
      <w:rPr>
        <w:rFonts w:hint="default"/>
        <w:b/>
        <w:color w:val="498205"/>
      </w:rPr>
    </w:lvl>
    <w:lvl w:ilvl="5">
      <w:start w:val="1"/>
      <w:numFmt w:val="decimal"/>
      <w:lvlText w:val="%1.%2.%3.%4.%5.%6"/>
      <w:lvlJc w:val="left"/>
      <w:pPr>
        <w:ind w:left="1080" w:hanging="1080"/>
      </w:pPr>
      <w:rPr>
        <w:rFonts w:hint="default"/>
        <w:b/>
        <w:color w:val="498205"/>
      </w:rPr>
    </w:lvl>
    <w:lvl w:ilvl="6">
      <w:start w:val="1"/>
      <w:numFmt w:val="decimal"/>
      <w:lvlText w:val="%1.%2.%3.%4.%5.%6.%7"/>
      <w:lvlJc w:val="left"/>
      <w:pPr>
        <w:ind w:left="1440" w:hanging="1440"/>
      </w:pPr>
      <w:rPr>
        <w:rFonts w:hint="default"/>
        <w:b/>
        <w:color w:val="498205"/>
      </w:rPr>
    </w:lvl>
    <w:lvl w:ilvl="7">
      <w:start w:val="1"/>
      <w:numFmt w:val="decimal"/>
      <w:lvlText w:val="%1.%2.%3.%4.%5.%6.%7.%8"/>
      <w:lvlJc w:val="left"/>
      <w:pPr>
        <w:ind w:left="1440" w:hanging="1440"/>
      </w:pPr>
      <w:rPr>
        <w:rFonts w:hint="default"/>
        <w:b/>
        <w:color w:val="498205"/>
      </w:rPr>
    </w:lvl>
    <w:lvl w:ilvl="8">
      <w:start w:val="1"/>
      <w:numFmt w:val="decimal"/>
      <w:lvlText w:val="%1.%2.%3.%4.%5.%6.%7.%8.%9"/>
      <w:lvlJc w:val="left"/>
      <w:pPr>
        <w:ind w:left="1800" w:hanging="1800"/>
      </w:pPr>
      <w:rPr>
        <w:rFonts w:hint="default"/>
        <w:b/>
        <w:color w:val="498205"/>
      </w:rPr>
    </w:lvl>
  </w:abstractNum>
  <w:abstractNum w:abstractNumId="6"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0AD6"/>
    <w:multiLevelType w:val="multilevel"/>
    <w:tmpl w:val="B9EA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646B1"/>
    <w:multiLevelType w:val="multilevel"/>
    <w:tmpl w:val="8826BEF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80C06"/>
    <w:multiLevelType w:val="multilevel"/>
    <w:tmpl w:val="7F927BC8"/>
    <w:styleLink w:val="AppendixC"/>
    <w:lvl w:ilvl="0">
      <w:start w:val="1"/>
      <w:numFmt w:val="decimal"/>
      <w:pStyle w:val="AppendixC2"/>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672BBA"/>
    <w:multiLevelType w:val="multilevel"/>
    <w:tmpl w:val="93EEB16E"/>
    <w:lvl w:ilvl="0">
      <w:start w:val="4"/>
      <w:numFmt w:val="decimal"/>
      <w:lvlText w:val="%1"/>
      <w:lvlJc w:val="left"/>
      <w:pPr>
        <w:ind w:left="780" w:hanging="780"/>
      </w:pPr>
      <w:rPr>
        <w:rFonts w:hint="default"/>
        <w:b/>
        <w:color w:val="498205"/>
      </w:rPr>
    </w:lvl>
    <w:lvl w:ilvl="1">
      <w:start w:val="5"/>
      <w:numFmt w:val="decimal"/>
      <w:lvlText w:val="%1.%2"/>
      <w:lvlJc w:val="left"/>
      <w:pPr>
        <w:ind w:left="780" w:hanging="780"/>
      </w:pPr>
      <w:rPr>
        <w:rFonts w:hint="default"/>
        <w:b/>
        <w:color w:val="auto"/>
      </w:rPr>
    </w:lvl>
    <w:lvl w:ilvl="2">
      <w:start w:val="2"/>
      <w:numFmt w:val="decimal"/>
      <w:lvlText w:val="%1.%2.%3"/>
      <w:lvlJc w:val="left"/>
      <w:pPr>
        <w:ind w:left="780" w:hanging="780"/>
      </w:pPr>
      <w:rPr>
        <w:rFonts w:hint="default"/>
        <w:b/>
        <w:color w:val="auto"/>
      </w:rPr>
    </w:lvl>
    <w:lvl w:ilvl="3">
      <w:start w:val="10"/>
      <w:numFmt w:val="decimal"/>
      <w:lvlText w:val="%1.%2.%3.%4"/>
      <w:lvlJc w:val="left"/>
      <w:pPr>
        <w:ind w:left="780" w:hanging="780"/>
      </w:pPr>
      <w:rPr>
        <w:rFonts w:hint="default"/>
        <w:b/>
        <w:color w:val="498205"/>
      </w:rPr>
    </w:lvl>
    <w:lvl w:ilvl="4">
      <w:start w:val="1"/>
      <w:numFmt w:val="decimal"/>
      <w:lvlText w:val="%1.%2.%3.%4.%5"/>
      <w:lvlJc w:val="left"/>
      <w:pPr>
        <w:ind w:left="1080" w:hanging="1080"/>
      </w:pPr>
      <w:rPr>
        <w:rFonts w:hint="default"/>
        <w:b/>
        <w:color w:val="498205"/>
      </w:rPr>
    </w:lvl>
    <w:lvl w:ilvl="5">
      <w:start w:val="1"/>
      <w:numFmt w:val="decimal"/>
      <w:lvlText w:val="%1.%2.%3.%4.%5.%6"/>
      <w:lvlJc w:val="left"/>
      <w:pPr>
        <w:ind w:left="1080" w:hanging="1080"/>
      </w:pPr>
      <w:rPr>
        <w:rFonts w:hint="default"/>
        <w:b/>
        <w:color w:val="498205"/>
      </w:rPr>
    </w:lvl>
    <w:lvl w:ilvl="6">
      <w:start w:val="1"/>
      <w:numFmt w:val="decimal"/>
      <w:lvlText w:val="%1.%2.%3.%4.%5.%6.%7"/>
      <w:lvlJc w:val="left"/>
      <w:pPr>
        <w:ind w:left="1440" w:hanging="1440"/>
      </w:pPr>
      <w:rPr>
        <w:rFonts w:hint="default"/>
        <w:b/>
        <w:color w:val="498205"/>
      </w:rPr>
    </w:lvl>
    <w:lvl w:ilvl="7">
      <w:start w:val="1"/>
      <w:numFmt w:val="decimal"/>
      <w:lvlText w:val="%1.%2.%3.%4.%5.%6.%7.%8"/>
      <w:lvlJc w:val="left"/>
      <w:pPr>
        <w:ind w:left="1440" w:hanging="1440"/>
      </w:pPr>
      <w:rPr>
        <w:rFonts w:hint="default"/>
        <w:b/>
        <w:color w:val="498205"/>
      </w:rPr>
    </w:lvl>
    <w:lvl w:ilvl="8">
      <w:start w:val="1"/>
      <w:numFmt w:val="decimal"/>
      <w:lvlText w:val="%1.%2.%3.%4.%5.%6.%7.%8.%9"/>
      <w:lvlJc w:val="left"/>
      <w:pPr>
        <w:ind w:left="1800" w:hanging="1800"/>
      </w:pPr>
      <w:rPr>
        <w:rFonts w:hint="default"/>
        <w:b/>
        <w:color w:val="498205"/>
      </w:rPr>
    </w:lvl>
  </w:abstractNum>
  <w:abstractNum w:abstractNumId="12" w15:restartNumberingAfterBreak="0">
    <w:nsid w:val="1EBE1E77"/>
    <w:multiLevelType w:val="multilevel"/>
    <w:tmpl w:val="F60CE3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C11B0"/>
    <w:multiLevelType w:val="multilevel"/>
    <w:tmpl w:val="88CC6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329DD"/>
    <w:multiLevelType w:val="hybridMultilevel"/>
    <w:tmpl w:val="A760AE7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7" w15:restartNumberingAfterBreak="0">
    <w:nsid w:val="3A824717"/>
    <w:multiLevelType w:val="multilevel"/>
    <w:tmpl w:val="E5C2E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387D71"/>
    <w:multiLevelType w:val="multilevel"/>
    <w:tmpl w:val="CDACBFDE"/>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19" w15:restartNumberingAfterBreak="0">
    <w:nsid w:val="431952F2"/>
    <w:multiLevelType w:val="multilevel"/>
    <w:tmpl w:val="4E4E55F2"/>
    <w:lvl w:ilvl="0">
      <w:start w:val="4"/>
      <w:numFmt w:val="decimal"/>
      <w:lvlText w:val="%1"/>
      <w:lvlJc w:val="left"/>
      <w:pPr>
        <w:ind w:left="780" w:hanging="780"/>
      </w:pPr>
      <w:rPr>
        <w:rFonts w:hint="default"/>
        <w:b/>
        <w:color w:val="498205"/>
      </w:rPr>
    </w:lvl>
    <w:lvl w:ilvl="1">
      <w:start w:val="3"/>
      <w:numFmt w:val="decimal"/>
      <w:lvlText w:val="%1.%2"/>
      <w:lvlJc w:val="left"/>
      <w:pPr>
        <w:ind w:left="780" w:hanging="780"/>
      </w:pPr>
      <w:rPr>
        <w:rFonts w:hint="default"/>
        <w:b/>
        <w:color w:val="auto"/>
      </w:rPr>
    </w:lvl>
    <w:lvl w:ilvl="2">
      <w:start w:val="2"/>
      <w:numFmt w:val="decimal"/>
      <w:lvlText w:val="%1.%2.%3"/>
      <w:lvlJc w:val="left"/>
      <w:pPr>
        <w:ind w:left="780" w:hanging="780"/>
      </w:pPr>
      <w:rPr>
        <w:rFonts w:hint="default"/>
        <w:b/>
        <w:color w:val="auto"/>
      </w:rPr>
    </w:lvl>
    <w:lvl w:ilvl="3">
      <w:start w:val="10"/>
      <w:numFmt w:val="decimal"/>
      <w:lvlText w:val="%1.%2.%3.%4"/>
      <w:lvlJc w:val="left"/>
      <w:pPr>
        <w:ind w:left="780" w:hanging="780"/>
      </w:pPr>
      <w:rPr>
        <w:rFonts w:hint="default"/>
        <w:b/>
        <w:color w:val="498205"/>
      </w:rPr>
    </w:lvl>
    <w:lvl w:ilvl="4">
      <w:start w:val="1"/>
      <w:numFmt w:val="decimal"/>
      <w:lvlText w:val="%1.%2.%3.%4.%5"/>
      <w:lvlJc w:val="left"/>
      <w:pPr>
        <w:ind w:left="1080" w:hanging="1080"/>
      </w:pPr>
      <w:rPr>
        <w:rFonts w:hint="default"/>
        <w:b/>
        <w:color w:val="498205"/>
      </w:rPr>
    </w:lvl>
    <w:lvl w:ilvl="5">
      <w:start w:val="1"/>
      <w:numFmt w:val="decimal"/>
      <w:lvlText w:val="%1.%2.%3.%4.%5.%6"/>
      <w:lvlJc w:val="left"/>
      <w:pPr>
        <w:ind w:left="1080" w:hanging="1080"/>
      </w:pPr>
      <w:rPr>
        <w:rFonts w:hint="default"/>
        <w:b/>
        <w:color w:val="498205"/>
      </w:rPr>
    </w:lvl>
    <w:lvl w:ilvl="6">
      <w:start w:val="1"/>
      <w:numFmt w:val="decimal"/>
      <w:lvlText w:val="%1.%2.%3.%4.%5.%6.%7"/>
      <w:lvlJc w:val="left"/>
      <w:pPr>
        <w:ind w:left="1440" w:hanging="1440"/>
      </w:pPr>
      <w:rPr>
        <w:rFonts w:hint="default"/>
        <w:b/>
        <w:color w:val="498205"/>
      </w:rPr>
    </w:lvl>
    <w:lvl w:ilvl="7">
      <w:start w:val="1"/>
      <w:numFmt w:val="decimal"/>
      <w:lvlText w:val="%1.%2.%3.%4.%5.%6.%7.%8"/>
      <w:lvlJc w:val="left"/>
      <w:pPr>
        <w:ind w:left="1440" w:hanging="1440"/>
      </w:pPr>
      <w:rPr>
        <w:rFonts w:hint="default"/>
        <w:b/>
        <w:color w:val="498205"/>
      </w:rPr>
    </w:lvl>
    <w:lvl w:ilvl="8">
      <w:start w:val="1"/>
      <w:numFmt w:val="decimal"/>
      <w:lvlText w:val="%1.%2.%3.%4.%5.%6.%7.%8.%9"/>
      <w:lvlJc w:val="left"/>
      <w:pPr>
        <w:ind w:left="1800" w:hanging="1800"/>
      </w:pPr>
      <w:rPr>
        <w:rFonts w:hint="default"/>
        <w:b/>
        <w:color w:val="498205"/>
      </w:rPr>
    </w:lvl>
  </w:abstractNum>
  <w:abstractNum w:abstractNumId="20"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75D92"/>
    <w:multiLevelType w:val="multilevel"/>
    <w:tmpl w:val="C7D6E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B59DB"/>
    <w:multiLevelType w:val="multilevel"/>
    <w:tmpl w:val="D5D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01AE6"/>
    <w:multiLevelType w:val="multilevel"/>
    <w:tmpl w:val="24065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1462F2"/>
    <w:multiLevelType w:val="hybridMultilevel"/>
    <w:tmpl w:val="B1A23754"/>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25" w15:restartNumberingAfterBreak="0">
    <w:nsid w:val="5A0A0A93"/>
    <w:multiLevelType w:val="multilevel"/>
    <w:tmpl w:val="C59EB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B819A8"/>
    <w:multiLevelType w:val="multilevel"/>
    <w:tmpl w:val="FF92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B79D7"/>
    <w:multiLevelType w:val="multilevel"/>
    <w:tmpl w:val="8EA4C8C4"/>
    <w:styleLink w:val="Appendix"/>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F5B70B5"/>
    <w:multiLevelType w:val="multilevel"/>
    <w:tmpl w:val="38F0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65024555"/>
    <w:multiLevelType w:val="multilevel"/>
    <w:tmpl w:val="665E8794"/>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056833"/>
    <w:multiLevelType w:val="multilevel"/>
    <w:tmpl w:val="D99AA44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D645892"/>
    <w:multiLevelType w:val="multilevel"/>
    <w:tmpl w:val="FF947D74"/>
    <w:lvl w:ilvl="0">
      <w:start w:val="4"/>
      <w:numFmt w:val="decimal"/>
      <w:lvlText w:val="%1"/>
      <w:lvlJc w:val="left"/>
      <w:pPr>
        <w:ind w:left="780" w:hanging="780"/>
      </w:pPr>
      <w:rPr>
        <w:rFonts w:hint="default"/>
        <w:b w:val="0"/>
      </w:rPr>
    </w:lvl>
    <w:lvl w:ilvl="1">
      <w:start w:val="5"/>
      <w:numFmt w:val="decimal"/>
      <w:lvlText w:val="%1.%2"/>
      <w:lvlJc w:val="left"/>
      <w:pPr>
        <w:ind w:left="780" w:hanging="780"/>
      </w:pPr>
      <w:rPr>
        <w:rFonts w:hint="default"/>
        <w:b w:val="0"/>
      </w:rPr>
    </w:lvl>
    <w:lvl w:ilvl="2">
      <w:start w:val="2"/>
      <w:numFmt w:val="decimal"/>
      <w:lvlText w:val="%1.%2.%3"/>
      <w:lvlJc w:val="left"/>
      <w:pPr>
        <w:ind w:left="780" w:hanging="780"/>
      </w:pPr>
      <w:rPr>
        <w:rFonts w:hint="default"/>
        <w:b w:val="0"/>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E1A1F73"/>
    <w:multiLevelType w:val="hybridMultilevel"/>
    <w:tmpl w:val="A760AE7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3BA6872"/>
    <w:multiLevelType w:val="multilevel"/>
    <w:tmpl w:val="8F8EDD28"/>
    <w:numStyleLink w:val="RESNETstd"/>
  </w:abstractNum>
  <w:abstractNum w:abstractNumId="37" w15:restartNumberingAfterBreak="0">
    <w:nsid w:val="793B31F4"/>
    <w:multiLevelType w:val="multilevel"/>
    <w:tmpl w:val="310E6D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57C87"/>
    <w:multiLevelType w:val="hybridMultilevel"/>
    <w:tmpl w:val="323449A2"/>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186447">
    <w:abstractNumId w:val="0"/>
  </w:num>
  <w:num w:numId="2" w16cid:durableId="1221283202">
    <w:abstractNumId w:val="33"/>
  </w:num>
  <w:num w:numId="3" w16cid:durableId="945116210">
    <w:abstractNumId w:val="1"/>
  </w:num>
  <w:num w:numId="4" w16cid:durableId="2128037041">
    <w:abstractNumId w:val="31"/>
  </w:num>
  <w:num w:numId="5" w16cid:durableId="1190989449">
    <w:abstractNumId w:val="16"/>
  </w:num>
  <w:num w:numId="6" w16cid:durableId="430976070">
    <w:abstractNumId w:val="36"/>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7" w16cid:durableId="1716273527">
    <w:abstractNumId w:val="6"/>
  </w:num>
  <w:num w:numId="8" w16cid:durableId="52434221">
    <w:abstractNumId w:val="29"/>
  </w:num>
  <w:num w:numId="9" w16cid:durableId="395201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908">
    <w:abstractNumId w:val="32"/>
  </w:num>
  <w:num w:numId="11" w16cid:durableId="1598095829">
    <w:abstractNumId w:val="30"/>
    <w:lvlOverride w:ilvl="0">
      <w:startOverride w:val="1"/>
    </w:lvlOverride>
  </w:num>
  <w:num w:numId="12" w16cid:durableId="375156384">
    <w:abstractNumId w:val="36"/>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3" w16cid:durableId="2102287844">
    <w:abstractNumId w:val="27"/>
  </w:num>
  <w:num w:numId="14" w16cid:durableId="1742561797">
    <w:abstractNumId w:val="10"/>
    <w:lvlOverride w:ilvl="0">
      <w:lvl w:ilvl="0">
        <w:start w:val="1"/>
        <w:numFmt w:val="decimal"/>
        <w:pStyle w:val="AppendixC2"/>
        <w:lvlText w:val="C%1."/>
        <w:lvlJc w:val="left"/>
        <w:pPr>
          <w:ind w:left="450" w:hanging="360"/>
        </w:pPr>
        <w:rPr>
          <w:rFonts w:hint="default"/>
          <w:strike w:val="0"/>
          <w:u w:val="single"/>
        </w:rPr>
      </w:lvl>
    </w:lvlOverride>
    <w:lvlOverride w:ilvl="1">
      <w:lvl w:ilvl="1">
        <w:start w:val="1"/>
        <w:numFmt w:val="decimal"/>
        <w:lvlText w:val="C%1.%2"/>
        <w:lvlJc w:val="left"/>
        <w:pPr>
          <w:ind w:left="720" w:hanging="360"/>
        </w:pPr>
        <w:rPr>
          <w:rFonts w:hint="default"/>
          <w:color w:val="auto"/>
          <w:u w:val="single"/>
        </w:rPr>
      </w:lvl>
    </w:lvlOverride>
  </w:num>
  <w:num w:numId="15" w16cid:durableId="358511935">
    <w:abstractNumId w:val="2"/>
  </w:num>
  <w:num w:numId="16" w16cid:durableId="1354723980">
    <w:abstractNumId w:val="14"/>
  </w:num>
  <w:num w:numId="17" w16cid:durableId="1488935265">
    <w:abstractNumId w:val="36"/>
    <w:lvlOverride w:ilvl="0">
      <w:startOverride w:val="4"/>
      <w:lvl w:ilvl="0">
        <w:start w:val="4"/>
        <w:numFmt w:val="decimal"/>
        <w:lvlText w:val="%1."/>
        <w:lvlJc w:val="left"/>
        <w:pPr>
          <w:tabs>
            <w:tab w:val="num" w:pos="360"/>
          </w:tabs>
          <w:ind w:left="0" w:firstLine="0"/>
        </w:pPr>
        <w:rPr>
          <w:rFonts w:hint="default"/>
          <w:b/>
        </w:rPr>
      </w:lvl>
    </w:lvlOverride>
  </w:num>
  <w:num w:numId="18" w16cid:durableId="1083255396">
    <w:abstractNumId w:val="12"/>
  </w:num>
  <w:num w:numId="19" w16cid:durableId="488911770">
    <w:abstractNumId w:val="10"/>
  </w:num>
  <w:num w:numId="20" w16cid:durableId="527836023">
    <w:abstractNumId w:val="7"/>
  </w:num>
  <w:num w:numId="21" w16cid:durableId="917713266">
    <w:abstractNumId w:val="38"/>
  </w:num>
  <w:num w:numId="22" w16cid:durableId="313417739">
    <w:abstractNumId w:val="20"/>
  </w:num>
  <w:num w:numId="23" w16cid:durableId="2082438356">
    <w:abstractNumId w:val="15"/>
  </w:num>
  <w:num w:numId="24" w16cid:durableId="1428044262">
    <w:abstractNumId w:val="30"/>
  </w:num>
  <w:num w:numId="25" w16cid:durableId="727458975">
    <w:abstractNumId w:val="35"/>
  </w:num>
  <w:num w:numId="26" w16cid:durableId="1305742473">
    <w:abstractNumId w:val="24"/>
  </w:num>
  <w:num w:numId="27" w16cid:durableId="1108543764">
    <w:abstractNumId w:val="8"/>
  </w:num>
  <w:num w:numId="28" w16cid:durableId="2074617186">
    <w:abstractNumId w:val="19"/>
  </w:num>
  <w:num w:numId="29" w16cid:durableId="1564828904">
    <w:abstractNumId w:val="28"/>
  </w:num>
  <w:num w:numId="30" w16cid:durableId="1729450128">
    <w:abstractNumId w:val="25"/>
  </w:num>
  <w:num w:numId="31" w16cid:durableId="2007394926">
    <w:abstractNumId w:val="23"/>
  </w:num>
  <w:num w:numId="32" w16cid:durableId="1483621470">
    <w:abstractNumId w:val="13"/>
  </w:num>
  <w:num w:numId="33" w16cid:durableId="2134326562">
    <w:abstractNumId w:val="21"/>
  </w:num>
  <w:num w:numId="34" w16cid:durableId="242641750">
    <w:abstractNumId w:val="17"/>
  </w:num>
  <w:num w:numId="35" w16cid:durableId="41373673">
    <w:abstractNumId w:val="37"/>
  </w:num>
  <w:num w:numId="36" w16cid:durableId="712340887">
    <w:abstractNumId w:val="22"/>
  </w:num>
  <w:num w:numId="37" w16cid:durableId="2102529107">
    <w:abstractNumId w:val="26"/>
  </w:num>
  <w:num w:numId="38" w16cid:durableId="1078862300">
    <w:abstractNumId w:val="34"/>
  </w:num>
  <w:num w:numId="39" w16cid:durableId="2080248721">
    <w:abstractNumId w:val="36"/>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40" w16cid:durableId="1544366812">
    <w:abstractNumId w:val="9"/>
  </w:num>
  <w:num w:numId="41" w16cid:durableId="115299046">
    <w:abstractNumId w:val="4"/>
  </w:num>
  <w:num w:numId="42" w16cid:durableId="1809325294">
    <w:abstractNumId w:val="5"/>
  </w:num>
  <w:num w:numId="43" w16cid:durableId="1206983157">
    <w:abstractNumId w:val="3"/>
  </w:num>
  <w:num w:numId="44" w16cid:durableId="8681763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n-US" w:vendorID="64" w:dllVersion="6" w:nlCheck="1" w:checkStyle="1"/>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897"/>
    <w:rsid w:val="000008DD"/>
    <w:rsid w:val="00001FC7"/>
    <w:rsid w:val="000029D7"/>
    <w:rsid w:val="00002D71"/>
    <w:rsid w:val="00002E15"/>
    <w:rsid w:val="000030A9"/>
    <w:rsid w:val="00004046"/>
    <w:rsid w:val="000043A0"/>
    <w:rsid w:val="00004525"/>
    <w:rsid w:val="00004685"/>
    <w:rsid w:val="000048D8"/>
    <w:rsid w:val="000048EE"/>
    <w:rsid w:val="00004E4F"/>
    <w:rsid w:val="00004FAE"/>
    <w:rsid w:val="00005483"/>
    <w:rsid w:val="00005774"/>
    <w:rsid w:val="00005EA0"/>
    <w:rsid w:val="00006076"/>
    <w:rsid w:val="000061E4"/>
    <w:rsid w:val="00006559"/>
    <w:rsid w:val="00006DAC"/>
    <w:rsid w:val="00007085"/>
    <w:rsid w:val="00007165"/>
    <w:rsid w:val="00007306"/>
    <w:rsid w:val="0000790B"/>
    <w:rsid w:val="000079CE"/>
    <w:rsid w:val="00007D80"/>
    <w:rsid w:val="000104FC"/>
    <w:rsid w:val="00010D86"/>
    <w:rsid w:val="00010EA7"/>
    <w:rsid w:val="00010F99"/>
    <w:rsid w:val="00010FB8"/>
    <w:rsid w:val="00010FE3"/>
    <w:rsid w:val="0001135D"/>
    <w:rsid w:val="00011ACC"/>
    <w:rsid w:val="00011E20"/>
    <w:rsid w:val="00011FF9"/>
    <w:rsid w:val="0001231C"/>
    <w:rsid w:val="0001251A"/>
    <w:rsid w:val="00012BB3"/>
    <w:rsid w:val="00012EB6"/>
    <w:rsid w:val="00013023"/>
    <w:rsid w:val="000131A5"/>
    <w:rsid w:val="000136CE"/>
    <w:rsid w:val="000136D4"/>
    <w:rsid w:val="00013740"/>
    <w:rsid w:val="00013EF2"/>
    <w:rsid w:val="00013F61"/>
    <w:rsid w:val="00014082"/>
    <w:rsid w:val="0001413F"/>
    <w:rsid w:val="00014271"/>
    <w:rsid w:val="00014511"/>
    <w:rsid w:val="0001461D"/>
    <w:rsid w:val="00014B74"/>
    <w:rsid w:val="00014DBF"/>
    <w:rsid w:val="00014E61"/>
    <w:rsid w:val="00014EC6"/>
    <w:rsid w:val="00015328"/>
    <w:rsid w:val="000153EA"/>
    <w:rsid w:val="0001544F"/>
    <w:rsid w:val="00015934"/>
    <w:rsid w:val="00015A1C"/>
    <w:rsid w:val="00015DAD"/>
    <w:rsid w:val="00015E7F"/>
    <w:rsid w:val="00016447"/>
    <w:rsid w:val="00016472"/>
    <w:rsid w:val="000164A1"/>
    <w:rsid w:val="0001657A"/>
    <w:rsid w:val="00016757"/>
    <w:rsid w:val="00016B54"/>
    <w:rsid w:val="00016C42"/>
    <w:rsid w:val="00016FEC"/>
    <w:rsid w:val="00017095"/>
    <w:rsid w:val="00017262"/>
    <w:rsid w:val="00017AF9"/>
    <w:rsid w:val="00017B82"/>
    <w:rsid w:val="00017C24"/>
    <w:rsid w:val="00017D28"/>
    <w:rsid w:val="00017D9A"/>
    <w:rsid w:val="00020002"/>
    <w:rsid w:val="00020519"/>
    <w:rsid w:val="0002072D"/>
    <w:rsid w:val="00020A62"/>
    <w:rsid w:val="0002157B"/>
    <w:rsid w:val="00021685"/>
    <w:rsid w:val="00021AD7"/>
    <w:rsid w:val="00021E06"/>
    <w:rsid w:val="000229F8"/>
    <w:rsid w:val="00022C55"/>
    <w:rsid w:val="00022F3F"/>
    <w:rsid w:val="000239FF"/>
    <w:rsid w:val="00023C79"/>
    <w:rsid w:val="00023F37"/>
    <w:rsid w:val="0002489F"/>
    <w:rsid w:val="00024AAD"/>
    <w:rsid w:val="00024EB5"/>
    <w:rsid w:val="000252FE"/>
    <w:rsid w:val="0002560E"/>
    <w:rsid w:val="0002572A"/>
    <w:rsid w:val="00025B6F"/>
    <w:rsid w:val="00025E64"/>
    <w:rsid w:val="0002607D"/>
    <w:rsid w:val="0002610F"/>
    <w:rsid w:val="00026236"/>
    <w:rsid w:val="00026775"/>
    <w:rsid w:val="00027567"/>
    <w:rsid w:val="00027B8F"/>
    <w:rsid w:val="00027DB4"/>
    <w:rsid w:val="000300F3"/>
    <w:rsid w:val="000301EA"/>
    <w:rsid w:val="00030E4C"/>
    <w:rsid w:val="0003138A"/>
    <w:rsid w:val="00031D66"/>
    <w:rsid w:val="00031ED6"/>
    <w:rsid w:val="00032E7E"/>
    <w:rsid w:val="0003343E"/>
    <w:rsid w:val="00033630"/>
    <w:rsid w:val="00033985"/>
    <w:rsid w:val="00033CA6"/>
    <w:rsid w:val="00033ED3"/>
    <w:rsid w:val="0003412E"/>
    <w:rsid w:val="00034A28"/>
    <w:rsid w:val="00034BEF"/>
    <w:rsid w:val="00034C7F"/>
    <w:rsid w:val="00035539"/>
    <w:rsid w:val="00035F77"/>
    <w:rsid w:val="0003615E"/>
    <w:rsid w:val="000361F1"/>
    <w:rsid w:val="00036285"/>
    <w:rsid w:val="000364EA"/>
    <w:rsid w:val="00036576"/>
    <w:rsid w:val="0003660A"/>
    <w:rsid w:val="0003678A"/>
    <w:rsid w:val="00036978"/>
    <w:rsid w:val="00036BE9"/>
    <w:rsid w:val="00036E11"/>
    <w:rsid w:val="00036EAA"/>
    <w:rsid w:val="000370C9"/>
    <w:rsid w:val="000372DD"/>
    <w:rsid w:val="000400B3"/>
    <w:rsid w:val="0004044B"/>
    <w:rsid w:val="00040541"/>
    <w:rsid w:val="000407F1"/>
    <w:rsid w:val="00040C38"/>
    <w:rsid w:val="00040CED"/>
    <w:rsid w:val="00040D46"/>
    <w:rsid w:val="00041254"/>
    <w:rsid w:val="000417BD"/>
    <w:rsid w:val="00041E9C"/>
    <w:rsid w:val="00042105"/>
    <w:rsid w:val="0004242A"/>
    <w:rsid w:val="00042844"/>
    <w:rsid w:val="00042864"/>
    <w:rsid w:val="00042E1F"/>
    <w:rsid w:val="00043428"/>
    <w:rsid w:val="00043479"/>
    <w:rsid w:val="00043744"/>
    <w:rsid w:val="00043FAA"/>
    <w:rsid w:val="000441D9"/>
    <w:rsid w:val="00044998"/>
    <w:rsid w:val="0004500D"/>
    <w:rsid w:val="0004521F"/>
    <w:rsid w:val="00045479"/>
    <w:rsid w:val="0004552D"/>
    <w:rsid w:val="00045A26"/>
    <w:rsid w:val="00045B64"/>
    <w:rsid w:val="0004645F"/>
    <w:rsid w:val="000467E2"/>
    <w:rsid w:val="000468B1"/>
    <w:rsid w:val="00046E95"/>
    <w:rsid w:val="00046EC0"/>
    <w:rsid w:val="00047027"/>
    <w:rsid w:val="000474CA"/>
    <w:rsid w:val="00047996"/>
    <w:rsid w:val="00047C66"/>
    <w:rsid w:val="00047D59"/>
    <w:rsid w:val="00047E10"/>
    <w:rsid w:val="00050015"/>
    <w:rsid w:val="00050A18"/>
    <w:rsid w:val="00050B71"/>
    <w:rsid w:val="00050C52"/>
    <w:rsid w:val="0005110A"/>
    <w:rsid w:val="00051F7E"/>
    <w:rsid w:val="00052185"/>
    <w:rsid w:val="000521CD"/>
    <w:rsid w:val="00052799"/>
    <w:rsid w:val="00052897"/>
    <w:rsid w:val="000529FD"/>
    <w:rsid w:val="00052A46"/>
    <w:rsid w:val="0005312F"/>
    <w:rsid w:val="0005371F"/>
    <w:rsid w:val="00053831"/>
    <w:rsid w:val="00053981"/>
    <w:rsid w:val="00053B45"/>
    <w:rsid w:val="000543D8"/>
    <w:rsid w:val="000543EC"/>
    <w:rsid w:val="0005440E"/>
    <w:rsid w:val="00054524"/>
    <w:rsid w:val="00054556"/>
    <w:rsid w:val="00054D32"/>
    <w:rsid w:val="0005578D"/>
    <w:rsid w:val="0005598C"/>
    <w:rsid w:val="00056213"/>
    <w:rsid w:val="00056432"/>
    <w:rsid w:val="00056C0F"/>
    <w:rsid w:val="00056F82"/>
    <w:rsid w:val="0005705C"/>
    <w:rsid w:val="0005711B"/>
    <w:rsid w:val="00057561"/>
    <w:rsid w:val="0005761D"/>
    <w:rsid w:val="00057AF7"/>
    <w:rsid w:val="00057D43"/>
    <w:rsid w:val="000603CD"/>
    <w:rsid w:val="0006085D"/>
    <w:rsid w:val="000608B2"/>
    <w:rsid w:val="00060AA0"/>
    <w:rsid w:val="00060B28"/>
    <w:rsid w:val="0006126C"/>
    <w:rsid w:val="00061919"/>
    <w:rsid w:val="00061D77"/>
    <w:rsid w:val="0006219E"/>
    <w:rsid w:val="00062AA8"/>
    <w:rsid w:val="00062EE9"/>
    <w:rsid w:val="00062FA2"/>
    <w:rsid w:val="000630F2"/>
    <w:rsid w:val="00063FDE"/>
    <w:rsid w:val="000642D5"/>
    <w:rsid w:val="000648E3"/>
    <w:rsid w:val="000649F0"/>
    <w:rsid w:val="000658F5"/>
    <w:rsid w:val="00065E9F"/>
    <w:rsid w:val="00065FF0"/>
    <w:rsid w:val="00066052"/>
    <w:rsid w:val="000666A8"/>
    <w:rsid w:val="00066B6E"/>
    <w:rsid w:val="00066C3D"/>
    <w:rsid w:val="00066E09"/>
    <w:rsid w:val="00066EC5"/>
    <w:rsid w:val="00066F9A"/>
    <w:rsid w:val="00067258"/>
    <w:rsid w:val="00067D62"/>
    <w:rsid w:val="00067E32"/>
    <w:rsid w:val="0007008A"/>
    <w:rsid w:val="00070250"/>
    <w:rsid w:val="00070518"/>
    <w:rsid w:val="00070631"/>
    <w:rsid w:val="000707B0"/>
    <w:rsid w:val="00070C03"/>
    <w:rsid w:val="00070CA5"/>
    <w:rsid w:val="00070F98"/>
    <w:rsid w:val="000712EE"/>
    <w:rsid w:val="00071494"/>
    <w:rsid w:val="0007166E"/>
    <w:rsid w:val="00071ABD"/>
    <w:rsid w:val="00072017"/>
    <w:rsid w:val="00072702"/>
    <w:rsid w:val="0007284E"/>
    <w:rsid w:val="0007294F"/>
    <w:rsid w:val="00072D1E"/>
    <w:rsid w:val="00072DBD"/>
    <w:rsid w:val="00072FA6"/>
    <w:rsid w:val="00073362"/>
    <w:rsid w:val="000737C2"/>
    <w:rsid w:val="000738AE"/>
    <w:rsid w:val="000738BD"/>
    <w:rsid w:val="00073EDF"/>
    <w:rsid w:val="00074721"/>
    <w:rsid w:val="00074DCC"/>
    <w:rsid w:val="00074FED"/>
    <w:rsid w:val="00075FC7"/>
    <w:rsid w:val="00076131"/>
    <w:rsid w:val="00076CDC"/>
    <w:rsid w:val="00076D41"/>
    <w:rsid w:val="00076D49"/>
    <w:rsid w:val="00076EDE"/>
    <w:rsid w:val="0007743A"/>
    <w:rsid w:val="00077526"/>
    <w:rsid w:val="00077A39"/>
    <w:rsid w:val="00077AF9"/>
    <w:rsid w:val="00077B9E"/>
    <w:rsid w:val="00077C9A"/>
    <w:rsid w:val="0008007E"/>
    <w:rsid w:val="0008016B"/>
    <w:rsid w:val="000809A0"/>
    <w:rsid w:val="00081031"/>
    <w:rsid w:val="000813C4"/>
    <w:rsid w:val="00081FDD"/>
    <w:rsid w:val="000823F4"/>
    <w:rsid w:val="0008271D"/>
    <w:rsid w:val="0008272F"/>
    <w:rsid w:val="000829EF"/>
    <w:rsid w:val="00082C25"/>
    <w:rsid w:val="00082D00"/>
    <w:rsid w:val="00082E85"/>
    <w:rsid w:val="00083608"/>
    <w:rsid w:val="000836B5"/>
    <w:rsid w:val="000837A1"/>
    <w:rsid w:val="00083CE1"/>
    <w:rsid w:val="00083E10"/>
    <w:rsid w:val="00084095"/>
    <w:rsid w:val="00084378"/>
    <w:rsid w:val="00084441"/>
    <w:rsid w:val="000844D2"/>
    <w:rsid w:val="00084539"/>
    <w:rsid w:val="00084C91"/>
    <w:rsid w:val="00085291"/>
    <w:rsid w:val="0008532D"/>
    <w:rsid w:val="00085BC8"/>
    <w:rsid w:val="0008605F"/>
    <w:rsid w:val="0008636A"/>
    <w:rsid w:val="0008691B"/>
    <w:rsid w:val="00086B09"/>
    <w:rsid w:val="00086ED0"/>
    <w:rsid w:val="00087600"/>
    <w:rsid w:val="00087B0B"/>
    <w:rsid w:val="00087CA3"/>
    <w:rsid w:val="00087E42"/>
    <w:rsid w:val="00090978"/>
    <w:rsid w:val="00091702"/>
    <w:rsid w:val="00091A36"/>
    <w:rsid w:val="00091B20"/>
    <w:rsid w:val="00092468"/>
    <w:rsid w:val="0009267C"/>
    <w:rsid w:val="00092A71"/>
    <w:rsid w:val="00092DB0"/>
    <w:rsid w:val="00092EEA"/>
    <w:rsid w:val="00093330"/>
    <w:rsid w:val="00093817"/>
    <w:rsid w:val="000939D6"/>
    <w:rsid w:val="0009430E"/>
    <w:rsid w:val="000943DA"/>
    <w:rsid w:val="00094A53"/>
    <w:rsid w:val="00094DE8"/>
    <w:rsid w:val="0009528C"/>
    <w:rsid w:val="00095640"/>
    <w:rsid w:val="000959F9"/>
    <w:rsid w:val="00096094"/>
    <w:rsid w:val="000962A2"/>
    <w:rsid w:val="0009644C"/>
    <w:rsid w:val="00096DF9"/>
    <w:rsid w:val="000970D3"/>
    <w:rsid w:val="00097251"/>
    <w:rsid w:val="00097C65"/>
    <w:rsid w:val="00097D23"/>
    <w:rsid w:val="00097E3D"/>
    <w:rsid w:val="000A0B27"/>
    <w:rsid w:val="000A0CB4"/>
    <w:rsid w:val="000A1056"/>
    <w:rsid w:val="000A10DC"/>
    <w:rsid w:val="000A11FE"/>
    <w:rsid w:val="000A1681"/>
    <w:rsid w:val="000A1972"/>
    <w:rsid w:val="000A1EE5"/>
    <w:rsid w:val="000A2143"/>
    <w:rsid w:val="000A234C"/>
    <w:rsid w:val="000A2535"/>
    <w:rsid w:val="000A2632"/>
    <w:rsid w:val="000A2DD5"/>
    <w:rsid w:val="000A3118"/>
    <w:rsid w:val="000A313A"/>
    <w:rsid w:val="000A31BB"/>
    <w:rsid w:val="000A3254"/>
    <w:rsid w:val="000A349A"/>
    <w:rsid w:val="000A3B7F"/>
    <w:rsid w:val="000A403F"/>
    <w:rsid w:val="000A426A"/>
    <w:rsid w:val="000A4515"/>
    <w:rsid w:val="000A46B9"/>
    <w:rsid w:val="000A4D41"/>
    <w:rsid w:val="000A4DE9"/>
    <w:rsid w:val="000A5257"/>
    <w:rsid w:val="000A525A"/>
    <w:rsid w:val="000A53EE"/>
    <w:rsid w:val="000A555E"/>
    <w:rsid w:val="000A5842"/>
    <w:rsid w:val="000A58DE"/>
    <w:rsid w:val="000A5AED"/>
    <w:rsid w:val="000A64F7"/>
    <w:rsid w:val="000A67AC"/>
    <w:rsid w:val="000A69A4"/>
    <w:rsid w:val="000A69AF"/>
    <w:rsid w:val="000A6AB9"/>
    <w:rsid w:val="000A711D"/>
    <w:rsid w:val="000A7159"/>
    <w:rsid w:val="000A75FB"/>
    <w:rsid w:val="000A762C"/>
    <w:rsid w:val="000A77FF"/>
    <w:rsid w:val="000A7CE1"/>
    <w:rsid w:val="000A7EBE"/>
    <w:rsid w:val="000B06FD"/>
    <w:rsid w:val="000B0BB4"/>
    <w:rsid w:val="000B1363"/>
    <w:rsid w:val="000B1836"/>
    <w:rsid w:val="000B1A0A"/>
    <w:rsid w:val="000B287F"/>
    <w:rsid w:val="000B2FFA"/>
    <w:rsid w:val="000B312F"/>
    <w:rsid w:val="000B35D6"/>
    <w:rsid w:val="000B3657"/>
    <w:rsid w:val="000B39CE"/>
    <w:rsid w:val="000B3D01"/>
    <w:rsid w:val="000B3FD7"/>
    <w:rsid w:val="000B4412"/>
    <w:rsid w:val="000B476C"/>
    <w:rsid w:val="000B4826"/>
    <w:rsid w:val="000B4F4D"/>
    <w:rsid w:val="000B51A0"/>
    <w:rsid w:val="000B5292"/>
    <w:rsid w:val="000B539B"/>
    <w:rsid w:val="000B5AF6"/>
    <w:rsid w:val="000B627F"/>
    <w:rsid w:val="000B6600"/>
    <w:rsid w:val="000B6AC4"/>
    <w:rsid w:val="000B6AD4"/>
    <w:rsid w:val="000B6D3C"/>
    <w:rsid w:val="000B71D2"/>
    <w:rsid w:val="000B7A7E"/>
    <w:rsid w:val="000B7CB0"/>
    <w:rsid w:val="000B7D32"/>
    <w:rsid w:val="000B7ED2"/>
    <w:rsid w:val="000C04DB"/>
    <w:rsid w:val="000C091A"/>
    <w:rsid w:val="000C09E1"/>
    <w:rsid w:val="000C0A04"/>
    <w:rsid w:val="000C0C5D"/>
    <w:rsid w:val="000C0C9E"/>
    <w:rsid w:val="000C0CA7"/>
    <w:rsid w:val="000C12E2"/>
    <w:rsid w:val="000C1544"/>
    <w:rsid w:val="000C18C2"/>
    <w:rsid w:val="000C1A36"/>
    <w:rsid w:val="000C1AA4"/>
    <w:rsid w:val="000C1B65"/>
    <w:rsid w:val="000C1B69"/>
    <w:rsid w:val="000C21F4"/>
    <w:rsid w:val="000C2340"/>
    <w:rsid w:val="000C237E"/>
    <w:rsid w:val="000C2649"/>
    <w:rsid w:val="000C271E"/>
    <w:rsid w:val="000C348A"/>
    <w:rsid w:val="000C34BF"/>
    <w:rsid w:val="000C3BDD"/>
    <w:rsid w:val="000C3E8C"/>
    <w:rsid w:val="000C410F"/>
    <w:rsid w:val="000C4E59"/>
    <w:rsid w:val="000C51FD"/>
    <w:rsid w:val="000C5241"/>
    <w:rsid w:val="000C54DF"/>
    <w:rsid w:val="000C5585"/>
    <w:rsid w:val="000C5A4C"/>
    <w:rsid w:val="000C5DD3"/>
    <w:rsid w:val="000C5E03"/>
    <w:rsid w:val="000C5FB2"/>
    <w:rsid w:val="000C607F"/>
    <w:rsid w:val="000C6084"/>
    <w:rsid w:val="000C6B4F"/>
    <w:rsid w:val="000C6C59"/>
    <w:rsid w:val="000C7BC7"/>
    <w:rsid w:val="000C7E98"/>
    <w:rsid w:val="000C7EE3"/>
    <w:rsid w:val="000C7F43"/>
    <w:rsid w:val="000D06E9"/>
    <w:rsid w:val="000D0793"/>
    <w:rsid w:val="000D09C9"/>
    <w:rsid w:val="000D0D2C"/>
    <w:rsid w:val="000D0D9C"/>
    <w:rsid w:val="000D0E20"/>
    <w:rsid w:val="000D0F47"/>
    <w:rsid w:val="000D13E9"/>
    <w:rsid w:val="000D1793"/>
    <w:rsid w:val="000D19A5"/>
    <w:rsid w:val="000D1E43"/>
    <w:rsid w:val="000D203A"/>
    <w:rsid w:val="000D212C"/>
    <w:rsid w:val="000D21AB"/>
    <w:rsid w:val="000D2442"/>
    <w:rsid w:val="000D284F"/>
    <w:rsid w:val="000D2E4E"/>
    <w:rsid w:val="000D2F59"/>
    <w:rsid w:val="000D2FCD"/>
    <w:rsid w:val="000D3642"/>
    <w:rsid w:val="000D3891"/>
    <w:rsid w:val="000D38E2"/>
    <w:rsid w:val="000D3D30"/>
    <w:rsid w:val="000D43EB"/>
    <w:rsid w:val="000D4695"/>
    <w:rsid w:val="000D4B60"/>
    <w:rsid w:val="000D4B9D"/>
    <w:rsid w:val="000D4C66"/>
    <w:rsid w:val="000D4CB7"/>
    <w:rsid w:val="000D4DF0"/>
    <w:rsid w:val="000D4E96"/>
    <w:rsid w:val="000D5293"/>
    <w:rsid w:val="000D57AA"/>
    <w:rsid w:val="000D5EB9"/>
    <w:rsid w:val="000D5EF0"/>
    <w:rsid w:val="000D600B"/>
    <w:rsid w:val="000D61A8"/>
    <w:rsid w:val="000D629A"/>
    <w:rsid w:val="000D6326"/>
    <w:rsid w:val="000D63D5"/>
    <w:rsid w:val="000D6A1B"/>
    <w:rsid w:val="000D6E86"/>
    <w:rsid w:val="000D7069"/>
    <w:rsid w:val="000D73B8"/>
    <w:rsid w:val="000D7864"/>
    <w:rsid w:val="000D7891"/>
    <w:rsid w:val="000D79A9"/>
    <w:rsid w:val="000D7A58"/>
    <w:rsid w:val="000D7A73"/>
    <w:rsid w:val="000E02ED"/>
    <w:rsid w:val="000E0482"/>
    <w:rsid w:val="000E04E9"/>
    <w:rsid w:val="000E1280"/>
    <w:rsid w:val="000E131C"/>
    <w:rsid w:val="000E1521"/>
    <w:rsid w:val="000E1EA8"/>
    <w:rsid w:val="000E2352"/>
    <w:rsid w:val="000E2D2B"/>
    <w:rsid w:val="000E3988"/>
    <w:rsid w:val="000E3C6F"/>
    <w:rsid w:val="000E409F"/>
    <w:rsid w:val="000E40DF"/>
    <w:rsid w:val="000E4141"/>
    <w:rsid w:val="000E464E"/>
    <w:rsid w:val="000E49F9"/>
    <w:rsid w:val="000E4CD3"/>
    <w:rsid w:val="000E4F8E"/>
    <w:rsid w:val="000E4FE1"/>
    <w:rsid w:val="000E4FF7"/>
    <w:rsid w:val="000E510B"/>
    <w:rsid w:val="000E5754"/>
    <w:rsid w:val="000E580D"/>
    <w:rsid w:val="000E5E93"/>
    <w:rsid w:val="000E6E0B"/>
    <w:rsid w:val="000E6F96"/>
    <w:rsid w:val="000E78D0"/>
    <w:rsid w:val="000E7D3C"/>
    <w:rsid w:val="000F05E4"/>
    <w:rsid w:val="000F0BAA"/>
    <w:rsid w:val="000F0D43"/>
    <w:rsid w:val="000F13F6"/>
    <w:rsid w:val="000F1955"/>
    <w:rsid w:val="000F1A24"/>
    <w:rsid w:val="000F1AA3"/>
    <w:rsid w:val="000F1DA6"/>
    <w:rsid w:val="000F2219"/>
    <w:rsid w:val="000F23B0"/>
    <w:rsid w:val="000F2809"/>
    <w:rsid w:val="000F3518"/>
    <w:rsid w:val="000F3529"/>
    <w:rsid w:val="000F37CC"/>
    <w:rsid w:val="000F3941"/>
    <w:rsid w:val="000F3C03"/>
    <w:rsid w:val="000F439C"/>
    <w:rsid w:val="000F5054"/>
    <w:rsid w:val="000F50FF"/>
    <w:rsid w:val="000F5116"/>
    <w:rsid w:val="000F5168"/>
    <w:rsid w:val="000F5318"/>
    <w:rsid w:val="000F5D11"/>
    <w:rsid w:val="000F6023"/>
    <w:rsid w:val="000F602E"/>
    <w:rsid w:val="000F65D1"/>
    <w:rsid w:val="000F6B9E"/>
    <w:rsid w:val="000F6D36"/>
    <w:rsid w:val="000F6FA8"/>
    <w:rsid w:val="000F7884"/>
    <w:rsid w:val="000F7B9E"/>
    <w:rsid w:val="000F7DEA"/>
    <w:rsid w:val="00100231"/>
    <w:rsid w:val="00100482"/>
    <w:rsid w:val="00100625"/>
    <w:rsid w:val="00100E60"/>
    <w:rsid w:val="00100F24"/>
    <w:rsid w:val="00101240"/>
    <w:rsid w:val="001013A1"/>
    <w:rsid w:val="00101AB4"/>
    <w:rsid w:val="00102241"/>
    <w:rsid w:val="0010257B"/>
    <w:rsid w:val="00102B95"/>
    <w:rsid w:val="00102FDB"/>
    <w:rsid w:val="00103418"/>
    <w:rsid w:val="001035D5"/>
    <w:rsid w:val="001036C0"/>
    <w:rsid w:val="00103743"/>
    <w:rsid w:val="00103953"/>
    <w:rsid w:val="00104686"/>
    <w:rsid w:val="00104AF1"/>
    <w:rsid w:val="00104F26"/>
    <w:rsid w:val="0010533A"/>
    <w:rsid w:val="001053E2"/>
    <w:rsid w:val="00105611"/>
    <w:rsid w:val="0010575B"/>
    <w:rsid w:val="00105888"/>
    <w:rsid w:val="00105B3A"/>
    <w:rsid w:val="00105C08"/>
    <w:rsid w:val="00106A37"/>
    <w:rsid w:val="00106D7B"/>
    <w:rsid w:val="00107360"/>
    <w:rsid w:val="00107643"/>
    <w:rsid w:val="0010783F"/>
    <w:rsid w:val="00107D15"/>
    <w:rsid w:val="00110007"/>
    <w:rsid w:val="0011042B"/>
    <w:rsid w:val="00110C31"/>
    <w:rsid w:val="00111210"/>
    <w:rsid w:val="001120C3"/>
    <w:rsid w:val="00112207"/>
    <w:rsid w:val="00112BAA"/>
    <w:rsid w:val="00112EA9"/>
    <w:rsid w:val="00112EC4"/>
    <w:rsid w:val="00113257"/>
    <w:rsid w:val="0011345C"/>
    <w:rsid w:val="0011386D"/>
    <w:rsid w:val="00113E60"/>
    <w:rsid w:val="00113F0D"/>
    <w:rsid w:val="0011414F"/>
    <w:rsid w:val="00114518"/>
    <w:rsid w:val="001148B4"/>
    <w:rsid w:val="0011498D"/>
    <w:rsid w:val="001151DF"/>
    <w:rsid w:val="00115612"/>
    <w:rsid w:val="00115884"/>
    <w:rsid w:val="00115B70"/>
    <w:rsid w:val="00115B76"/>
    <w:rsid w:val="00115D8C"/>
    <w:rsid w:val="00115E79"/>
    <w:rsid w:val="00116335"/>
    <w:rsid w:val="001168C1"/>
    <w:rsid w:val="00116AFF"/>
    <w:rsid w:val="00116DA7"/>
    <w:rsid w:val="00116E4D"/>
    <w:rsid w:val="001172AA"/>
    <w:rsid w:val="001174C4"/>
    <w:rsid w:val="0011758F"/>
    <w:rsid w:val="001177B3"/>
    <w:rsid w:val="00117AEB"/>
    <w:rsid w:val="00117BB1"/>
    <w:rsid w:val="00120233"/>
    <w:rsid w:val="0012040A"/>
    <w:rsid w:val="001209C9"/>
    <w:rsid w:val="00120B2D"/>
    <w:rsid w:val="00120CE4"/>
    <w:rsid w:val="00121EC8"/>
    <w:rsid w:val="00122055"/>
    <w:rsid w:val="001221AE"/>
    <w:rsid w:val="00122C92"/>
    <w:rsid w:val="00122CD6"/>
    <w:rsid w:val="00122D88"/>
    <w:rsid w:val="00122E50"/>
    <w:rsid w:val="00122F10"/>
    <w:rsid w:val="001232D9"/>
    <w:rsid w:val="001240DC"/>
    <w:rsid w:val="00124107"/>
    <w:rsid w:val="00124441"/>
    <w:rsid w:val="00124824"/>
    <w:rsid w:val="00124D00"/>
    <w:rsid w:val="00125052"/>
    <w:rsid w:val="001250BA"/>
    <w:rsid w:val="001251E0"/>
    <w:rsid w:val="00125D00"/>
    <w:rsid w:val="0012658A"/>
    <w:rsid w:val="001267DC"/>
    <w:rsid w:val="00126C05"/>
    <w:rsid w:val="001271E8"/>
    <w:rsid w:val="001271EF"/>
    <w:rsid w:val="0012726D"/>
    <w:rsid w:val="00127329"/>
    <w:rsid w:val="0012755B"/>
    <w:rsid w:val="001275B4"/>
    <w:rsid w:val="001275CF"/>
    <w:rsid w:val="00127E8E"/>
    <w:rsid w:val="00127ECF"/>
    <w:rsid w:val="00127F0E"/>
    <w:rsid w:val="00127FA4"/>
    <w:rsid w:val="00130009"/>
    <w:rsid w:val="00130064"/>
    <w:rsid w:val="001300CE"/>
    <w:rsid w:val="001301AF"/>
    <w:rsid w:val="00130561"/>
    <w:rsid w:val="00130C31"/>
    <w:rsid w:val="00130DCD"/>
    <w:rsid w:val="00130FA7"/>
    <w:rsid w:val="00131CC9"/>
    <w:rsid w:val="00131D09"/>
    <w:rsid w:val="00131EEE"/>
    <w:rsid w:val="001326B0"/>
    <w:rsid w:val="00132BCD"/>
    <w:rsid w:val="00132C7B"/>
    <w:rsid w:val="00133439"/>
    <w:rsid w:val="0013384E"/>
    <w:rsid w:val="00133966"/>
    <w:rsid w:val="00133AC7"/>
    <w:rsid w:val="00133C01"/>
    <w:rsid w:val="00134092"/>
    <w:rsid w:val="001344BE"/>
    <w:rsid w:val="0013475B"/>
    <w:rsid w:val="0013487A"/>
    <w:rsid w:val="00134A87"/>
    <w:rsid w:val="00135313"/>
    <w:rsid w:val="0013549E"/>
    <w:rsid w:val="0013560F"/>
    <w:rsid w:val="00135657"/>
    <w:rsid w:val="0013568F"/>
    <w:rsid w:val="001360E9"/>
    <w:rsid w:val="0013612E"/>
    <w:rsid w:val="0013623F"/>
    <w:rsid w:val="001365AC"/>
    <w:rsid w:val="00136635"/>
    <w:rsid w:val="00137037"/>
    <w:rsid w:val="00137A37"/>
    <w:rsid w:val="00137AAD"/>
    <w:rsid w:val="00137E92"/>
    <w:rsid w:val="00137F5F"/>
    <w:rsid w:val="00137FC3"/>
    <w:rsid w:val="00140391"/>
    <w:rsid w:val="00140443"/>
    <w:rsid w:val="00140CD8"/>
    <w:rsid w:val="001410F5"/>
    <w:rsid w:val="00141114"/>
    <w:rsid w:val="0014130E"/>
    <w:rsid w:val="00141A76"/>
    <w:rsid w:val="00141AFB"/>
    <w:rsid w:val="00141B2C"/>
    <w:rsid w:val="00141C3F"/>
    <w:rsid w:val="00141DA0"/>
    <w:rsid w:val="001422F3"/>
    <w:rsid w:val="0014241F"/>
    <w:rsid w:val="001425AA"/>
    <w:rsid w:val="0014313D"/>
    <w:rsid w:val="0014408A"/>
    <w:rsid w:val="0014458A"/>
    <w:rsid w:val="00144798"/>
    <w:rsid w:val="0014483A"/>
    <w:rsid w:val="00145035"/>
    <w:rsid w:val="00145430"/>
    <w:rsid w:val="00145909"/>
    <w:rsid w:val="0014641C"/>
    <w:rsid w:val="0014687E"/>
    <w:rsid w:val="001469CD"/>
    <w:rsid w:val="00146B50"/>
    <w:rsid w:val="00147014"/>
    <w:rsid w:val="001470C3"/>
    <w:rsid w:val="001471B8"/>
    <w:rsid w:val="00147DC6"/>
    <w:rsid w:val="00147E2D"/>
    <w:rsid w:val="00147F75"/>
    <w:rsid w:val="00150058"/>
    <w:rsid w:val="00150C6D"/>
    <w:rsid w:val="00150F66"/>
    <w:rsid w:val="001512B3"/>
    <w:rsid w:val="001514FB"/>
    <w:rsid w:val="00151668"/>
    <w:rsid w:val="00151FC9"/>
    <w:rsid w:val="0015267D"/>
    <w:rsid w:val="001526A5"/>
    <w:rsid w:val="00152A03"/>
    <w:rsid w:val="00152B27"/>
    <w:rsid w:val="00153568"/>
    <w:rsid w:val="00153790"/>
    <w:rsid w:val="0015379A"/>
    <w:rsid w:val="0015389F"/>
    <w:rsid w:val="00153905"/>
    <w:rsid w:val="00153926"/>
    <w:rsid w:val="00153B23"/>
    <w:rsid w:val="00153E47"/>
    <w:rsid w:val="00154030"/>
    <w:rsid w:val="0015425F"/>
    <w:rsid w:val="00154289"/>
    <w:rsid w:val="001548B4"/>
    <w:rsid w:val="00154BB4"/>
    <w:rsid w:val="00154CBD"/>
    <w:rsid w:val="001557B6"/>
    <w:rsid w:val="00155A02"/>
    <w:rsid w:val="00155B85"/>
    <w:rsid w:val="00155D82"/>
    <w:rsid w:val="00155F19"/>
    <w:rsid w:val="001560A3"/>
    <w:rsid w:val="00156271"/>
    <w:rsid w:val="0015647B"/>
    <w:rsid w:val="00156649"/>
    <w:rsid w:val="00156D29"/>
    <w:rsid w:val="00156D93"/>
    <w:rsid w:val="001571AD"/>
    <w:rsid w:val="001572EC"/>
    <w:rsid w:val="00157614"/>
    <w:rsid w:val="001576FA"/>
    <w:rsid w:val="00157C64"/>
    <w:rsid w:val="00157F48"/>
    <w:rsid w:val="001602D0"/>
    <w:rsid w:val="0016056F"/>
    <w:rsid w:val="00160B9D"/>
    <w:rsid w:val="00160E73"/>
    <w:rsid w:val="00160EB3"/>
    <w:rsid w:val="00161103"/>
    <w:rsid w:val="00161820"/>
    <w:rsid w:val="00161852"/>
    <w:rsid w:val="00161A5E"/>
    <w:rsid w:val="00161A7D"/>
    <w:rsid w:val="00161DFB"/>
    <w:rsid w:val="0016207D"/>
    <w:rsid w:val="00162151"/>
    <w:rsid w:val="0016216F"/>
    <w:rsid w:val="001621E0"/>
    <w:rsid w:val="0016261C"/>
    <w:rsid w:val="00162810"/>
    <w:rsid w:val="00162948"/>
    <w:rsid w:val="00162C68"/>
    <w:rsid w:val="00162E54"/>
    <w:rsid w:val="0016310E"/>
    <w:rsid w:val="001631AC"/>
    <w:rsid w:val="001634A1"/>
    <w:rsid w:val="001634EA"/>
    <w:rsid w:val="00163A2B"/>
    <w:rsid w:val="00163B85"/>
    <w:rsid w:val="00163D49"/>
    <w:rsid w:val="001641A1"/>
    <w:rsid w:val="0016427B"/>
    <w:rsid w:val="001643A2"/>
    <w:rsid w:val="0016449C"/>
    <w:rsid w:val="00164B68"/>
    <w:rsid w:val="001650DA"/>
    <w:rsid w:val="00165305"/>
    <w:rsid w:val="00165AA3"/>
    <w:rsid w:val="00165CCF"/>
    <w:rsid w:val="00166119"/>
    <w:rsid w:val="00166333"/>
    <w:rsid w:val="00166782"/>
    <w:rsid w:val="00166965"/>
    <w:rsid w:val="00166D3B"/>
    <w:rsid w:val="00167168"/>
    <w:rsid w:val="00167184"/>
    <w:rsid w:val="001674DC"/>
    <w:rsid w:val="00167C55"/>
    <w:rsid w:val="00167E0E"/>
    <w:rsid w:val="00167EBB"/>
    <w:rsid w:val="00167FCC"/>
    <w:rsid w:val="00170584"/>
    <w:rsid w:val="001705E1"/>
    <w:rsid w:val="00170E76"/>
    <w:rsid w:val="00170F65"/>
    <w:rsid w:val="001715B9"/>
    <w:rsid w:val="0017162A"/>
    <w:rsid w:val="0017174D"/>
    <w:rsid w:val="001717CB"/>
    <w:rsid w:val="00171B81"/>
    <w:rsid w:val="00171BF3"/>
    <w:rsid w:val="00172266"/>
    <w:rsid w:val="00172402"/>
    <w:rsid w:val="00172511"/>
    <w:rsid w:val="00172783"/>
    <w:rsid w:val="00172E63"/>
    <w:rsid w:val="00174115"/>
    <w:rsid w:val="001748EC"/>
    <w:rsid w:val="00174B16"/>
    <w:rsid w:val="001753DC"/>
    <w:rsid w:val="00175E71"/>
    <w:rsid w:val="00175F8A"/>
    <w:rsid w:val="001766A9"/>
    <w:rsid w:val="00176C1F"/>
    <w:rsid w:val="00176FA8"/>
    <w:rsid w:val="0017706E"/>
    <w:rsid w:val="0017767C"/>
    <w:rsid w:val="001776F7"/>
    <w:rsid w:val="00177749"/>
    <w:rsid w:val="00180257"/>
    <w:rsid w:val="001804A4"/>
    <w:rsid w:val="00180A4E"/>
    <w:rsid w:val="00180AAC"/>
    <w:rsid w:val="00180B29"/>
    <w:rsid w:val="001818E2"/>
    <w:rsid w:val="0018196A"/>
    <w:rsid w:val="0018237E"/>
    <w:rsid w:val="0018265B"/>
    <w:rsid w:val="00183B0D"/>
    <w:rsid w:val="00183C29"/>
    <w:rsid w:val="00183C43"/>
    <w:rsid w:val="00183ECE"/>
    <w:rsid w:val="00184486"/>
    <w:rsid w:val="00184594"/>
    <w:rsid w:val="00184653"/>
    <w:rsid w:val="001848A1"/>
    <w:rsid w:val="00184F6C"/>
    <w:rsid w:val="001852B8"/>
    <w:rsid w:val="001855E8"/>
    <w:rsid w:val="0018581A"/>
    <w:rsid w:val="001858B7"/>
    <w:rsid w:val="001860CC"/>
    <w:rsid w:val="0018634C"/>
    <w:rsid w:val="00186BEC"/>
    <w:rsid w:val="00186C46"/>
    <w:rsid w:val="001877F5"/>
    <w:rsid w:val="00187A8F"/>
    <w:rsid w:val="00187E14"/>
    <w:rsid w:val="00187E52"/>
    <w:rsid w:val="00187EB8"/>
    <w:rsid w:val="00187EE6"/>
    <w:rsid w:val="00187F28"/>
    <w:rsid w:val="00187FCC"/>
    <w:rsid w:val="001902A8"/>
    <w:rsid w:val="00190F4D"/>
    <w:rsid w:val="00190FF9"/>
    <w:rsid w:val="00191160"/>
    <w:rsid w:val="00191421"/>
    <w:rsid w:val="0019157F"/>
    <w:rsid w:val="00191863"/>
    <w:rsid w:val="00191ABE"/>
    <w:rsid w:val="00191B49"/>
    <w:rsid w:val="001920F6"/>
    <w:rsid w:val="00192182"/>
    <w:rsid w:val="00192343"/>
    <w:rsid w:val="001933A6"/>
    <w:rsid w:val="00193460"/>
    <w:rsid w:val="00193552"/>
    <w:rsid w:val="00193732"/>
    <w:rsid w:val="001940B2"/>
    <w:rsid w:val="00194917"/>
    <w:rsid w:val="00195078"/>
    <w:rsid w:val="001954A5"/>
    <w:rsid w:val="001954CA"/>
    <w:rsid w:val="00195797"/>
    <w:rsid w:val="0019580A"/>
    <w:rsid w:val="00195978"/>
    <w:rsid w:val="00195EC1"/>
    <w:rsid w:val="001962E0"/>
    <w:rsid w:val="00196B23"/>
    <w:rsid w:val="00197509"/>
    <w:rsid w:val="001A06F7"/>
    <w:rsid w:val="001A0A31"/>
    <w:rsid w:val="001A107D"/>
    <w:rsid w:val="001A1345"/>
    <w:rsid w:val="001A17AA"/>
    <w:rsid w:val="001A17FC"/>
    <w:rsid w:val="001A1889"/>
    <w:rsid w:val="001A1A36"/>
    <w:rsid w:val="001A1FA0"/>
    <w:rsid w:val="001A2206"/>
    <w:rsid w:val="001A22B5"/>
    <w:rsid w:val="001A22DE"/>
    <w:rsid w:val="001A2497"/>
    <w:rsid w:val="001A25A7"/>
    <w:rsid w:val="001A272E"/>
    <w:rsid w:val="001A2B3B"/>
    <w:rsid w:val="001A2FB1"/>
    <w:rsid w:val="001A329E"/>
    <w:rsid w:val="001A33E4"/>
    <w:rsid w:val="001A3550"/>
    <w:rsid w:val="001A3B73"/>
    <w:rsid w:val="001A3B81"/>
    <w:rsid w:val="001A4086"/>
    <w:rsid w:val="001A414F"/>
    <w:rsid w:val="001A420F"/>
    <w:rsid w:val="001A46B7"/>
    <w:rsid w:val="001A4D2F"/>
    <w:rsid w:val="001A4F82"/>
    <w:rsid w:val="001A526A"/>
    <w:rsid w:val="001A52F4"/>
    <w:rsid w:val="001A5CCF"/>
    <w:rsid w:val="001A5F6E"/>
    <w:rsid w:val="001A63BC"/>
    <w:rsid w:val="001A6897"/>
    <w:rsid w:val="001A6A35"/>
    <w:rsid w:val="001A6A68"/>
    <w:rsid w:val="001A72CB"/>
    <w:rsid w:val="001B0459"/>
    <w:rsid w:val="001B08F3"/>
    <w:rsid w:val="001B12F1"/>
    <w:rsid w:val="001B1684"/>
    <w:rsid w:val="001B1ABB"/>
    <w:rsid w:val="001B1D7C"/>
    <w:rsid w:val="001B1EC2"/>
    <w:rsid w:val="001B1F03"/>
    <w:rsid w:val="001B22DD"/>
    <w:rsid w:val="001B26B1"/>
    <w:rsid w:val="001B27B3"/>
    <w:rsid w:val="001B2909"/>
    <w:rsid w:val="001B4A9E"/>
    <w:rsid w:val="001B4C93"/>
    <w:rsid w:val="001B4C9C"/>
    <w:rsid w:val="001B5042"/>
    <w:rsid w:val="001B518D"/>
    <w:rsid w:val="001B5710"/>
    <w:rsid w:val="001B5978"/>
    <w:rsid w:val="001B604E"/>
    <w:rsid w:val="001B615B"/>
    <w:rsid w:val="001B647A"/>
    <w:rsid w:val="001B6546"/>
    <w:rsid w:val="001B67D7"/>
    <w:rsid w:val="001B6B7E"/>
    <w:rsid w:val="001B6C31"/>
    <w:rsid w:val="001B6E4F"/>
    <w:rsid w:val="001B712B"/>
    <w:rsid w:val="001B7A2F"/>
    <w:rsid w:val="001B7A5F"/>
    <w:rsid w:val="001B7A65"/>
    <w:rsid w:val="001B7BD5"/>
    <w:rsid w:val="001B7D24"/>
    <w:rsid w:val="001B7D9F"/>
    <w:rsid w:val="001C0523"/>
    <w:rsid w:val="001C0655"/>
    <w:rsid w:val="001C0A0D"/>
    <w:rsid w:val="001C0C02"/>
    <w:rsid w:val="001C0EC5"/>
    <w:rsid w:val="001C136C"/>
    <w:rsid w:val="001C19D7"/>
    <w:rsid w:val="001C1C53"/>
    <w:rsid w:val="001C1D33"/>
    <w:rsid w:val="001C215E"/>
    <w:rsid w:val="001C220B"/>
    <w:rsid w:val="001C2520"/>
    <w:rsid w:val="001C2885"/>
    <w:rsid w:val="001C2CD5"/>
    <w:rsid w:val="001C3158"/>
    <w:rsid w:val="001C31AF"/>
    <w:rsid w:val="001C3774"/>
    <w:rsid w:val="001C3CC0"/>
    <w:rsid w:val="001C47B6"/>
    <w:rsid w:val="001C4945"/>
    <w:rsid w:val="001C494B"/>
    <w:rsid w:val="001C4B98"/>
    <w:rsid w:val="001C4CA2"/>
    <w:rsid w:val="001C4D40"/>
    <w:rsid w:val="001C54E5"/>
    <w:rsid w:val="001C5884"/>
    <w:rsid w:val="001C59B0"/>
    <w:rsid w:val="001C5A77"/>
    <w:rsid w:val="001C5E3E"/>
    <w:rsid w:val="001C654A"/>
    <w:rsid w:val="001C658C"/>
    <w:rsid w:val="001C66DD"/>
    <w:rsid w:val="001C6CEF"/>
    <w:rsid w:val="001C6DA3"/>
    <w:rsid w:val="001C6F88"/>
    <w:rsid w:val="001C6F9C"/>
    <w:rsid w:val="001C7173"/>
    <w:rsid w:val="001C71D3"/>
    <w:rsid w:val="001C7DAC"/>
    <w:rsid w:val="001C7DC3"/>
    <w:rsid w:val="001C7EAE"/>
    <w:rsid w:val="001D0396"/>
    <w:rsid w:val="001D0954"/>
    <w:rsid w:val="001D0A85"/>
    <w:rsid w:val="001D0EE2"/>
    <w:rsid w:val="001D11CE"/>
    <w:rsid w:val="001D1415"/>
    <w:rsid w:val="001D1E25"/>
    <w:rsid w:val="001D2541"/>
    <w:rsid w:val="001D26BA"/>
    <w:rsid w:val="001D279D"/>
    <w:rsid w:val="001D2B30"/>
    <w:rsid w:val="001D2BE3"/>
    <w:rsid w:val="001D2DCC"/>
    <w:rsid w:val="001D2FDE"/>
    <w:rsid w:val="001D317B"/>
    <w:rsid w:val="001D32ED"/>
    <w:rsid w:val="001D3330"/>
    <w:rsid w:val="001D33E1"/>
    <w:rsid w:val="001D3A4D"/>
    <w:rsid w:val="001D3AC3"/>
    <w:rsid w:val="001D3B44"/>
    <w:rsid w:val="001D3E05"/>
    <w:rsid w:val="001D3E0B"/>
    <w:rsid w:val="001D4CB7"/>
    <w:rsid w:val="001D4E1E"/>
    <w:rsid w:val="001D4EB5"/>
    <w:rsid w:val="001D4F29"/>
    <w:rsid w:val="001D5465"/>
    <w:rsid w:val="001D5681"/>
    <w:rsid w:val="001D568F"/>
    <w:rsid w:val="001D58FC"/>
    <w:rsid w:val="001D63B4"/>
    <w:rsid w:val="001D67A9"/>
    <w:rsid w:val="001D77B7"/>
    <w:rsid w:val="001D79C8"/>
    <w:rsid w:val="001D7B9D"/>
    <w:rsid w:val="001D7F1A"/>
    <w:rsid w:val="001E0324"/>
    <w:rsid w:val="001E0604"/>
    <w:rsid w:val="001E06BA"/>
    <w:rsid w:val="001E0FC3"/>
    <w:rsid w:val="001E1329"/>
    <w:rsid w:val="001E1B1C"/>
    <w:rsid w:val="001E1C26"/>
    <w:rsid w:val="001E1E7D"/>
    <w:rsid w:val="001E1F88"/>
    <w:rsid w:val="001E24A7"/>
    <w:rsid w:val="001E282D"/>
    <w:rsid w:val="001E28F0"/>
    <w:rsid w:val="001E2937"/>
    <w:rsid w:val="001E310C"/>
    <w:rsid w:val="001E4286"/>
    <w:rsid w:val="001E43F9"/>
    <w:rsid w:val="001E4C8A"/>
    <w:rsid w:val="001E5901"/>
    <w:rsid w:val="001E5ADE"/>
    <w:rsid w:val="001E5C00"/>
    <w:rsid w:val="001E63DD"/>
    <w:rsid w:val="001E64FF"/>
    <w:rsid w:val="001E680B"/>
    <w:rsid w:val="001E6BE6"/>
    <w:rsid w:val="001E70AF"/>
    <w:rsid w:val="001E74E6"/>
    <w:rsid w:val="001E7A04"/>
    <w:rsid w:val="001E7C91"/>
    <w:rsid w:val="001F03BD"/>
    <w:rsid w:val="001F0BB7"/>
    <w:rsid w:val="001F0BD8"/>
    <w:rsid w:val="001F1394"/>
    <w:rsid w:val="001F1431"/>
    <w:rsid w:val="001F1502"/>
    <w:rsid w:val="001F18DD"/>
    <w:rsid w:val="001F191C"/>
    <w:rsid w:val="001F1B23"/>
    <w:rsid w:val="001F1C30"/>
    <w:rsid w:val="001F1E2B"/>
    <w:rsid w:val="001F1F34"/>
    <w:rsid w:val="001F2087"/>
    <w:rsid w:val="001F2285"/>
    <w:rsid w:val="001F286F"/>
    <w:rsid w:val="001F2CC1"/>
    <w:rsid w:val="001F2CE5"/>
    <w:rsid w:val="001F2DB2"/>
    <w:rsid w:val="001F2DD9"/>
    <w:rsid w:val="001F310F"/>
    <w:rsid w:val="001F3138"/>
    <w:rsid w:val="001F3490"/>
    <w:rsid w:val="001F3857"/>
    <w:rsid w:val="001F39DA"/>
    <w:rsid w:val="001F3EA9"/>
    <w:rsid w:val="001F41FD"/>
    <w:rsid w:val="001F427F"/>
    <w:rsid w:val="001F4937"/>
    <w:rsid w:val="001F4DA1"/>
    <w:rsid w:val="001F4E11"/>
    <w:rsid w:val="001F4E67"/>
    <w:rsid w:val="001F54FE"/>
    <w:rsid w:val="001F5558"/>
    <w:rsid w:val="001F595A"/>
    <w:rsid w:val="001F5A71"/>
    <w:rsid w:val="001F5C38"/>
    <w:rsid w:val="001F5F25"/>
    <w:rsid w:val="001F643C"/>
    <w:rsid w:val="001F6BE8"/>
    <w:rsid w:val="001F6DAB"/>
    <w:rsid w:val="001F6FA2"/>
    <w:rsid w:val="001F716A"/>
    <w:rsid w:val="001F755B"/>
    <w:rsid w:val="0020013E"/>
    <w:rsid w:val="002002D1"/>
    <w:rsid w:val="002005BF"/>
    <w:rsid w:val="0020085D"/>
    <w:rsid w:val="00201BBF"/>
    <w:rsid w:val="00201CA7"/>
    <w:rsid w:val="00202EAD"/>
    <w:rsid w:val="002031AB"/>
    <w:rsid w:val="0020323E"/>
    <w:rsid w:val="002036D5"/>
    <w:rsid w:val="002036FD"/>
    <w:rsid w:val="00203C31"/>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06DE1"/>
    <w:rsid w:val="0020715A"/>
    <w:rsid w:val="00207467"/>
    <w:rsid w:val="00210286"/>
    <w:rsid w:val="002102A1"/>
    <w:rsid w:val="00210873"/>
    <w:rsid w:val="00210EF4"/>
    <w:rsid w:val="00210F4A"/>
    <w:rsid w:val="002113E7"/>
    <w:rsid w:val="00211CA5"/>
    <w:rsid w:val="00212268"/>
    <w:rsid w:val="00213C00"/>
    <w:rsid w:val="00213CE6"/>
    <w:rsid w:val="00213E9E"/>
    <w:rsid w:val="0021400A"/>
    <w:rsid w:val="002140A3"/>
    <w:rsid w:val="00214235"/>
    <w:rsid w:val="00214716"/>
    <w:rsid w:val="00214726"/>
    <w:rsid w:val="00214771"/>
    <w:rsid w:val="00214D2D"/>
    <w:rsid w:val="00214D32"/>
    <w:rsid w:val="00214E5C"/>
    <w:rsid w:val="00215050"/>
    <w:rsid w:val="002154FB"/>
    <w:rsid w:val="0021596B"/>
    <w:rsid w:val="0021665F"/>
    <w:rsid w:val="00216BFB"/>
    <w:rsid w:val="002172F2"/>
    <w:rsid w:val="00217543"/>
    <w:rsid w:val="0021793B"/>
    <w:rsid w:val="00217A6D"/>
    <w:rsid w:val="00217BFA"/>
    <w:rsid w:val="00217F15"/>
    <w:rsid w:val="002204C7"/>
    <w:rsid w:val="002204D5"/>
    <w:rsid w:val="002209D7"/>
    <w:rsid w:val="00220A0E"/>
    <w:rsid w:val="00220D42"/>
    <w:rsid w:val="00220E7F"/>
    <w:rsid w:val="00220FA0"/>
    <w:rsid w:val="0022114D"/>
    <w:rsid w:val="002218D2"/>
    <w:rsid w:val="00221CC6"/>
    <w:rsid w:val="002220B5"/>
    <w:rsid w:val="002223EB"/>
    <w:rsid w:val="00222A45"/>
    <w:rsid w:val="00222BC2"/>
    <w:rsid w:val="00222C1A"/>
    <w:rsid w:val="0022359D"/>
    <w:rsid w:val="002236A8"/>
    <w:rsid w:val="00223A8E"/>
    <w:rsid w:val="00223B1A"/>
    <w:rsid w:val="00223F2F"/>
    <w:rsid w:val="002242F2"/>
    <w:rsid w:val="00224504"/>
    <w:rsid w:val="002245AB"/>
    <w:rsid w:val="00224856"/>
    <w:rsid w:val="002249E8"/>
    <w:rsid w:val="00224D16"/>
    <w:rsid w:val="00225693"/>
    <w:rsid w:val="00225BF2"/>
    <w:rsid w:val="00226002"/>
    <w:rsid w:val="0022642B"/>
    <w:rsid w:val="00226540"/>
    <w:rsid w:val="002266C2"/>
    <w:rsid w:val="00226860"/>
    <w:rsid w:val="00226965"/>
    <w:rsid w:val="00226C19"/>
    <w:rsid w:val="002275D3"/>
    <w:rsid w:val="002279E9"/>
    <w:rsid w:val="00227E8E"/>
    <w:rsid w:val="002309D7"/>
    <w:rsid w:val="00230D0A"/>
    <w:rsid w:val="0023103B"/>
    <w:rsid w:val="00231148"/>
    <w:rsid w:val="00231228"/>
    <w:rsid w:val="00231812"/>
    <w:rsid w:val="00231E2B"/>
    <w:rsid w:val="00232125"/>
    <w:rsid w:val="00232775"/>
    <w:rsid w:val="00232C6B"/>
    <w:rsid w:val="00232DBB"/>
    <w:rsid w:val="00232DCD"/>
    <w:rsid w:val="00232E64"/>
    <w:rsid w:val="002335B8"/>
    <w:rsid w:val="0023371F"/>
    <w:rsid w:val="002337FD"/>
    <w:rsid w:val="002338D2"/>
    <w:rsid w:val="002339EC"/>
    <w:rsid w:val="00233EA8"/>
    <w:rsid w:val="002341F9"/>
    <w:rsid w:val="00234A4A"/>
    <w:rsid w:val="002350B9"/>
    <w:rsid w:val="00235435"/>
    <w:rsid w:val="0023553A"/>
    <w:rsid w:val="00235546"/>
    <w:rsid w:val="0023655E"/>
    <w:rsid w:val="00236A9F"/>
    <w:rsid w:val="00236D48"/>
    <w:rsid w:val="00236D7D"/>
    <w:rsid w:val="00236DF8"/>
    <w:rsid w:val="00236E05"/>
    <w:rsid w:val="00237029"/>
    <w:rsid w:val="0023770E"/>
    <w:rsid w:val="00237C21"/>
    <w:rsid w:val="00237FD8"/>
    <w:rsid w:val="002400AB"/>
    <w:rsid w:val="0024034E"/>
    <w:rsid w:val="00240789"/>
    <w:rsid w:val="00240BE1"/>
    <w:rsid w:val="00240CD9"/>
    <w:rsid w:val="00240ED6"/>
    <w:rsid w:val="002416F4"/>
    <w:rsid w:val="00241A2C"/>
    <w:rsid w:val="00241AD2"/>
    <w:rsid w:val="00241DFD"/>
    <w:rsid w:val="00241E15"/>
    <w:rsid w:val="0024227F"/>
    <w:rsid w:val="0024234B"/>
    <w:rsid w:val="00242796"/>
    <w:rsid w:val="00242B72"/>
    <w:rsid w:val="002431BD"/>
    <w:rsid w:val="002436EE"/>
    <w:rsid w:val="00243B0E"/>
    <w:rsid w:val="00243D1B"/>
    <w:rsid w:val="00243F8C"/>
    <w:rsid w:val="00244132"/>
    <w:rsid w:val="002441FC"/>
    <w:rsid w:val="002442EE"/>
    <w:rsid w:val="0024454D"/>
    <w:rsid w:val="002445BA"/>
    <w:rsid w:val="00244772"/>
    <w:rsid w:val="00244F6B"/>
    <w:rsid w:val="00245653"/>
    <w:rsid w:val="00245A66"/>
    <w:rsid w:val="00245C09"/>
    <w:rsid w:val="00246074"/>
    <w:rsid w:val="002464EC"/>
    <w:rsid w:val="00246AD0"/>
    <w:rsid w:val="00246DDC"/>
    <w:rsid w:val="002471CB"/>
    <w:rsid w:val="00247447"/>
    <w:rsid w:val="002476B8"/>
    <w:rsid w:val="00247A44"/>
    <w:rsid w:val="0025052B"/>
    <w:rsid w:val="00250981"/>
    <w:rsid w:val="0025098F"/>
    <w:rsid w:val="00250FDC"/>
    <w:rsid w:val="0025153F"/>
    <w:rsid w:val="002517FC"/>
    <w:rsid w:val="00251ABD"/>
    <w:rsid w:val="00251B06"/>
    <w:rsid w:val="00251C98"/>
    <w:rsid w:val="0025259A"/>
    <w:rsid w:val="002527CE"/>
    <w:rsid w:val="002528BB"/>
    <w:rsid w:val="00252BF9"/>
    <w:rsid w:val="00252DCC"/>
    <w:rsid w:val="00252EE6"/>
    <w:rsid w:val="00253019"/>
    <w:rsid w:val="00253806"/>
    <w:rsid w:val="00253834"/>
    <w:rsid w:val="00253CBA"/>
    <w:rsid w:val="00253D3C"/>
    <w:rsid w:val="00253ECC"/>
    <w:rsid w:val="00254B0E"/>
    <w:rsid w:val="00254BAC"/>
    <w:rsid w:val="00254D58"/>
    <w:rsid w:val="002550EE"/>
    <w:rsid w:val="002551FA"/>
    <w:rsid w:val="002554AD"/>
    <w:rsid w:val="00255C7A"/>
    <w:rsid w:val="00255CA2"/>
    <w:rsid w:val="00255E04"/>
    <w:rsid w:val="002560AB"/>
    <w:rsid w:val="00256126"/>
    <w:rsid w:val="00256346"/>
    <w:rsid w:val="00257087"/>
    <w:rsid w:val="0025757B"/>
    <w:rsid w:val="0025780B"/>
    <w:rsid w:val="00257F12"/>
    <w:rsid w:val="00260073"/>
    <w:rsid w:val="002603EE"/>
    <w:rsid w:val="00260FEB"/>
    <w:rsid w:val="002610BE"/>
    <w:rsid w:val="002611E6"/>
    <w:rsid w:val="00261278"/>
    <w:rsid w:val="0026208D"/>
    <w:rsid w:val="002621D7"/>
    <w:rsid w:val="00262322"/>
    <w:rsid w:val="002628D8"/>
    <w:rsid w:val="0026298F"/>
    <w:rsid w:val="0026304E"/>
    <w:rsid w:val="00263171"/>
    <w:rsid w:val="002634B4"/>
    <w:rsid w:val="00263E48"/>
    <w:rsid w:val="00264214"/>
    <w:rsid w:val="0026469D"/>
    <w:rsid w:val="002648AF"/>
    <w:rsid w:val="00264DEF"/>
    <w:rsid w:val="00265139"/>
    <w:rsid w:val="0026559A"/>
    <w:rsid w:val="00265D14"/>
    <w:rsid w:val="002660AB"/>
    <w:rsid w:val="00266596"/>
    <w:rsid w:val="002666E3"/>
    <w:rsid w:val="00266A75"/>
    <w:rsid w:val="002672F9"/>
    <w:rsid w:val="00267424"/>
    <w:rsid w:val="00270061"/>
    <w:rsid w:val="002702BA"/>
    <w:rsid w:val="00270481"/>
    <w:rsid w:val="0027102C"/>
    <w:rsid w:val="002716EA"/>
    <w:rsid w:val="00271971"/>
    <w:rsid w:val="002719FA"/>
    <w:rsid w:val="00271CC9"/>
    <w:rsid w:val="00271D39"/>
    <w:rsid w:val="00271EC3"/>
    <w:rsid w:val="002723F8"/>
    <w:rsid w:val="002727BF"/>
    <w:rsid w:val="0027297B"/>
    <w:rsid w:val="0027304F"/>
    <w:rsid w:val="002731E6"/>
    <w:rsid w:val="0027387D"/>
    <w:rsid w:val="002738DF"/>
    <w:rsid w:val="00273B81"/>
    <w:rsid w:val="00273FE5"/>
    <w:rsid w:val="002740B2"/>
    <w:rsid w:val="00274D08"/>
    <w:rsid w:val="00275377"/>
    <w:rsid w:val="002755CB"/>
    <w:rsid w:val="0027658C"/>
    <w:rsid w:val="00276A73"/>
    <w:rsid w:val="00276D32"/>
    <w:rsid w:val="00276D35"/>
    <w:rsid w:val="00276E8A"/>
    <w:rsid w:val="00277654"/>
    <w:rsid w:val="00277C5B"/>
    <w:rsid w:val="00277D95"/>
    <w:rsid w:val="00277EA0"/>
    <w:rsid w:val="0028030C"/>
    <w:rsid w:val="00280552"/>
    <w:rsid w:val="00280892"/>
    <w:rsid w:val="0028158B"/>
    <w:rsid w:val="0028203D"/>
    <w:rsid w:val="0028213D"/>
    <w:rsid w:val="00282978"/>
    <w:rsid w:val="00282C94"/>
    <w:rsid w:val="00283304"/>
    <w:rsid w:val="002836EB"/>
    <w:rsid w:val="00283830"/>
    <w:rsid w:val="00283D32"/>
    <w:rsid w:val="0028410B"/>
    <w:rsid w:val="0028415B"/>
    <w:rsid w:val="002841B7"/>
    <w:rsid w:val="0028434A"/>
    <w:rsid w:val="00284B6A"/>
    <w:rsid w:val="00284F06"/>
    <w:rsid w:val="00284F91"/>
    <w:rsid w:val="002850B4"/>
    <w:rsid w:val="002852A2"/>
    <w:rsid w:val="00285725"/>
    <w:rsid w:val="0028581C"/>
    <w:rsid w:val="00285CA4"/>
    <w:rsid w:val="00285DC0"/>
    <w:rsid w:val="00285E9E"/>
    <w:rsid w:val="00286424"/>
    <w:rsid w:val="00286647"/>
    <w:rsid w:val="002866CC"/>
    <w:rsid w:val="002869F0"/>
    <w:rsid w:val="00286BDE"/>
    <w:rsid w:val="00286E8E"/>
    <w:rsid w:val="0028727D"/>
    <w:rsid w:val="00287C23"/>
    <w:rsid w:val="00287CA1"/>
    <w:rsid w:val="00287F4A"/>
    <w:rsid w:val="00290717"/>
    <w:rsid w:val="002907D3"/>
    <w:rsid w:val="00290B0A"/>
    <w:rsid w:val="00290D3E"/>
    <w:rsid w:val="002910D8"/>
    <w:rsid w:val="002910F1"/>
    <w:rsid w:val="00291162"/>
    <w:rsid w:val="0029116E"/>
    <w:rsid w:val="0029117C"/>
    <w:rsid w:val="00291E03"/>
    <w:rsid w:val="002920E0"/>
    <w:rsid w:val="00292423"/>
    <w:rsid w:val="0029256D"/>
    <w:rsid w:val="00293247"/>
    <w:rsid w:val="00293AE4"/>
    <w:rsid w:val="00294144"/>
    <w:rsid w:val="0029432E"/>
    <w:rsid w:val="00294466"/>
    <w:rsid w:val="00294D3C"/>
    <w:rsid w:val="0029569B"/>
    <w:rsid w:val="00295A70"/>
    <w:rsid w:val="00295B01"/>
    <w:rsid w:val="00295C3E"/>
    <w:rsid w:val="00295F70"/>
    <w:rsid w:val="00295FB3"/>
    <w:rsid w:val="00296035"/>
    <w:rsid w:val="00296276"/>
    <w:rsid w:val="002966A4"/>
    <w:rsid w:val="0029690E"/>
    <w:rsid w:val="00296D08"/>
    <w:rsid w:val="002976AC"/>
    <w:rsid w:val="002A023F"/>
    <w:rsid w:val="002A03F0"/>
    <w:rsid w:val="002A0561"/>
    <w:rsid w:val="002A0EB0"/>
    <w:rsid w:val="002A137A"/>
    <w:rsid w:val="002A1642"/>
    <w:rsid w:val="002A16EC"/>
    <w:rsid w:val="002A17CE"/>
    <w:rsid w:val="002A1870"/>
    <w:rsid w:val="002A1AE8"/>
    <w:rsid w:val="002A1C34"/>
    <w:rsid w:val="002A1DD5"/>
    <w:rsid w:val="002A1F2C"/>
    <w:rsid w:val="002A2402"/>
    <w:rsid w:val="002A267A"/>
    <w:rsid w:val="002A26DF"/>
    <w:rsid w:val="002A27D6"/>
    <w:rsid w:val="002A2CB4"/>
    <w:rsid w:val="002A31A9"/>
    <w:rsid w:val="002A3604"/>
    <w:rsid w:val="002A362E"/>
    <w:rsid w:val="002A36D5"/>
    <w:rsid w:val="002A3D5F"/>
    <w:rsid w:val="002A419A"/>
    <w:rsid w:val="002A4430"/>
    <w:rsid w:val="002A47E0"/>
    <w:rsid w:val="002A4D76"/>
    <w:rsid w:val="002A55A7"/>
    <w:rsid w:val="002A56AF"/>
    <w:rsid w:val="002A5800"/>
    <w:rsid w:val="002A5B67"/>
    <w:rsid w:val="002A5F02"/>
    <w:rsid w:val="002A65E8"/>
    <w:rsid w:val="002A6838"/>
    <w:rsid w:val="002A6E40"/>
    <w:rsid w:val="002A6F52"/>
    <w:rsid w:val="002A6FC2"/>
    <w:rsid w:val="002A73EB"/>
    <w:rsid w:val="002A74B3"/>
    <w:rsid w:val="002A7779"/>
    <w:rsid w:val="002A7E96"/>
    <w:rsid w:val="002B0524"/>
    <w:rsid w:val="002B0767"/>
    <w:rsid w:val="002B12DB"/>
    <w:rsid w:val="002B1631"/>
    <w:rsid w:val="002B19E7"/>
    <w:rsid w:val="002B1F81"/>
    <w:rsid w:val="002B218E"/>
    <w:rsid w:val="002B27DB"/>
    <w:rsid w:val="002B2B48"/>
    <w:rsid w:val="002B2C08"/>
    <w:rsid w:val="002B352B"/>
    <w:rsid w:val="002B3982"/>
    <w:rsid w:val="002B39BC"/>
    <w:rsid w:val="002B39EF"/>
    <w:rsid w:val="002B3BD6"/>
    <w:rsid w:val="002B42F4"/>
    <w:rsid w:val="002B4563"/>
    <w:rsid w:val="002B459F"/>
    <w:rsid w:val="002B4905"/>
    <w:rsid w:val="002B529F"/>
    <w:rsid w:val="002B53F0"/>
    <w:rsid w:val="002B5EED"/>
    <w:rsid w:val="002B6371"/>
    <w:rsid w:val="002B66BA"/>
    <w:rsid w:val="002B66D1"/>
    <w:rsid w:val="002B6773"/>
    <w:rsid w:val="002B6811"/>
    <w:rsid w:val="002B69F3"/>
    <w:rsid w:val="002B6CFE"/>
    <w:rsid w:val="002B6D7C"/>
    <w:rsid w:val="002B7160"/>
    <w:rsid w:val="002B7366"/>
    <w:rsid w:val="002B73F2"/>
    <w:rsid w:val="002B747E"/>
    <w:rsid w:val="002B7663"/>
    <w:rsid w:val="002B7722"/>
    <w:rsid w:val="002B7EDD"/>
    <w:rsid w:val="002C0067"/>
    <w:rsid w:val="002C03AA"/>
    <w:rsid w:val="002C08C7"/>
    <w:rsid w:val="002C0B17"/>
    <w:rsid w:val="002C0E0E"/>
    <w:rsid w:val="002C12BA"/>
    <w:rsid w:val="002C159F"/>
    <w:rsid w:val="002C1F32"/>
    <w:rsid w:val="002C1FDC"/>
    <w:rsid w:val="002C323F"/>
    <w:rsid w:val="002C373B"/>
    <w:rsid w:val="002C3B83"/>
    <w:rsid w:val="002C3E2C"/>
    <w:rsid w:val="002C3F08"/>
    <w:rsid w:val="002C4462"/>
    <w:rsid w:val="002C490A"/>
    <w:rsid w:val="002C496F"/>
    <w:rsid w:val="002C5876"/>
    <w:rsid w:val="002C6806"/>
    <w:rsid w:val="002C6924"/>
    <w:rsid w:val="002C69FA"/>
    <w:rsid w:val="002C6E9D"/>
    <w:rsid w:val="002C6EB3"/>
    <w:rsid w:val="002C6ECA"/>
    <w:rsid w:val="002C7326"/>
    <w:rsid w:val="002C740F"/>
    <w:rsid w:val="002C7650"/>
    <w:rsid w:val="002C7D21"/>
    <w:rsid w:val="002D0449"/>
    <w:rsid w:val="002D091A"/>
    <w:rsid w:val="002D092D"/>
    <w:rsid w:val="002D0A33"/>
    <w:rsid w:val="002D0C0B"/>
    <w:rsid w:val="002D1100"/>
    <w:rsid w:val="002D12AE"/>
    <w:rsid w:val="002D13AA"/>
    <w:rsid w:val="002D18C3"/>
    <w:rsid w:val="002D1AC8"/>
    <w:rsid w:val="002D1FF1"/>
    <w:rsid w:val="002D258D"/>
    <w:rsid w:val="002D2B78"/>
    <w:rsid w:val="002D3520"/>
    <w:rsid w:val="002D3783"/>
    <w:rsid w:val="002D3ACF"/>
    <w:rsid w:val="002D3AF7"/>
    <w:rsid w:val="002D4086"/>
    <w:rsid w:val="002D42A7"/>
    <w:rsid w:val="002D439F"/>
    <w:rsid w:val="002D4FE5"/>
    <w:rsid w:val="002D51CF"/>
    <w:rsid w:val="002D5213"/>
    <w:rsid w:val="002D52FF"/>
    <w:rsid w:val="002D5AB1"/>
    <w:rsid w:val="002D5F09"/>
    <w:rsid w:val="002D61AD"/>
    <w:rsid w:val="002D64FD"/>
    <w:rsid w:val="002D71E6"/>
    <w:rsid w:val="002D764F"/>
    <w:rsid w:val="002D7A81"/>
    <w:rsid w:val="002D7C71"/>
    <w:rsid w:val="002D7DB0"/>
    <w:rsid w:val="002E00F9"/>
    <w:rsid w:val="002E06DB"/>
    <w:rsid w:val="002E0BB5"/>
    <w:rsid w:val="002E0F07"/>
    <w:rsid w:val="002E11B9"/>
    <w:rsid w:val="002E1429"/>
    <w:rsid w:val="002E1E8B"/>
    <w:rsid w:val="002E2134"/>
    <w:rsid w:val="002E24DE"/>
    <w:rsid w:val="002E26A4"/>
    <w:rsid w:val="002E282F"/>
    <w:rsid w:val="002E297A"/>
    <w:rsid w:val="002E2B97"/>
    <w:rsid w:val="002E2D27"/>
    <w:rsid w:val="002E30C8"/>
    <w:rsid w:val="002E3362"/>
    <w:rsid w:val="002E356C"/>
    <w:rsid w:val="002E3E23"/>
    <w:rsid w:val="002E3E63"/>
    <w:rsid w:val="002E4338"/>
    <w:rsid w:val="002E4383"/>
    <w:rsid w:val="002E4D42"/>
    <w:rsid w:val="002E5D10"/>
    <w:rsid w:val="002E6100"/>
    <w:rsid w:val="002E66CD"/>
    <w:rsid w:val="002E6784"/>
    <w:rsid w:val="002E6A1F"/>
    <w:rsid w:val="002E6B76"/>
    <w:rsid w:val="002E6C54"/>
    <w:rsid w:val="002E6E54"/>
    <w:rsid w:val="002E6EA4"/>
    <w:rsid w:val="002E6EE2"/>
    <w:rsid w:val="002E7BE9"/>
    <w:rsid w:val="002E7CB5"/>
    <w:rsid w:val="002F0D95"/>
    <w:rsid w:val="002F170A"/>
    <w:rsid w:val="002F1BD2"/>
    <w:rsid w:val="002F210C"/>
    <w:rsid w:val="002F2175"/>
    <w:rsid w:val="002F217B"/>
    <w:rsid w:val="002F21DE"/>
    <w:rsid w:val="002F2255"/>
    <w:rsid w:val="002F2706"/>
    <w:rsid w:val="002F28C9"/>
    <w:rsid w:val="002F2A16"/>
    <w:rsid w:val="002F2A4A"/>
    <w:rsid w:val="002F2B39"/>
    <w:rsid w:val="002F2C2B"/>
    <w:rsid w:val="002F31FE"/>
    <w:rsid w:val="002F3803"/>
    <w:rsid w:val="002F3A7D"/>
    <w:rsid w:val="002F4037"/>
    <w:rsid w:val="002F431B"/>
    <w:rsid w:val="002F4BE8"/>
    <w:rsid w:val="002F531D"/>
    <w:rsid w:val="002F53DC"/>
    <w:rsid w:val="002F568F"/>
    <w:rsid w:val="002F59B6"/>
    <w:rsid w:val="002F5D96"/>
    <w:rsid w:val="002F5EB9"/>
    <w:rsid w:val="002F6319"/>
    <w:rsid w:val="002F6432"/>
    <w:rsid w:val="002F657A"/>
    <w:rsid w:val="002F657D"/>
    <w:rsid w:val="002F687E"/>
    <w:rsid w:val="002F6A03"/>
    <w:rsid w:val="002F6D1A"/>
    <w:rsid w:val="002F758D"/>
    <w:rsid w:val="002F75BB"/>
    <w:rsid w:val="002F75E5"/>
    <w:rsid w:val="002F7E67"/>
    <w:rsid w:val="003004F4"/>
    <w:rsid w:val="00300C03"/>
    <w:rsid w:val="00300C94"/>
    <w:rsid w:val="003017C9"/>
    <w:rsid w:val="00301A50"/>
    <w:rsid w:val="00301DE9"/>
    <w:rsid w:val="00302230"/>
    <w:rsid w:val="0030253F"/>
    <w:rsid w:val="00302628"/>
    <w:rsid w:val="003026E2"/>
    <w:rsid w:val="00302724"/>
    <w:rsid w:val="0030286A"/>
    <w:rsid w:val="00302976"/>
    <w:rsid w:val="00302E41"/>
    <w:rsid w:val="003032E3"/>
    <w:rsid w:val="003034DE"/>
    <w:rsid w:val="00303535"/>
    <w:rsid w:val="00303916"/>
    <w:rsid w:val="00303C87"/>
    <w:rsid w:val="00303ECC"/>
    <w:rsid w:val="00303F78"/>
    <w:rsid w:val="00304059"/>
    <w:rsid w:val="00304462"/>
    <w:rsid w:val="00304AE0"/>
    <w:rsid w:val="00305586"/>
    <w:rsid w:val="00305C5D"/>
    <w:rsid w:val="00305F8F"/>
    <w:rsid w:val="003064B2"/>
    <w:rsid w:val="003065C7"/>
    <w:rsid w:val="00306767"/>
    <w:rsid w:val="0030732E"/>
    <w:rsid w:val="0030758E"/>
    <w:rsid w:val="00307C55"/>
    <w:rsid w:val="0031072D"/>
    <w:rsid w:val="00310A4E"/>
    <w:rsid w:val="00310BD6"/>
    <w:rsid w:val="00310D56"/>
    <w:rsid w:val="003112CC"/>
    <w:rsid w:val="00311547"/>
    <w:rsid w:val="0031198F"/>
    <w:rsid w:val="00311F85"/>
    <w:rsid w:val="00312814"/>
    <w:rsid w:val="0031281D"/>
    <w:rsid w:val="0031294F"/>
    <w:rsid w:val="00313300"/>
    <w:rsid w:val="0031374C"/>
    <w:rsid w:val="0031479F"/>
    <w:rsid w:val="00315313"/>
    <w:rsid w:val="00315393"/>
    <w:rsid w:val="003157AC"/>
    <w:rsid w:val="00316185"/>
    <w:rsid w:val="003163CC"/>
    <w:rsid w:val="00316812"/>
    <w:rsid w:val="00316F73"/>
    <w:rsid w:val="0031704F"/>
    <w:rsid w:val="003172AD"/>
    <w:rsid w:val="003176A6"/>
    <w:rsid w:val="00317BE6"/>
    <w:rsid w:val="003204F5"/>
    <w:rsid w:val="00320642"/>
    <w:rsid w:val="003209C9"/>
    <w:rsid w:val="00320A02"/>
    <w:rsid w:val="00320A79"/>
    <w:rsid w:val="00320D8F"/>
    <w:rsid w:val="003211D4"/>
    <w:rsid w:val="0032133B"/>
    <w:rsid w:val="00321B68"/>
    <w:rsid w:val="00321DB3"/>
    <w:rsid w:val="00321DBF"/>
    <w:rsid w:val="00321EB8"/>
    <w:rsid w:val="00321F65"/>
    <w:rsid w:val="00322390"/>
    <w:rsid w:val="003223C5"/>
    <w:rsid w:val="003226F4"/>
    <w:rsid w:val="00322E1B"/>
    <w:rsid w:val="003231EC"/>
    <w:rsid w:val="00323AD8"/>
    <w:rsid w:val="00323B9F"/>
    <w:rsid w:val="00323F2A"/>
    <w:rsid w:val="00324586"/>
    <w:rsid w:val="0032491F"/>
    <w:rsid w:val="0032567A"/>
    <w:rsid w:val="00325787"/>
    <w:rsid w:val="003264C1"/>
    <w:rsid w:val="00326607"/>
    <w:rsid w:val="0032689E"/>
    <w:rsid w:val="00326D41"/>
    <w:rsid w:val="00326D82"/>
    <w:rsid w:val="00326D9E"/>
    <w:rsid w:val="003272C3"/>
    <w:rsid w:val="00327A10"/>
    <w:rsid w:val="00327D01"/>
    <w:rsid w:val="00330138"/>
    <w:rsid w:val="00330277"/>
    <w:rsid w:val="003305F6"/>
    <w:rsid w:val="003306DC"/>
    <w:rsid w:val="003315ED"/>
    <w:rsid w:val="0033181A"/>
    <w:rsid w:val="00332174"/>
    <w:rsid w:val="003325BF"/>
    <w:rsid w:val="0033265C"/>
    <w:rsid w:val="003326F4"/>
    <w:rsid w:val="003327C8"/>
    <w:rsid w:val="00332DAB"/>
    <w:rsid w:val="00332F05"/>
    <w:rsid w:val="00332FB3"/>
    <w:rsid w:val="0033302B"/>
    <w:rsid w:val="0033304F"/>
    <w:rsid w:val="00333274"/>
    <w:rsid w:val="00333B59"/>
    <w:rsid w:val="003341AF"/>
    <w:rsid w:val="00334A90"/>
    <w:rsid w:val="00334B52"/>
    <w:rsid w:val="00334BC1"/>
    <w:rsid w:val="00334BC2"/>
    <w:rsid w:val="00334CD7"/>
    <w:rsid w:val="00334E3F"/>
    <w:rsid w:val="00334FF1"/>
    <w:rsid w:val="0033533C"/>
    <w:rsid w:val="0033538E"/>
    <w:rsid w:val="003355F1"/>
    <w:rsid w:val="00335FC3"/>
    <w:rsid w:val="003364D0"/>
    <w:rsid w:val="00336562"/>
    <w:rsid w:val="0033678A"/>
    <w:rsid w:val="00336933"/>
    <w:rsid w:val="00336CB5"/>
    <w:rsid w:val="00336FB1"/>
    <w:rsid w:val="00337299"/>
    <w:rsid w:val="003372D2"/>
    <w:rsid w:val="003373E1"/>
    <w:rsid w:val="0033752C"/>
    <w:rsid w:val="003376DA"/>
    <w:rsid w:val="00340097"/>
    <w:rsid w:val="00340AB9"/>
    <w:rsid w:val="00340F69"/>
    <w:rsid w:val="003414E1"/>
    <w:rsid w:val="0034158F"/>
    <w:rsid w:val="0034165C"/>
    <w:rsid w:val="0034178C"/>
    <w:rsid w:val="00341C02"/>
    <w:rsid w:val="00341D73"/>
    <w:rsid w:val="003421B1"/>
    <w:rsid w:val="00342534"/>
    <w:rsid w:val="00342581"/>
    <w:rsid w:val="003425A2"/>
    <w:rsid w:val="00342BE4"/>
    <w:rsid w:val="0034303C"/>
    <w:rsid w:val="00343065"/>
    <w:rsid w:val="00343141"/>
    <w:rsid w:val="0034338F"/>
    <w:rsid w:val="003433C0"/>
    <w:rsid w:val="003436B5"/>
    <w:rsid w:val="00343DE6"/>
    <w:rsid w:val="00343E3B"/>
    <w:rsid w:val="0034401A"/>
    <w:rsid w:val="003440CF"/>
    <w:rsid w:val="003441F8"/>
    <w:rsid w:val="003445F8"/>
    <w:rsid w:val="003446C9"/>
    <w:rsid w:val="003447EF"/>
    <w:rsid w:val="00344A72"/>
    <w:rsid w:val="003450C9"/>
    <w:rsid w:val="0034577E"/>
    <w:rsid w:val="00345A29"/>
    <w:rsid w:val="00345C6A"/>
    <w:rsid w:val="00345CE1"/>
    <w:rsid w:val="00345E54"/>
    <w:rsid w:val="00345F96"/>
    <w:rsid w:val="00346733"/>
    <w:rsid w:val="00346D91"/>
    <w:rsid w:val="003473CC"/>
    <w:rsid w:val="00347655"/>
    <w:rsid w:val="0034783C"/>
    <w:rsid w:val="00347842"/>
    <w:rsid w:val="00347A8C"/>
    <w:rsid w:val="00347B22"/>
    <w:rsid w:val="00347C91"/>
    <w:rsid w:val="00347C99"/>
    <w:rsid w:val="00350772"/>
    <w:rsid w:val="00350BFF"/>
    <w:rsid w:val="00350ECB"/>
    <w:rsid w:val="00350EE9"/>
    <w:rsid w:val="003515B4"/>
    <w:rsid w:val="0035171E"/>
    <w:rsid w:val="00351888"/>
    <w:rsid w:val="00351930"/>
    <w:rsid w:val="00351A12"/>
    <w:rsid w:val="00351C5B"/>
    <w:rsid w:val="00351D71"/>
    <w:rsid w:val="00352366"/>
    <w:rsid w:val="003526D4"/>
    <w:rsid w:val="00352766"/>
    <w:rsid w:val="00353019"/>
    <w:rsid w:val="00353152"/>
    <w:rsid w:val="00353190"/>
    <w:rsid w:val="00353282"/>
    <w:rsid w:val="0035338B"/>
    <w:rsid w:val="00353811"/>
    <w:rsid w:val="00353962"/>
    <w:rsid w:val="00353BDF"/>
    <w:rsid w:val="00353C5D"/>
    <w:rsid w:val="00353D72"/>
    <w:rsid w:val="00353E94"/>
    <w:rsid w:val="00354068"/>
    <w:rsid w:val="00354746"/>
    <w:rsid w:val="0035476D"/>
    <w:rsid w:val="00354792"/>
    <w:rsid w:val="003547A6"/>
    <w:rsid w:val="0035490E"/>
    <w:rsid w:val="00354A37"/>
    <w:rsid w:val="00354FB2"/>
    <w:rsid w:val="00355DC2"/>
    <w:rsid w:val="0035630D"/>
    <w:rsid w:val="003566C9"/>
    <w:rsid w:val="00356732"/>
    <w:rsid w:val="00356DFD"/>
    <w:rsid w:val="00356FAC"/>
    <w:rsid w:val="003576D2"/>
    <w:rsid w:val="00357C93"/>
    <w:rsid w:val="00357F25"/>
    <w:rsid w:val="00360183"/>
    <w:rsid w:val="0036037B"/>
    <w:rsid w:val="003603F7"/>
    <w:rsid w:val="0036057B"/>
    <w:rsid w:val="00360592"/>
    <w:rsid w:val="00360613"/>
    <w:rsid w:val="003607A6"/>
    <w:rsid w:val="00360EFC"/>
    <w:rsid w:val="003612D3"/>
    <w:rsid w:val="00361800"/>
    <w:rsid w:val="003619EC"/>
    <w:rsid w:val="00361A77"/>
    <w:rsid w:val="00361B98"/>
    <w:rsid w:val="00362207"/>
    <w:rsid w:val="0036248C"/>
    <w:rsid w:val="0036310F"/>
    <w:rsid w:val="00363435"/>
    <w:rsid w:val="00363675"/>
    <w:rsid w:val="00363A8E"/>
    <w:rsid w:val="00363A98"/>
    <w:rsid w:val="00363CFC"/>
    <w:rsid w:val="00363DE4"/>
    <w:rsid w:val="00363F18"/>
    <w:rsid w:val="0036400B"/>
    <w:rsid w:val="003640E4"/>
    <w:rsid w:val="0036425A"/>
    <w:rsid w:val="0036493F"/>
    <w:rsid w:val="00364D0C"/>
    <w:rsid w:val="00364D5E"/>
    <w:rsid w:val="0036575C"/>
    <w:rsid w:val="0036579F"/>
    <w:rsid w:val="0036596D"/>
    <w:rsid w:val="003661CD"/>
    <w:rsid w:val="00366343"/>
    <w:rsid w:val="003665BD"/>
    <w:rsid w:val="00366728"/>
    <w:rsid w:val="00366A38"/>
    <w:rsid w:val="00366FF6"/>
    <w:rsid w:val="0036728B"/>
    <w:rsid w:val="00367457"/>
    <w:rsid w:val="00367621"/>
    <w:rsid w:val="0036771F"/>
    <w:rsid w:val="00367A1B"/>
    <w:rsid w:val="00367B20"/>
    <w:rsid w:val="00367EC8"/>
    <w:rsid w:val="003700D2"/>
    <w:rsid w:val="00370231"/>
    <w:rsid w:val="00370573"/>
    <w:rsid w:val="003705A2"/>
    <w:rsid w:val="0037067D"/>
    <w:rsid w:val="00370C78"/>
    <w:rsid w:val="00371118"/>
    <w:rsid w:val="00371151"/>
    <w:rsid w:val="003711CE"/>
    <w:rsid w:val="003712E2"/>
    <w:rsid w:val="003713DD"/>
    <w:rsid w:val="003717B3"/>
    <w:rsid w:val="003724D6"/>
    <w:rsid w:val="00372707"/>
    <w:rsid w:val="00372A8F"/>
    <w:rsid w:val="003732A4"/>
    <w:rsid w:val="0037336D"/>
    <w:rsid w:val="003733E8"/>
    <w:rsid w:val="00373545"/>
    <w:rsid w:val="00373A82"/>
    <w:rsid w:val="00373BE2"/>
    <w:rsid w:val="00374261"/>
    <w:rsid w:val="0037462D"/>
    <w:rsid w:val="003747F9"/>
    <w:rsid w:val="003747FB"/>
    <w:rsid w:val="00374A2C"/>
    <w:rsid w:val="00374A64"/>
    <w:rsid w:val="00374E95"/>
    <w:rsid w:val="00374FC6"/>
    <w:rsid w:val="0037523B"/>
    <w:rsid w:val="0037548B"/>
    <w:rsid w:val="00375523"/>
    <w:rsid w:val="003756A2"/>
    <w:rsid w:val="003756EA"/>
    <w:rsid w:val="003757E0"/>
    <w:rsid w:val="00375D8E"/>
    <w:rsid w:val="00375ECD"/>
    <w:rsid w:val="00375FA0"/>
    <w:rsid w:val="0037620F"/>
    <w:rsid w:val="003763CC"/>
    <w:rsid w:val="00376CA8"/>
    <w:rsid w:val="0037707A"/>
    <w:rsid w:val="0037784F"/>
    <w:rsid w:val="00377BFA"/>
    <w:rsid w:val="00377CD9"/>
    <w:rsid w:val="00377D6B"/>
    <w:rsid w:val="003800B7"/>
    <w:rsid w:val="00380684"/>
    <w:rsid w:val="00380753"/>
    <w:rsid w:val="00381344"/>
    <w:rsid w:val="003817C5"/>
    <w:rsid w:val="00381983"/>
    <w:rsid w:val="00381C9A"/>
    <w:rsid w:val="00381DA3"/>
    <w:rsid w:val="003828B3"/>
    <w:rsid w:val="00382CB3"/>
    <w:rsid w:val="00382DD8"/>
    <w:rsid w:val="00382E79"/>
    <w:rsid w:val="00382F52"/>
    <w:rsid w:val="00383816"/>
    <w:rsid w:val="00384410"/>
    <w:rsid w:val="003846CB"/>
    <w:rsid w:val="003846FC"/>
    <w:rsid w:val="0038487E"/>
    <w:rsid w:val="00384BE8"/>
    <w:rsid w:val="00384E88"/>
    <w:rsid w:val="00385334"/>
    <w:rsid w:val="00385559"/>
    <w:rsid w:val="003855AD"/>
    <w:rsid w:val="00385EFC"/>
    <w:rsid w:val="00385F95"/>
    <w:rsid w:val="003861FA"/>
    <w:rsid w:val="0038631D"/>
    <w:rsid w:val="0038642C"/>
    <w:rsid w:val="0038680A"/>
    <w:rsid w:val="00386C55"/>
    <w:rsid w:val="00387243"/>
    <w:rsid w:val="0038794D"/>
    <w:rsid w:val="00387B96"/>
    <w:rsid w:val="00387F92"/>
    <w:rsid w:val="003905FB"/>
    <w:rsid w:val="00390622"/>
    <w:rsid w:val="003907B1"/>
    <w:rsid w:val="00390A9C"/>
    <w:rsid w:val="00390B46"/>
    <w:rsid w:val="00390BB7"/>
    <w:rsid w:val="00390C7A"/>
    <w:rsid w:val="00391781"/>
    <w:rsid w:val="003919D1"/>
    <w:rsid w:val="00392329"/>
    <w:rsid w:val="003927AE"/>
    <w:rsid w:val="00392CC8"/>
    <w:rsid w:val="00393082"/>
    <w:rsid w:val="003933F0"/>
    <w:rsid w:val="00393719"/>
    <w:rsid w:val="00393EA8"/>
    <w:rsid w:val="00393F84"/>
    <w:rsid w:val="0039516C"/>
    <w:rsid w:val="00395381"/>
    <w:rsid w:val="00396057"/>
    <w:rsid w:val="00396EB3"/>
    <w:rsid w:val="0039798C"/>
    <w:rsid w:val="00397B34"/>
    <w:rsid w:val="003A00C0"/>
    <w:rsid w:val="003A026B"/>
    <w:rsid w:val="003A04E9"/>
    <w:rsid w:val="003A08A0"/>
    <w:rsid w:val="003A0C10"/>
    <w:rsid w:val="003A0D78"/>
    <w:rsid w:val="003A10A6"/>
    <w:rsid w:val="003A1449"/>
    <w:rsid w:val="003A151F"/>
    <w:rsid w:val="003A17DC"/>
    <w:rsid w:val="003A1854"/>
    <w:rsid w:val="003A1CDE"/>
    <w:rsid w:val="003A2110"/>
    <w:rsid w:val="003A217A"/>
    <w:rsid w:val="003A21ED"/>
    <w:rsid w:val="003A2411"/>
    <w:rsid w:val="003A28D1"/>
    <w:rsid w:val="003A2984"/>
    <w:rsid w:val="003A2A58"/>
    <w:rsid w:val="003A2ABB"/>
    <w:rsid w:val="003A301D"/>
    <w:rsid w:val="003A3287"/>
    <w:rsid w:val="003A32D2"/>
    <w:rsid w:val="003A3319"/>
    <w:rsid w:val="003A3FCD"/>
    <w:rsid w:val="003A4554"/>
    <w:rsid w:val="003A4AD5"/>
    <w:rsid w:val="003A4E99"/>
    <w:rsid w:val="003A53A3"/>
    <w:rsid w:val="003A53BE"/>
    <w:rsid w:val="003A53C1"/>
    <w:rsid w:val="003A5427"/>
    <w:rsid w:val="003A55B1"/>
    <w:rsid w:val="003A56ED"/>
    <w:rsid w:val="003A6E97"/>
    <w:rsid w:val="003A70EF"/>
    <w:rsid w:val="003A716B"/>
    <w:rsid w:val="003A73C4"/>
    <w:rsid w:val="003B0404"/>
    <w:rsid w:val="003B0447"/>
    <w:rsid w:val="003B1291"/>
    <w:rsid w:val="003B16D6"/>
    <w:rsid w:val="003B1FCE"/>
    <w:rsid w:val="003B2121"/>
    <w:rsid w:val="003B22EA"/>
    <w:rsid w:val="003B2511"/>
    <w:rsid w:val="003B2616"/>
    <w:rsid w:val="003B2AE4"/>
    <w:rsid w:val="003B2E2E"/>
    <w:rsid w:val="003B32E9"/>
    <w:rsid w:val="003B3A30"/>
    <w:rsid w:val="003B3C8E"/>
    <w:rsid w:val="003B4578"/>
    <w:rsid w:val="003B45E2"/>
    <w:rsid w:val="003B49C7"/>
    <w:rsid w:val="003B4DA3"/>
    <w:rsid w:val="003B57F8"/>
    <w:rsid w:val="003B6A75"/>
    <w:rsid w:val="003B73C0"/>
    <w:rsid w:val="003B7733"/>
    <w:rsid w:val="003B7BB8"/>
    <w:rsid w:val="003B7D61"/>
    <w:rsid w:val="003C0D06"/>
    <w:rsid w:val="003C11ED"/>
    <w:rsid w:val="003C1625"/>
    <w:rsid w:val="003C228B"/>
    <w:rsid w:val="003C261A"/>
    <w:rsid w:val="003C271F"/>
    <w:rsid w:val="003C2815"/>
    <w:rsid w:val="003C28C4"/>
    <w:rsid w:val="003C3292"/>
    <w:rsid w:val="003C3392"/>
    <w:rsid w:val="003C3771"/>
    <w:rsid w:val="003C3B7F"/>
    <w:rsid w:val="003C3E27"/>
    <w:rsid w:val="003C3FB6"/>
    <w:rsid w:val="003C400F"/>
    <w:rsid w:val="003C40F3"/>
    <w:rsid w:val="003C41EC"/>
    <w:rsid w:val="003C4550"/>
    <w:rsid w:val="003C485C"/>
    <w:rsid w:val="003C4A48"/>
    <w:rsid w:val="003C523B"/>
    <w:rsid w:val="003C5728"/>
    <w:rsid w:val="003C5DD7"/>
    <w:rsid w:val="003C5EC9"/>
    <w:rsid w:val="003C61E4"/>
    <w:rsid w:val="003C675F"/>
    <w:rsid w:val="003C6CDF"/>
    <w:rsid w:val="003C78C0"/>
    <w:rsid w:val="003C7C60"/>
    <w:rsid w:val="003C7D71"/>
    <w:rsid w:val="003C7E35"/>
    <w:rsid w:val="003C7EF4"/>
    <w:rsid w:val="003C7FE5"/>
    <w:rsid w:val="003D0026"/>
    <w:rsid w:val="003D072E"/>
    <w:rsid w:val="003D0A51"/>
    <w:rsid w:val="003D0B82"/>
    <w:rsid w:val="003D0F38"/>
    <w:rsid w:val="003D12FD"/>
    <w:rsid w:val="003D155E"/>
    <w:rsid w:val="003D1693"/>
    <w:rsid w:val="003D16B2"/>
    <w:rsid w:val="003D1AC4"/>
    <w:rsid w:val="003D1C47"/>
    <w:rsid w:val="003D1E30"/>
    <w:rsid w:val="003D211E"/>
    <w:rsid w:val="003D2565"/>
    <w:rsid w:val="003D2685"/>
    <w:rsid w:val="003D285A"/>
    <w:rsid w:val="003D28C6"/>
    <w:rsid w:val="003D2903"/>
    <w:rsid w:val="003D29A7"/>
    <w:rsid w:val="003D2ADC"/>
    <w:rsid w:val="003D2D1D"/>
    <w:rsid w:val="003D323E"/>
    <w:rsid w:val="003D3351"/>
    <w:rsid w:val="003D33FB"/>
    <w:rsid w:val="003D3E35"/>
    <w:rsid w:val="003D46E3"/>
    <w:rsid w:val="003D46E5"/>
    <w:rsid w:val="003D55D7"/>
    <w:rsid w:val="003D6178"/>
    <w:rsid w:val="003D6B61"/>
    <w:rsid w:val="003D6CA3"/>
    <w:rsid w:val="003D6FAA"/>
    <w:rsid w:val="003D71E7"/>
    <w:rsid w:val="003E0238"/>
    <w:rsid w:val="003E0C17"/>
    <w:rsid w:val="003E0E6E"/>
    <w:rsid w:val="003E11D3"/>
    <w:rsid w:val="003E138F"/>
    <w:rsid w:val="003E1CDD"/>
    <w:rsid w:val="003E1F16"/>
    <w:rsid w:val="003E1F1B"/>
    <w:rsid w:val="003E1F25"/>
    <w:rsid w:val="003E2118"/>
    <w:rsid w:val="003E2297"/>
    <w:rsid w:val="003E24C6"/>
    <w:rsid w:val="003E27DE"/>
    <w:rsid w:val="003E281F"/>
    <w:rsid w:val="003E2AE0"/>
    <w:rsid w:val="003E32CD"/>
    <w:rsid w:val="003E3323"/>
    <w:rsid w:val="003E370C"/>
    <w:rsid w:val="003E375E"/>
    <w:rsid w:val="003E388B"/>
    <w:rsid w:val="003E3A20"/>
    <w:rsid w:val="003E3BB3"/>
    <w:rsid w:val="003E3CE5"/>
    <w:rsid w:val="003E3DD1"/>
    <w:rsid w:val="003E4582"/>
    <w:rsid w:val="003E461E"/>
    <w:rsid w:val="003E4892"/>
    <w:rsid w:val="003E4C93"/>
    <w:rsid w:val="003E4E12"/>
    <w:rsid w:val="003E501D"/>
    <w:rsid w:val="003E51C2"/>
    <w:rsid w:val="003E5388"/>
    <w:rsid w:val="003E54EA"/>
    <w:rsid w:val="003E56D6"/>
    <w:rsid w:val="003E58D3"/>
    <w:rsid w:val="003E5949"/>
    <w:rsid w:val="003E637C"/>
    <w:rsid w:val="003E63E9"/>
    <w:rsid w:val="003E68FD"/>
    <w:rsid w:val="003E7027"/>
    <w:rsid w:val="003E71AE"/>
    <w:rsid w:val="003E7802"/>
    <w:rsid w:val="003E787A"/>
    <w:rsid w:val="003E7885"/>
    <w:rsid w:val="003E78D3"/>
    <w:rsid w:val="003E7FCE"/>
    <w:rsid w:val="003F06E2"/>
    <w:rsid w:val="003F0A05"/>
    <w:rsid w:val="003F0D4A"/>
    <w:rsid w:val="003F0E69"/>
    <w:rsid w:val="003F15A3"/>
    <w:rsid w:val="003F16BF"/>
    <w:rsid w:val="003F2049"/>
    <w:rsid w:val="003F2148"/>
    <w:rsid w:val="003F2244"/>
    <w:rsid w:val="003F22BB"/>
    <w:rsid w:val="003F2850"/>
    <w:rsid w:val="003F2CE8"/>
    <w:rsid w:val="003F2EC1"/>
    <w:rsid w:val="003F310D"/>
    <w:rsid w:val="003F31C6"/>
    <w:rsid w:val="003F3450"/>
    <w:rsid w:val="003F3702"/>
    <w:rsid w:val="003F3965"/>
    <w:rsid w:val="003F3C24"/>
    <w:rsid w:val="003F3C6D"/>
    <w:rsid w:val="003F41E7"/>
    <w:rsid w:val="003F4E7D"/>
    <w:rsid w:val="003F52ED"/>
    <w:rsid w:val="003F5306"/>
    <w:rsid w:val="003F5347"/>
    <w:rsid w:val="003F55A7"/>
    <w:rsid w:val="003F573E"/>
    <w:rsid w:val="003F57DA"/>
    <w:rsid w:val="003F5D67"/>
    <w:rsid w:val="003F6564"/>
    <w:rsid w:val="003F6E9A"/>
    <w:rsid w:val="003F7228"/>
    <w:rsid w:val="003F73A5"/>
    <w:rsid w:val="003F73AD"/>
    <w:rsid w:val="003F77CD"/>
    <w:rsid w:val="003F7AB9"/>
    <w:rsid w:val="0040051E"/>
    <w:rsid w:val="004005D7"/>
    <w:rsid w:val="00400639"/>
    <w:rsid w:val="00400A06"/>
    <w:rsid w:val="00400C0E"/>
    <w:rsid w:val="00400E71"/>
    <w:rsid w:val="00400EA3"/>
    <w:rsid w:val="00400F6B"/>
    <w:rsid w:val="00400FEF"/>
    <w:rsid w:val="0040132F"/>
    <w:rsid w:val="004019B8"/>
    <w:rsid w:val="0040201F"/>
    <w:rsid w:val="004021BD"/>
    <w:rsid w:val="00402A7A"/>
    <w:rsid w:val="004031FD"/>
    <w:rsid w:val="004032B0"/>
    <w:rsid w:val="00403641"/>
    <w:rsid w:val="00403714"/>
    <w:rsid w:val="00403E72"/>
    <w:rsid w:val="00403F61"/>
    <w:rsid w:val="0040410A"/>
    <w:rsid w:val="004041E4"/>
    <w:rsid w:val="00404425"/>
    <w:rsid w:val="004047A8"/>
    <w:rsid w:val="004049FD"/>
    <w:rsid w:val="00404A35"/>
    <w:rsid w:val="00404A48"/>
    <w:rsid w:val="00404B5B"/>
    <w:rsid w:val="00404C35"/>
    <w:rsid w:val="004053C3"/>
    <w:rsid w:val="0040582A"/>
    <w:rsid w:val="00405965"/>
    <w:rsid w:val="004059D6"/>
    <w:rsid w:val="00406BED"/>
    <w:rsid w:val="00406C1D"/>
    <w:rsid w:val="00407467"/>
    <w:rsid w:val="004076BB"/>
    <w:rsid w:val="00407A0E"/>
    <w:rsid w:val="00407BD9"/>
    <w:rsid w:val="00407D88"/>
    <w:rsid w:val="00407EEC"/>
    <w:rsid w:val="00410022"/>
    <w:rsid w:val="00410313"/>
    <w:rsid w:val="00411326"/>
    <w:rsid w:val="00411385"/>
    <w:rsid w:val="00411AEB"/>
    <w:rsid w:val="00411B97"/>
    <w:rsid w:val="00411C36"/>
    <w:rsid w:val="00412178"/>
    <w:rsid w:val="0041280B"/>
    <w:rsid w:val="00412844"/>
    <w:rsid w:val="0041284A"/>
    <w:rsid w:val="00412B81"/>
    <w:rsid w:val="00412BE5"/>
    <w:rsid w:val="00412D9B"/>
    <w:rsid w:val="004131B0"/>
    <w:rsid w:val="004139A4"/>
    <w:rsid w:val="00413BB4"/>
    <w:rsid w:val="004143B2"/>
    <w:rsid w:val="004144A8"/>
    <w:rsid w:val="00414C69"/>
    <w:rsid w:val="00414CFB"/>
    <w:rsid w:val="00414D00"/>
    <w:rsid w:val="00414F48"/>
    <w:rsid w:val="004150D1"/>
    <w:rsid w:val="004156D8"/>
    <w:rsid w:val="004157B9"/>
    <w:rsid w:val="00415874"/>
    <w:rsid w:val="00415966"/>
    <w:rsid w:val="00415C0F"/>
    <w:rsid w:val="00415F56"/>
    <w:rsid w:val="0041629B"/>
    <w:rsid w:val="0041764F"/>
    <w:rsid w:val="00417974"/>
    <w:rsid w:val="00417B6C"/>
    <w:rsid w:val="00417DE7"/>
    <w:rsid w:val="00417EED"/>
    <w:rsid w:val="00417FE3"/>
    <w:rsid w:val="00420515"/>
    <w:rsid w:val="0042060A"/>
    <w:rsid w:val="004206CA"/>
    <w:rsid w:val="004209CA"/>
    <w:rsid w:val="004214B5"/>
    <w:rsid w:val="004215FE"/>
    <w:rsid w:val="00421841"/>
    <w:rsid w:val="004218E4"/>
    <w:rsid w:val="00421CE3"/>
    <w:rsid w:val="00421EEC"/>
    <w:rsid w:val="00422302"/>
    <w:rsid w:val="00423647"/>
    <w:rsid w:val="00423673"/>
    <w:rsid w:val="004236FE"/>
    <w:rsid w:val="00423A97"/>
    <w:rsid w:val="00423F1B"/>
    <w:rsid w:val="00425E3B"/>
    <w:rsid w:val="00425F95"/>
    <w:rsid w:val="004269BE"/>
    <w:rsid w:val="004274C4"/>
    <w:rsid w:val="00430288"/>
    <w:rsid w:val="0043068E"/>
    <w:rsid w:val="00430963"/>
    <w:rsid w:val="00431130"/>
    <w:rsid w:val="0043184B"/>
    <w:rsid w:val="004319D6"/>
    <w:rsid w:val="00431A76"/>
    <w:rsid w:val="00431BB1"/>
    <w:rsid w:val="00431EEC"/>
    <w:rsid w:val="00432056"/>
    <w:rsid w:val="004324DE"/>
    <w:rsid w:val="00432786"/>
    <w:rsid w:val="00432CA5"/>
    <w:rsid w:val="004331CA"/>
    <w:rsid w:val="00433596"/>
    <w:rsid w:val="004337A5"/>
    <w:rsid w:val="0043383C"/>
    <w:rsid w:val="004344B7"/>
    <w:rsid w:val="0043461C"/>
    <w:rsid w:val="004346CB"/>
    <w:rsid w:val="004346DA"/>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991"/>
    <w:rsid w:val="00440C01"/>
    <w:rsid w:val="00441366"/>
    <w:rsid w:val="0044136E"/>
    <w:rsid w:val="0044146A"/>
    <w:rsid w:val="0044148C"/>
    <w:rsid w:val="0044162C"/>
    <w:rsid w:val="00441AA1"/>
    <w:rsid w:val="00441D9C"/>
    <w:rsid w:val="00441F5A"/>
    <w:rsid w:val="00442137"/>
    <w:rsid w:val="00442995"/>
    <w:rsid w:val="0044303E"/>
    <w:rsid w:val="00443284"/>
    <w:rsid w:val="0044345A"/>
    <w:rsid w:val="0044351B"/>
    <w:rsid w:val="004437C9"/>
    <w:rsid w:val="00443948"/>
    <w:rsid w:val="00443E23"/>
    <w:rsid w:val="00443EB1"/>
    <w:rsid w:val="004440EF"/>
    <w:rsid w:val="00444171"/>
    <w:rsid w:val="0044432D"/>
    <w:rsid w:val="004457BC"/>
    <w:rsid w:val="00445BA1"/>
    <w:rsid w:val="00445C50"/>
    <w:rsid w:val="00445DDD"/>
    <w:rsid w:val="00446C5F"/>
    <w:rsid w:val="00446CE0"/>
    <w:rsid w:val="00446D2F"/>
    <w:rsid w:val="0044747B"/>
    <w:rsid w:val="00447BA2"/>
    <w:rsid w:val="00447BB6"/>
    <w:rsid w:val="00447DEE"/>
    <w:rsid w:val="004508CC"/>
    <w:rsid w:val="004509CF"/>
    <w:rsid w:val="00450A62"/>
    <w:rsid w:val="00450EFD"/>
    <w:rsid w:val="004513AF"/>
    <w:rsid w:val="004516D5"/>
    <w:rsid w:val="00451A0A"/>
    <w:rsid w:val="00451CDD"/>
    <w:rsid w:val="00451F60"/>
    <w:rsid w:val="004520D7"/>
    <w:rsid w:val="0045232F"/>
    <w:rsid w:val="004539D0"/>
    <w:rsid w:val="00453A0A"/>
    <w:rsid w:val="00453A9E"/>
    <w:rsid w:val="00453DE6"/>
    <w:rsid w:val="00454627"/>
    <w:rsid w:val="00454D38"/>
    <w:rsid w:val="00454D50"/>
    <w:rsid w:val="00454E01"/>
    <w:rsid w:val="00454E63"/>
    <w:rsid w:val="00455AD0"/>
    <w:rsid w:val="00455E0F"/>
    <w:rsid w:val="00455F74"/>
    <w:rsid w:val="00456168"/>
    <w:rsid w:val="004563C6"/>
    <w:rsid w:val="00456883"/>
    <w:rsid w:val="00456D5B"/>
    <w:rsid w:val="00456EAF"/>
    <w:rsid w:val="004572E0"/>
    <w:rsid w:val="00457C3E"/>
    <w:rsid w:val="0046036F"/>
    <w:rsid w:val="004603A8"/>
    <w:rsid w:val="004605B8"/>
    <w:rsid w:val="0046071C"/>
    <w:rsid w:val="00460808"/>
    <w:rsid w:val="00460FE1"/>
    <w:rsid w:val="004616B1"/>
    <w:rsid w:val="00461E21"/>
    <w:rsid w:val="004628FE"/>
    <w:rsid w:val="00462AA6"/>
    <w:rsid w:val="00462D02"/>
    <w:rsid w:val="00463446"/>
    <w:rsid w:val="004635EA"/>
    <w:rsid w:val="00463AF5"/>
    <w:rsid w:val="004640D1"/>
    <w:rsid w:val="00464362"/>
    <w:rsid w:val="00464872"/>
    <w:rsid w:val="00464B21"/>
    <w:rsid w:val="00464C5B"/>
    <w:rsid w:val="00465278"/>
    <w:rsid w:val="004652EA"/>
    <w:rsid w:val="004653CE"/>
    <w:rsid w:val="004655E1"/>
    <w:rsid w:val="004656B9"/>
    <w:rsid w:val="00465780"/>
    <w:rsid w:val="00465861"/>
    <w:rsid w:val="00465F55"/>
    <w:rsid w:val="004660D9"/>
    <w:rsid w:val="004661E7"/>
    <w:rsid w:val="00466202"/>
    <w:rsid w:val="00466555"/>
    <w:rsid w:val="004665E2"/>
    <w:rsid w:val="00466977"/>
    <w:rsid w:val="00466BCB"/>
    <w:rsid w:val="00466DB3"/>
    <w:rsid w:val="00466ED9"/>
    <w:rsid w:val="00467229"/>
    <w:rsid w:val="00467232"/>
    <w:rsid w:val="004672AE"/>
    <w:rsid w:val="004672F4"/>
    <w:rsid w:val="00467684"/>
    <w:rsid w:val="004677CF"/>
    <w:rsid w:val="0046788B"/>
    <w:rsid w:val="00467E15"/>
    <w:rsid w:val="00470037"/>
    <w:rsid w:val="00470268"/>
    <w:rsid w:val="004703DA"/>
    <w:rsid w:val="004703F2"/>
    <w:rsid w:val="00470409"/>
    <w:rsid w:val="00470BFC"/>
    <w:rsid w:val="004711DF"/>
    <w:rsid w:val="00471239"/>
    <w:rsid w:val="00471250"/>
    <w:rsid w:val="00471C1B"/>
    <w:rsid w:val="00471C48"/>
    <w:rsid w:val="00471E07"/>
    <w:rsid w:val="00472061"/>
    <w:rsid w:val="00472957"/>
    <w:rsid w:val="00472A87"/>
    <w:rsid w:val="0047358E"/>
    <w:rsid w:val="00473678"/>
    <w:rsid w:val="00473A84"/>
    <w:rsid w:val="00473BC8"/>
    <w:rsid w:val="00473C4D"/>
    <w:rsid w:val="00473EB9"/>
    <w:rsid w:val="00474058"/>
    <w:rsid w:val="0047407F"/>
    <w:rsid w:val="004743EF"/>
    <w:rsid w:val="0047466A"/>
    <w:rsid w:val="004746CB"/>
    <w:rsid w:val="004748BB"/>
    <w:rsid w:val="0047499B"/>
    <w:rsid w:val="00474E99"/>
    <w:rsid w:val="004757EA"/>
    <w:rsid w:val="00475AC4"/>
    <w:rsid w:val="00475F9C"/>
    <w:rsid w:val="004760AA"/>
    <w:rsid w:val="004760F0"/>
    <w:rsid w:val="004760F9"/>
    <w:rsid w:val="00476368"/>
    <w:rsid w:val="00476BAC"/>
    <w:rsid w:val="00476DAE"/>
    <w:rsid w:val="00476F75"/>
    <w:rsid w:val="0047752E"/>
    <w:rsid w:val="0047780F"/>
    <w:rsid w:val="00477975"/>
    <w:rsid w:val="00477A50"/>
    <w:rsid w:val="004802CA"/>
    <w:rsid w:val="00480DA1"/>
    <w:rsid w:val="00480F6B"/>
    <w:rsid w:val="00480FBD"/>
    <w:rsid w:val="0048118D"/>
    <w:rsid w:val="00481415"/>
    <w:rsid w:val="004818B3"/>
    <w:rsid w:val="00481EB7"/>
    <w:rsid w:val="004821D6"/>
    <w:rsid w:val="004822F7"/>
    <w:rsid w:val="00482836"/>
    <w:rsid w:val="00482864"/>
    <w:rsid w:val="00482918"/>
    <w:rsid w:val="00482F3B"/>
    <w:rsid w:val="0048355E"/>
    <w:rsid w:val="00483CE9"/>
    <w:rsid w:val="00483E21"/>
    <w:rsid w:val="004842D7"/>
    <w:rsid w:val="004845E5"/>
    <w:rsid w:val="004849D7"/>
    <w:rsid w:val="00485396"/>
    <w:rsid w:val="004854C4"/>
    <w:rsid w:val="004857B9"/>
    <w:rsid w:val="00485F49"/>
    <w:rsid w:val="004860C1"/>
    <w:rsid w:val="00486148"/>
    <w:rsid w:val="004863FE"/>
    <w:rsid w:val="0048658E"/>
    <w:rsid w:val="00486A3B"/>
    <w:rsid w:val="00486DD4"/>
    <w:rsid w:val="00486DEB"/>
    <w:rsid w:val="00486E46"/>
    <w:rsid w:val="00487108"/>
    <w:rsid w:val="00487289"/>
    <w:rsid w:val="004873D7"/>
    <w:rsid w:val="004877D9"/>
    <w:rsid w:val="0048786F"/>
    <w:rsid w:val="00487B31"/>
    <w:rsid w:val="00487BBF"/>
    <w:rsid w:val="00487BEE"/>
    <w:rsid w:val="00487D62"/>
    <w:rsid w:val="004904D8"/>
    <w:rsid w:val="0049071E"/>
    <w:rsid w:val="004909AD"/>
    <w:rsid w:val="00491B7E"/>
    <w:rsid w:val="00491DB0"/>
    <w:rsid w:val="00491E07"/>
    <w:rsid w:val="00491F26"/>
    <w:rsid w:val="004921E2"/>
    <w:rsid w:val="004921E5"/>
    <w:rsid w:val="00492630"/>
    <w:rsid w:val="004927E2"/>
    <w:rsid w:val="00492816"/>
    <w:rsid w:val="004929BD"/>
    <w:rsid w:val="00492AEB"/>
    <w:rsid w:val="00492DB6"/>
    <w:rsid w:val="00493742"/>
    <w:rsid w:val="004937FE"/>
    <w:rsid w:val="00493C6B"/>
    <w:rsid w:val="00494976"/>
    <w:rsid w:val="00494D01"/>
    <w:rsid w:val="00494E0F"/>
    <w:rsid w:val="004950AA"/>
    <w:rsid w:val="0049517C"/>
    <w:rsid w:val="0049571F"/>
    <w:rsid w:val="0049594D"/>
    <w:rsid w:val="00495A62"/>
    <w:rsid w:val="00495D53"/>
    <w:rsid w:val="00495DA3"/>
    <w:rsid w:val="004964EE"/>
    <w:rsid w:val="004966A2"/>
    <w:rsid w:val="00496867"/>
    <w:rsid w:val="0049732D"/>
    <w:rsid w:val="00497989"/>
    <w:rsid w:val="00497B3D"/>
    <w:rsid w:val="00497C59"/>
    <w:rsid w:val="00497CAD"/>
    <w:rsid w:val="004A00E8"/>
    <w:rsid w:val="004A0326"/>
    <w:rsid w:val="004A0599"/>
    <w:rsid w:val="004A0E03"/>
    <w:rsid w:val="004A1226"/>
    <w:rsid w:val="004A18BC"/>
    <w:rsid w:val="004A1BDC"/>
    <w:rsid w:val="004A1DDA"/>
    <w:rsid w:val="004A2622"/>
    <w:rsid w:val="004A2771"/>
    <w:rsid w:val="004A2848"/>
    <w:rsid w:val="004A2A24"/>
    <w:rsid w:val="004A2BF8"/>
    <w:rsid w:val="004A2C1F"/>
    <w:rsid w:val="004A2C9F"/>
    <w:rsid w:val="004A2CD1"/>
    <w:rsid w:val="004A304B"/>
    <w:rsid w:val="004A36ED"/>
    <w:rsid w:val="004A3713"/>
    <w:rsid w:val="004A39C6"/>
    <w:rsid w:val="004A3C2E"/>
    <w:rsid w:val="004A3C77"/>
    <w:rsid w:val="004A4C6F"/>
    <w:rsid w:val="004A4DED"/>
    <w:rsid w:val="004A50AB"/>
    <w:rsid w:val="004A5348"/>
    <w:rsid w:val="004A5464"/>
    <w:rsid w:val="004A56AE"/>
    <w:rsid w:val="004A5893"/>
    <w:rsid w:val="004A5A42"/>
    <w:rsid w:val="004A5C25"/>
    <w:rsid w:val="004A5C47"/>
    <w:rsid w:val="004A5E21"/>
    <w:rsid w:val="004A5EC5"/>
    <w:rsid w:val="004A63A0"/>
    <w:rsid w:val="004A6B45"/>
    <w:rsid w:val="004A6E2F"/>
    <w:rsid w:val="004A7DF0"/>
    <w:rsid w:val="004A7F18"/>
    <w:rsid w:val="004A7FDC"/>
    <w:rsid w:val="004A7FE3"/>
    <w:rsid w:val="004B1757"/>
    <w:rsid w:val="004B1784"/>
    <w:rsid w:val="004B1AAD"/>
    <w:rsid w:val="004B1B6A"/>
    <w:rsid w:val="004B1BE3"/>
    <w:rsid w:val="004B1D9F"/>
    <w:rsid w:val="004B1EB1"/>
    <w:rsid w:val="004B2248"/>
    <w:rsid w:val="004B23AB"/>
    <w:rsid w:val="004B24F8"/>
    <w:rsid w:val="004B267C"/>
    <w:rsid w:val="004B26F7"/>
    <w:rsid w:val="004B2F86"/>
    <w:rsid w:val="004B31CA"/>
    <w:rsid w:val="004B3212"/>
    <w:rsid w:val="004B342F"/>
    <w:rsid w:val="004B3EA9"/>
    <w:rsid w:val="004B43AD"/>
    <w:rsid w:val="004B43ED"/>
    <w:rsid w:val="004B4D95"/>
    <w:rsid w:val="004B4E08"/>
    <w:rsid w:val="004B4E8F"/>
    <w:rsid w:val="004B5194"/>
    <w:rsid w:val="004B5293"/>
    <w:rsid w:val="004B53AC"/>
    <w:rsid w:val="004B550F"/>
    <w:rsid w:val="004B5AB4"/>
    <w:rsid w:val="004B5CBF"/>
    <w:rsid w:val="004B5EE1"/>
    <w:rsid w:val="004B662B"/>
    <w:rsid w:val="004B66CD"/>
    <w:rsid w:val="004B66D8"/>
    <w:rsid w:val="004B764F"/>
    <w:rsid w:val="004B7C53"/>
    <w:rsid w:val="004C00B7"/>
    <w:rsid w:val="004C00ED"/>
    <w:rsid w:val="004C0337"/>
    <w:rsid w:val="004C07B7"/>
    <w:rsid w:val="004C091E"/>
    <w:rsid w:val="004C13A8"/>
    <w:rsid w:val="004C156D"/>
    <w:rsid w:val="004C19B0"/>
    <w:rsid w:val="004C1A2E"/>
    <w:rsid w:val="004C2215"/>
    <w:rsid w:val="004C249F"/>
    <w:rsid w:val="004C2B0C"/>
    <w:rsid w:val="004C2D3B"/>
    <w:rsid w:val="004C33F4"/>
    <w:rsid w:val="004C36F2"/>
    <w:rsid w:val="004C41B9"/>
    <w:rsid w:val="004C4372"/>
    <w:rsid w:val="004C477E"/>
    <w:rsid w:val="004C4A8F"/>
    <w:rsid w:val="004C4B82"/>
    <w:rsid w:val="004C4B94"/>
    <w:rsid w:val="004C4C19"/>
    <w:rsid w:val="004C4ED1"/>
    <w:rsid w:val="004C526F"/>
    <w:rsid w:val="004C54D2"/>
    <w:rsid w:val="004C5872"/>
    <w:rsid w:val="004C58B1"/>
    <w:rsid w:val="004C5B74"/>
    <w:rsid w:val="004C62DE"/>
    <w:rsid w:val="004C6763"/>
    <w:rsid w:val="004C6D0C"/>
    <w:rsid w:val="004C717C"/>
    <w:rsid w:val="004C7F13"/>
    <w:rsid w:val="004D02E8"/>
    <w:rsid w:val="004D0A8D"/>
    <w:rsid w:val="004D0CF3"/>
    <w:rsid w:val="004D1B4A"/>
    <w:rsid w:val="004D1BD2"/>
    <w:rsid w:val="004D1E9C"/>
    <w:rsid w:val="004D209B"/>
    <w:rsid w:val="004D2431"/>
    <w:rsid w:val="004D2627"/>
    <w:rsid w:val="004D298A"/>
    <w:rsid w:val="004D2D8C"/>
    <w:rsid w:val="004D2DB2"/>
    <w:rsid w:val="004D2E0A"/>
    <w:rsid w:val="004D35C0"/>
    <w:rsid w:val="004D371D"/>
    <w:rsid w:val="004D3DC6"/>
    <w:rsid w:val="004D4449"/>
    <w:rsid w:val="004D4F49"/>
    <w:rsid w:val="004D50C1"/>
    <w:rsid w:val="004D662B"/>
    <w:rsid w:val="004D72B1"/>
    <w:rsid w:val="004D7308"/>
    <w:rsid w:val="004D78A3"/>
    <w:rsid w:val="004D7A00"/>
    <w:rsid w:val="004E0118"/>
    <w:rsid w:val="004E065E"/>
    <w:rsid w:val="004E0832"/>
    <w:rsid w:val="004E08AF"/>
    <w:rsid w:val="004E08D9"/>
    <w:rsid w:val="004E0FFC"/>
    <w:rsid w:val="004E1065"/>
    <w:rsid w:val="004E1084"/>
    <w:rsid w:val="004E1724"/>
    <w:rsid w:val="004E1F23"/>
    <w:rsid w:val="004E1FA2"/>
    <w:rsid w:val="004E23E5"/>
    <w:rsid w:val="004E2430"/>
    <w:rsid w:val="004E2F23"/>
    <w:rsid w:val="004E2F9F"/>
    <w:rsid w:val="004E30AC"/>
    <w:rsid w:val="004E35E2"/>
    <w:rsid w:val="004E363A"/>
    <w:rsid w:val="004E3904"/>
    <w:rsid w:val="004E3909"/>
    <w:rsid w:val="004E3B25"/>
    <w:rsid w:val="004E3B31"/>
    <w:rsid w:val="004E404D"/>
    <w:rsid w:val="004E405E"/>
    <w:rsid w:val="004E41C4"/>
    <w:rsid w:val="004E4550"/>
    <w:rsid w:val="004E46CE"/>
    <w:rsid w:val="004E484B"/>
    <w:rsid w:val="004E49A3"/>
    <w:rsid w:val="004E4D9E"/>
    <w:rsid w:val="004E518A"/>
    <w:rsid w:val="004E5322"/>
    <w:rsid w:val="004E5506"/>
    <w:rsid w:val="004E5DFD"/>
    <w:rsid w:val="004E61A8"/>
    <w:rsid w:val="004E61B0"/>
    <w:rsid w:val="004E68A7"/>
    <w:rsid w:val="004E6A55"/>
    <w:rsid w:val="004E6C3F"/>
    <w:rsid w:val="004E6C6B"/>
    <w:rsid w:val="004E6D5D"/>
    <w:rsid w:val="004E76F6"/>
    <w:rsid w:val="004E7ACE"/>
    <w:rsid w:val="004E7D83"/>
    <w:rsid w:val="004F0412"/>
    <w:rsid w:val="004F0519"/>
    <w:rsid w:val="004F05FF"/>
    <w:rsid w:val="004F068A"/>
    <w:rsid w:val="004F0AF1"/>
    <w:rsid w:val="004F0F16"/>
    <w:rsid w:val="004F1120"/>
    <w:rsid w:val="004F1285"/>
    <w:rsid w:val="004F12FE"/>
    <w:rsid w:val="004F1348"/>
    <w:rsid w:val="004F13F5"/>
    <w:rsid w:val="004F177B"/>
    <w:rsid w:val="004F193C"/>
    <w:rsid w:val="004F1C85"/>
    <w:rsid w:val="004F1D7A"/>
    <w:rsid w:val="004F1EA7"/>
    <w:rsid w:val="004F2513"/>
    <w:rsid w:val="004F2B6C"/>
    <w:rsid w:val="004F32A2"/>
    <w:rsid w:val="004F3757"/>
    <w:rsid w:val="004F39AA"/>
    <w:rsid w:val="004F3ADA"/>
    <w:rsid w:val="004F3BF8"/>
    <w:rsid w:val="004F3D56"/>
    <w:rsid w:val="004F3F21"/>
    <w:rsid w:val="004F4025"/>
    <w:rsid w:val="004F40FB"/>
    <w:rsid w:val="004F41D9"/>
    <w:rsid w:val="004F489E"/>
    <w:rsid w:val="004F5FEB"/>
    <w:rsid w:val="004F6012"/>
    <w:rsid w:val="004F601A"/>
    <w:rsid w:val="004F68A6"/>
    <w:rsid w:val="004F690D"/>
    <w:rsid w:val="004F6CA1"/>
    <w:rsid w:val="004F71DF"/>
    <w:rsid w:val="004F7881"/>
    <w:rsid w:val="004F7BD6"/>
    <w:rsid w:val="005003A2"/>
    <w:rsid w:val="00500499"/>
    <w:rsid w:val="005006DB"/>
    <w:rsid w:val="005007BF"/>
    <w:rsid w:val="00500A4D"/>
    <w:rsid w:val="00500C5E"/>
    <w:rsid w:val="005012E5"/>
    <w:rsid w:val="005015DC"/>
    <w:rsid w:val="005016F6"/>
    <w:rsid w:val="00501FD1"/>
    <w:rsid w:val="00502112"/>
    <w:rsid w:val="00502AD0"/>
    <w:rsid w:val="00502D78"/>
    <w:rsid w:val="00502E0B"/>
    <w:rsid w:val="00503177"/>
    <w:rsid w:val="0050423B"/>
    <w:rsid w:val="0050431E"/>
    <w:rsid w:val="005043B8"/>
    <w:rsid w:val="0050468B"/>
    <w:rsid w:val="005047D4"/>
    <w:rsid w:val="005049C2"/>
    <w:rsid w:val="00504B45"/>
    <w:rsid w:val="00504EF7"/>
    <w:rsid w:val="005057A8"/>
    <w:rsid w:val="00505CE0"/>
    <w:rsid w:val="00505D79"/>
    <w:rsid w:val="005060D1"/>
    <w:rsid w:val="005060DA"/>
    <w:rsid w:val="0050640A"/>
    <w:rsid w:val="005067E7"/>
    <w:rsid w:val="00506836"/>
    <w:rsid w:val="00506A64"/>
    <w:rsid w:val="00506B96"/>
    <w:rsid w:val="00506C92"/>
    <w:rsid w:val="00506DBD"/>
    <w:rsid w:val="00507224"/>
    <w:rsid w:val="005072CB"/>
    <w:rsid w:val="00507671"/>
    <w:rsid w:val="00507972"/>
    <w:rsid w:val="00507F82"/>
    <w:rsid w:val="00507FC8"/>
    <w:rsid w:val="00510407"/>
    <w:rsid w:val="005105B6"/>
    <w:rsid w:val="00510904"/>
    <w:rsid w:val="00510B45"/>
    <w:rsid w:val="00510D59"/>
    <w:rsid w:val="0051111E"/>
    <w:rsid w:val="005116A9"/>
    <w:rsid w:val="005119F7"/>
    <w:rsid w:val="005123CD"/>
    <w:rsid w:val="0051240A"/>
    <w:rsid w:val="005126FD"/>
    <w:rsid w:val="0051391A"/>
    <w:rsid w:val="005139E1"/>
    <w:rsid w:val="00513BEF"/>
    <w:rsid w:val="005141DE"/>
    <w:rsid w:val="0051468D"/>
    <w:rsid w:val="00514C1B"/>
    <w:rsid w:val="005150E8"/>
    <w:rsid w:val="0051518B"/>
    <w:rsid w:val="005157CD"/>
    <w:rsid w:val="005158D0"/>
    <w:rsid w:val="00515FCA"/>
    <w:rsid w:val="00516107"/>
    <w:rsid w:val="00516A0A"/>
    <w:rsid w:val="005171F6"/>
    <w:rsid w:val="00517448"/>
    <w:rsid w:val="0051768D"/>
    <w:rsid w:val="005179A7"/>
    <w:rsid w:val="00517A3D"/>
    <w:rsid w:val="00517B95"/>
    <w:rsid w:val="00517FF2"/>
    <w:rsid w:val="00520068"/>
    <w:rsid w:val="00520959"/>
    <w:rsid w:val="0052096A"/>
    <w:rsid w:val="00520B09"/>
    <w:rsid w:val="00521512"/>
    <w:rsid w:val="00521535"/>
    <w:rsid w:val="005216A8"/>
    <w:rsid w:val="0052235F"/>
    <w:rsid w:val="00522445"/>
    <w:rsid w:val="0052263B"/>
    <w:rsid w:val="005227EA"/>
    <w:rsid w:val="00522C43"/>
    <w:rsid w:val="00522DF5"/>
    <w:rsid w:val="00523192"/>
    <w:rsid w:val="005237CF"/>
    <w:rsid w:val="00523EE2"/>
    <w:rsid w:val="005244EA"/>
    <w:rsid w:val="005249A3"/>
    <w:rsid w:val="00524D06"/>
    <w:rsid w:val="00524D6D"/>
    <w:rsid w:val="005251DD"/>
    <w:rsid w:val="0052550E"/>
    <w:rsid w:val="00525621"/>
    <w:rsid w:val="00525E4F"/>
    <w:rsid w:val="0052645C"/>
    <w:rsid w:val="00526CC5"/>
    <w:rsid w:val="00526E1C"/>
    <w:rsid w:val="00526FBE"/>
    <w:rsid w:val="00527098"/>
    <w:rsid w:val="00527219"/>
    <w:rsid w:val="00527789"/>
    <w:rsid w:val="005278BC"/>
    <w:rsid w:val="00527A29"/>
    <w:rsid w:val="00527CCE"/>
    <w:rsid w:val="00527D13"/>
    <w:rsid w:val="005308B5"/>
    <w:rsid w:val="00530958"/>
    <w:rsid w:val="00530C96"/>
    <w:rsid w:val="005314D4"/>
    <w:rsid w:val="0053162F"/>
    <w:rsid w:val="0053166F"/>
    <w:rsid w:val="0053188F"/>
    <w:rsid w:val="00531E79"/>
    <w:rsid w:val="005324E7"/>
    <w:rsid w:val="00532660"/>
    <w:rsid w:val="005328E1"/>
    <w:rsid w:val="00532B56"/>
    <w:rsid w:val="00532CF7"/>
    <w:rsid w:val="00532E69"/>
    <w:rsid w:val="0053330C"/>
    <w:rsid w:val="005339D9"/>
    <w:rsid w:val="00533A0E"/>
    <w:rsid w:val="00533BBD"/>
    <w:rsid w:val="00533F5B"/>
    <w:rsid w:val="0053405E"/>
    <w:rsid w:val="00534551"/>
    <w:rsid w:val="00534587"/>
    <w:rsid w:val="00534923"/>
    <w:rsid w:val="00535880"/>
    <w:rsid w:val="0053597E"/>
    <w:rsid w:val="00535C62"/>
    <w:rsid w:val="005362C5"/>
    <w:rsid w:val="00536B31"/>
    <w:rsid w:val="00536B6F"/>
    <w:rsid w:val="005371B2"/>
    <w:rsid w:val="00537412"/>
    <w:rsid w:val="00537899"/>
    <w:rsid w:val="00537BC2"/>
    <w:rsid w:val="00537E4B"/>
    <w:rsid w:val="00540190"/>
    <w:rsid w:val="00540B5C"/>
    <w:rsid w:val="00540BD8"/>
    <w:rsid w:val="00540E2C"/>
    <w:rsid w:val="00541029"/>
    <w:rsid w:val="00541287"/>
    <w:rsid w:val="005412A0"/>
    <w:rsid w:val="00541727"/>
    <w:rsid w:val="00541A55"/>
    <w:rsid w:val="00541B00"/>
    <w:rsid w:val="00541B60"/>
    <w:rsid w:val="005422C0"/>
    <w:rsid w:val="0054299C"/>
    <w:rsid w:val="00542A6F"/>
    <w:rsid w:val="00542AC8"/>
    <w:rsid w:val="00543501"/>
    <w:rsid w:val="005437F2"/>
    <w:rsid w:val="00543923"/>
    <w:rsid w:val="00543CD4"/>
    <w:rsid w:val="00543D6C"/>
    <w:rsid w:val="00544124"/>
    <w:rsid w:val="005441BE"/>
    <w:rsid w:val="005442F5"/>
    <w:rsid w:val="005451AA"/>
    <w:rsid w:val="00545661"/>
    <w:rsid w:val="005456AE"/>
    <w:rsid w:val="00545C6B"/>
    <w:rsid w:val="005463CC"/>
    <w:rsid w:val="0054655D"/>
    <w:rsid w:val="00546C25"/>
    <w:rsid w:val="0054749C"/>
    <w:rsid w:val="005475F1"/>
    <w:rsid w:val="00547794"/>
    <w:rsid w:val="00547920"/>
    <w:rsid w:val="00547BAB"/>
    <w:rsid w:val="00547E74"/>
    <w:rsid w:val="00550030"/>
    <w:rsid w:val="00550255"/>
    <w:rsid w:val="00550595"/>
    <w:rsid w:val="00550812"/>
    <w:rsid w:val="00550887"/>
    <w:rsid w:val="005509F9"/>
    <w:rsid w:val="005512D2"/>
    <w:rsid w:val="005518ED"/>
    <w:rsid w:val="0055190F"/>
    <w:rsid w:val="00551B33"/>
    <w:rsid w:val="00551BE6"/>
    <w:rsid w:val="0055294A"/>
    <w:rsid w:val="00552C83"/>
    <w:rsid w:val="00552EA5"/>
    <w:rsid w:val="00553170"/>
    <w:rsid w:val="00553859"/>
    <w:rsid w:val="00553915"/>
    <w:rsid w:val="00554085"/>
    <w:rsid w:val="00554576"/>
    <w:rsid w:val="00554686"/>
    <w:rsid w:val="00554802"/>
    <w:rsid w:val="005551D7"/>
    <w:rsid w:val="00555324"/>
    <w:rsid w:val="00555820"/>
    <w:rsid w:val="005558D2"/>
    <w:rsid w:val="00555C55"/>
    <w:rsid w:val="005560B0"/>
    <w:rsid w:val="005566B7"/>
    <w:rsid w:val="0055681D"/>
    <w:rsid w:val="00556C79"/>
    <w:rsid w:val="00556EFF"/>
    <w:rsid w:val="00556F65"/>
    <w:rsid w:val="00557767"/>
    <w:rsid w:val="00557916"/>
    <w:rsid w:val="00557A15"/>
    <w:rsid w:val="00557B99"/>
    <w:rsid w:val="00557D0A"/>
    <w:rsid w:val="005602EE"/>
    <w:rsid w:val="005605FF"/>
    <w:rsid w:val="00560789"/>
    <w:rsid w:val="00560AC5"/>
    <w:rsid w:val="00560C96"/>
    <w:rsid w:val="00560F64"/>
    <w:rsid w:val="00561138"/>
    <w:rsid w:val="005613CF"/>
    <w:rsid w:val="0056147E"/>
    <w:rsid w:val="00561D97"/>
    <w:rsid w:val="00561DDC"/>
    <w:rsid w:val="00562065"/>
    <w:rsid w:val="00562201"/>
    <w:rsid w:val="00563266"/>
    <w:rsid w:val="005633FC"/>
    <w:rsid w:val="00563597"/>
    <w:rsid w:val="00563A1F"/>
    <w:rsid w:val="00563C7C"/>
    <w:rsid w:val="00563CC6"/>
    <w:rsid w:val="00563D1D"/>
    <w:rsid w:val="00563F74"/>
    <w:rsid w:val="005640E6"/>
    <w:rsid w:val="0056494E"/>
    <w:rsid w:val="00564A04"/>
    <w:rsid w:val="00564A2C"/>
    <w:rsid w:val="00564F61"/>
    <w:rsid w:val="00565073"/>
    <w:rsid w:val="00565C61"/>
    <w:rsid w:val="00565E24"/>
    <w:rsid w:val="0056657B"/>
    <w:rsid w:val="005668CB"/>
    <w:rsid w:val="00566C4F"/>
    <w:rsid w:val="00566D86"/>
    <w:rsid w:val="00566D99"/>
    <w:rsid w:val="0056717E"/>
    <w:rsid w:val="00567377"/>
    <w:rsid w:val="00567FAA"/>
    <w:rsid w:val="005701CB"/>
    <w:rsid w:val="0057095D"/>
    <w:rsid w:val="00570D08"/>
    <w:rsid w:val="00571008"/>
    <w:rsid w:val="00571087"/>
    <w:rsid w:val="00571199"/>
    <w:rsid w:val="0057123F"/>
    <w:rsid w:val="005718D4"/>
    <w:rsid w:val="00571AC3"/>
    <w:rsid w:val="00571DE8"/>
    <w:rsid w:val="00572038"/>
    <w:rsid w:val="0057222A"/>
    <w:rsid w:val="00572255"/>
    <w:rsid w:val="005722A2"/>
    <w:rsid w:val="0057230E"/>
    <w:rsid w:val="0057274D"/>
    <w:rsid w:val="005727B5"/>
    <w:rsid w:val="00572C83"/>
    <w:rsid w:val="00573C0E"/>
    <w:rsid w:val="00573E36"/>
    <w:rsid w:val="005741D4"/>
    <w:rsid w:val="00574339"/>
    <w:rsid w:val="00574459"/>
    <w:rsid w:val="005748B3"/>
    <w:rsid w:val="005748D6"/>
    <w:rsid w:val="00574D46"/>
    <w:rsid w:val="0057511C"/>
    <w:rsid w:val="005751EC"/>
    <w:rsid w:val="00575719"/>
    <w:rsid w:val="005760DB"/>
    <w:rsid w:val="005768A1"/>
    <w:rsid w:val="005769AC"/>
    <w:rsid w:val="00576A56"/>
    <w:rsid w:val="00576F3D"/>
    <w:rsid w:val="0057704F"/>
    <w:rsid w:val="0057725F"/>
    <w:rsid w:val="00577CD2"/>
    <w:rsid w:val="005804BC"/>
    <w:rsid w:val="005805EA"/>
    <w:rsid w:val="005807A2"/>
    <w:rsid w:val="00580910"/>
    <w:rsid w:val="005809FB"/>
    <w:rsid w:val="00580CB3"/>
    <w:rsid w:val="00581629"/>
    <w:rsid w:val="00581A21"/>
    <w:rsid w:val="005822CC"/>
    <w:rsid w:val="00582454"/>
    <w:rsid w:val="005824B7"/>
    <w:rsid w:val="00582A11"/>
    <w:rsid w:val="00583278"/>
    <w:rsid w:val="00583790"/>
    <w:rsid w:val="0058393B"/>
    <w:rsid w:val="00584061"/>
    <w:rsid w:val="005846DD"/>
    <w:rsid w:val="0058482A"/>
    <w:rsid w:val="0058488E"/>
    <w:rsid w:val="005852FD"/>
    <w:rsid w:val="0058542C"/>
    <w:rsid w:val="00585736"/>
    <w:rsid w:val="00585D45"/>
    <w:rsid w:val="005860E2"/>
    <w:rsid w:val="005865B1"/>
    <w:rsid w:val="005868B3"/>
    <w:rsid w:val="00586C79"/>
    <w:rsid w:val="00586E02"/>
    <w:rsid w:val="0058701F"/>
    <w:rsid w:val="00587197"/>
    <w:rsid w:val="00587520"/>
    <w:rsid w:val="00587538"/>
    <w:rsid w:val="005878A4"/>
    <w:rsid w:val="00587C20"/>
    <w:rsid w:val="005905C3"/>
    <w:rsid w:val="005908A7"/>
    <w:rsid w:val="00590E3B"/>
    <w:rsid w:val="00590F92"/>
    <w:rsid w:val="00591402"/>
    <w:rsid w:val="0059180B"/>
    <w:rsid w:val="00591F6E"/>
    <w:rsid w:val="00592063"/>
    <w:rsid w:val="0059242B"/>
    <w:rsid w:val="00592847"/>
    <w:rsid w:val="00592A3E"/>
    <w:rsid w:val="00592A5F"/>
    <w:rsid w:val="00592D70"/>
    <w:rsid w:val="005931E9"/>
    <w:rsid w:val="005932D0"/>
    <w:rsid w:val="005933F7"/>
    <w:rsid w:val="005935F8"/>
    <w:rsid w:val="00593E42"/>
    <w:rsid w:val="00594237"/>
    <w:rsid w:val="00594472"/>
    <w:rsid w:val="00594C82"/>
    <w:rsid w:val="00594DB3"/>
    <w:rsid w:val="00594E1B"/>
    <w:rsid w:val="005950C3"/>
    <w:rsid w:val="00595126"/>
    <w:rsid w:val="0059514E"/>
    <w:rsid w:val="00595537"/>
    <w:rsid w:val="00595859"/>
    <w:rsid w:val="00596305"/>
    <w:rsid w:val="00596403"/>
    <w:rsid w:val="005967CC"/>
    <w:rsid w:val="0059681D"/>
    <w:rsid w:val="00597386"/>
    <w:rsid w:val="00597406"/>
    <w:rsid w:val="005975FE"/>
    <w:rsid w:val="00597B28"/>
    <w:rsid w:val="00597BC3"/>
    <w:rsid w:val="005A14FB"/>
    <w:rsid w:val="005A15FE"/>
    <w:rsid w:val="005A1712"/>
    <w:rsid w:val="005A23EA"/>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0F9"/>
    <w:rsid w:val="005A74B1"/>
    <w:rsid w:val="005B0209"/>
    <w:rsid w:val="005B0646"/>
    <w:rsid w:val="005B0831"/>
    <w:rsid w:val="005B128D"/>
    <w:rsid w:val="005B1376"/>
    <w:rsid w:val="005B13CD"/>
    <w:rsid w:val="005B18A5"/>
    <w:rsid w:val="005B18E2"/>
    <w:rsid w:val="005B1C23"/>
    <w:rsid w:val="005B20EE"/>
    <w:rsid w:val="005B23C6"/>
    <w:rsid w:val="005B254A"/>
    <w:rsid w:val="005B2A5D"/>
    <w:rsid w:val="005B2D6B"/>
    <w:rsid w:val="005B317F"/>
    <w:rsid w:val="005B31D5"/>
    <w:rsid w:val="005B339C"/>
    <w:rsid w:val="005B3612"/>
    <w:rsid w:val="005B396E"/>
    <w:rsid w:val="005B3C5F"/>
    <w:rsid w:val="005B3D18"/>
    <w:rsid w:val="005B3EA0"/>
    <w:rsid w:val="005B3F5B"/>
    <w:rsid w:val="005B3F86"/>
    <w:rsid w:val="005B4323"/>
    <w:rsid w:val="005B44C0"/>
    <w:rsid w:val="005B4965"/>
    <w:rsid w:val="005B498B"/>
    <w:rsid w:val="005B49B0"/>
    <w:rsid w:val="005B4D9B"/>
    <w:rsid w:val="005B4FE0"/>
    <w:rsid w:val="005B5581"/>
    <w:rsid w:val="005B55B7"/>
    <w:rsid w:val="005B5622"/>
    <w:rsid w:val="005B594C"/>
    <w:rsid w:val="005B5A39"/>
    <w:rsid w:val="005B5D9E"/>
    <w:rsid w:val="005B5F8E"/>
    <w:rsid w:val="005B685C"/>
    <w:rsid w:val="005B716E"/>
    <w:rsid w:val="005B73B1"/>
    <w:rsid w:val="005B7A80"/>
    <w:rsid w:val="005B7B41"/>
    <w:rsid w:val="005B7BBE"/>
    <w:rsid w:val="005B7BE7"/>
    <w:rsid w:val="005B7EB7"/>
    <w:rsid w:val="005B7FD3"/>
    <w:rsid w:val="005C0131"/>
    <w:rsid w:val="005C042E"/>
    <w:rsid w:val="005C08CB"/>
    <w:rsid w:val="005C158D"/>
    <w:rsid w:val="005C1FD8"/>
    <w:rsid w:val="005C203D"/>
    <w:rsid w:val="005C242A"/>
    <w:rsid w:val="005C2A83"/>
    <w:rsid w:val="005C2F7A"/>
    <w:rsid w:val="005C34F8"/>
    <w:rsid w:val="005C35B0"/>
    <w:rsid w:val="005C3869"/>
    <w:rsid w:val="005C3AED"/>
    <w:rsid w:val="005C3CF7"/>
    <w:rsid w:val="005C40A0"/>
    <w:rsid w:val="005C4104"/>
    <w:rsid w:val="005C4126"/>
    <w:rsid w:val="005C48AA"/>
    <w:rsid w:val="005C504A"/>
    <w:rsid w:val="005C516F"/>
    <w:rsid w:val="005C55C7"/>
    <w:rsid w:val="005C62E2"/>
    <w:rsid w:val="005C663F"/>
    <w:rsid w:val="005C6A06"/>
    <w:rsid w:val="005C725E"/>
    <w:rsid w:val="005C7424"/>
    <w:rsid w:val="005C79B9"/>
    <w:rsid w:val="005C7C27"/>
    <w:rsid w:val="005D0178"/>
    <w:rsid w:val="005D01BC"/>
    <w:rsid w:val="005D04C8"/>
    <w:rsid w:val="005D12EE"/>
    <w:rsid w:val="005D13BC"/>
    <w:rsid w:val="005D1853"/>
    <w:rsid w:val="005D1AAD"/>
    <w:rsid w:val="005D1D94"/>
    <w:rsid w:val="005D221C"/>
    <w:rsid w:val="005D24A9"/>
    <w:rsid w:val="005D2993"/>
    <w:rsid w:val="005D34EF"/>
    <w:rsid w:val="005D35E9"/>
    <w:rsid w:val="005D3880"/>
    <w:rsid w:val="005D38F9"/>
    <w:rsid w:val="005D3C43"/>
    <w:rsid w:val="005D439B"/>
    <w:rsid w:val="005D4590"/>
    <w:rsid w:val="005D4657"/>
    <w:rsid w:val="005D4CD9"/>
    <w:rsid w:val="005D4FED"/>
    <w:rsid w:val="005D52B5"/>
    <w:rsid w:val="005D5BFE"/>
    <w:rsid w:val="005D5C02"/>
    <w:rsid w:val="005D5F60"/>
    <w:rsid w:val="005D60CE"/>
    <w:rsid w:val="005D62DF"/>
    <w:rsid w:val="005D63A3"/>
    <w:rsid w:val="005D69C6"/>
    <w:rsid w:val="005D6CFA"/>
    <w:rsid w:val="005E0155"/>
    <w:rsid w:val="005E081F"/>
    <w:rsid w:val="005E0AA3"/>
    <w:rsid w:val="005E0E8F"/>
    <w:rsid w:val="005E178A"/>
    <w:rsid w:val="005E1BD9"/>
    <w:rsid w:val="005E20A4"/>
    <w:rsid w:val="005E219A"/>
    <w:rsid w:val="005E22F5"/>
    <w:rsid w:val="005E26F5"/>
    <w:rsid w:val="005E2AA6"/>
    <w:rsid w:val="005E2F16"/>
    <w:rsid w:val="005E3488"/>
    <w:rsid w:val="005E3694"/>
    <w:rsid w:val="005E396D"/>
    <w:rsid w:val="005E434A"/>
    <w:rsid w:val="005E49EB"/>
    <w:rsid w:val="005E4B4F"/>
    <w:rsid w:val="005E51D8"/>
    <w:rsid w:val="005E5467"/>
    <w:rsid w:val="005E55BA"/>
    <w:rsid w:val="005E5C89"/>
    <w:rsid w:val="005E5DA1"/>
    <w:rsid w:val="005E604C"/>
    <w:rsid w:val="005E6050"/>
    <w:rsid w:val="005E6086"/>
    <w:rsid w:val="005E6132"/>
    <w:rsid w:val="005E6D50"/>
    <w:rsid w:val="005E6EAE"/>
    <w:rsid w:val="005E787C"/>
    <w:rsid w:val="005E78CE"/>
    <w:rsid w:val="005E7A2A"/>
    <w:rsid w:val="005F01EE"/>
    <w:rsid w:val="005F020E"/>
    <w:rsid w:val="005F020F"/>
    <w:rsid w:val="005F0833"/>
    <w:rsid w:val="005F0C27"/>
    <w:rsid w:val="005F0DFC"/>
    <w:rsid w:val="005F0EF9"/>
    <w:rsid w:val="005F1019"/>
    <w:rsid w:val="005F13EA"/>
    <w:rsid w:val="005F154C"/>
    <w:rsid w:val="005F1735"/>
    <w:rsid w:val="005F18DE"/>
    <w:rsid w:val="005F1F10"/>
    <w:rsid w:val="005F20F9"/>
    <w:rsid w:val="005F2907"/>
    <w:rsid w:val="005F2C5E"/>
    <w:rsid w:val="005F3241"/>
    <w:rsid w:val="005F3446"/>
    <w:rsid w:val="005F3769"/>
    <w:rsid w:val="005F3DD4"/>
    <w:rsid w:val="005F3E63"/>
    <w:rsid w:val="005F41F6"/>
    <w:rsid w:val="005F4241"/>
    <w:rsid w:val="005F4C7D"/>
    <w:rsid w:val="005F5523"/>
    <w:rsid w:val="005F5ABF"/>
    <w:rsid w:val="005F5BFD"/>
    <w:rsid w:val="005F5CDB"/>
    <w:rsid w:val="005F620A"/>
    <w:rsid w:val="005F6239"/>
    <w:rsid w:val="005F67C5"/>
    <w:rsid w:val="005F688E"/>
    <w:rsid w:val="005F6BCD"/>
    <w:rsid w:val="005F6F25"/>
    <w:rsid w:val="005F707D"/>
    <w:rsid w:val="005F749B"/>
    <w:rsid w:val="005F75D6"/>
    <w:rsid w:val="005F7993"/>
    <w:rsid w:val="006001D6"/>
    <w:rsid w:val="00600304"/>
    <w:rsid w:val="006003F0"/>
    <w:rsid w:val="006006E4"/>
    <w:rsid w:val="006014BD"/>
    <w:rsid w:val="00601D2A"/>
    <w:rsid w:val="00602157"/>
    <w:rsid w:val="006021BD"/>
    <w:rsid w:val="006024FE"/>
    <w:rsid w:val="0060256C"/>
    <w:rsid w:val="006027C9"/>
    <w:rsid w:val="00602A09"/>
    <w:rsid w:val="00602A30"/>
    <w:rsid w:val="00602B39"/>
    <w:rsid w:val="00602C0A"/>
    <w:rsid w:val="00602C0F"/>
    <w:rsid w:val="00603123"/>
    <w:rsid w:val="0060353C"/>
    <w:rsid w:val="0060360E"/>
    <w:rsid w:val="00604821"/>
    <w:rsid w:val="00605015"/>
    <w:rsid w:val="00605EE7"/>
    <w:rsid w:val="00606041"/>
    <w:rsid w:val="00606458"/>
    <w:rsid w:val="00606943"/>
    <w:rsid w:val="00606CA4"/>
    <w:rsid w:val="00606CBB"/>
    <w:rsid w:val="00606CFD"/>
    <w:rsid w:val="00606DD4"/>
    <w:rsid w:val="00606FC0"/>
    <w:rsid w:val="006070B0"/>
    <w:rsid w:val="006073FD"/>
    <w:rsid w:val="006074B3"/>
    <w:rsid w:val="00607574"/>
    <w:rsid w:val="006075D5"/>
    <w:rsid w:val="006078B1"/>
    <w:rsid w:val="00607A85"/>
    <w:rsid w:val="00607D8F"/>
    <w:rsid w:val="0061010B"/>
    <w:rsid w:val="00610274"/>
    <w:rsid w:val="0061050F"/>
    <w:rsid w:val="00610E03"/>
    <w:rsid w:val="0061177C"/>
    <w:rsid w:val="00611F44"/>
    <w:rsid w:val="00612A04"/>
    <w:rsid w:val="00612D20"/>
    <w:rsid w:val="00612E92"/>
    <w:rsid w:val="00613991"/>
    <w:rsid w:val="00613AFE"/>
    <w:rsid w:val="00613DBE"/>
    <w:rsid w:val="00613F84"/>
    <w:rsid w:val="00614314"/>
    <w:rsid w:val="006145CB"/>
    <w:rsid w:val="00614972"/>
    <w:rsid w:val="00614AA2"/>
    <w:rsid w:val="006151CF"/>
    <w:rsid w:val="00615716"/>
    <w:rsid w:val="006157CA"/>
    <w:rsid w:val="006157FA"/>
    <w:rsid w:val="00615B93"/>
    <w:rsid w:val="00615BFB"/>
    <w:rsid w:val="006169C0"/>
    <w:rsid w:val="00616B75"/>
    <w:rsid w:val="00616B7C"/>
    <w:rsid w:val="00616D5B"/>
    <w:rsid w:val="00616E40"/>
    <w:rsid w:val="00616E66"/>
    <w:rsid w:val="006172CD"/>
    <w:rsid w:val="006172EC"/>
    <w:rsid w:val="006174DF"/>
    <w:rsid w:val="00617540"/>
    <w:rsid w:val="00617D24"/>
    <w:rsid w:val="00617EA6"/>
    <w:rsid w:val="006202D0"/>
    <w:rsid w:val="00620572"/>
    <w:rsid w:val="00620615"/>
    <w:rsid w:val="006208B7"/>
    <w:rsid w:val="00620C6F"/>
    <w:rsid w:val="00620EE4"/>
    <w:rsid w:val="006211BD"/>
    <w:rsid w:val="006214DF"/>
    <w:rsid w:val="00621603"/>
    <w:rsid w:val="006216D4"/>
    <w:rsid w:val="0062173A"/>
    <w:rsid w:val="00621992"/>
    <w:rsid w:val="00621A2E"/>
    <w:rsid w:val="00621B6B"/>
    <w:rsid w:val="00621C2A"/>
    <w:rsid w:val="00621C2D"/>
    <w:rsid w:val="006222F2"/>
    <w:rsid w:val="0062274D"/>
    <w:rsid w:val="00622884"/>
    <w:rsid w:val="00622C8C"/>
    <w:rsid w:val="00622D67"/>
    <w:rsid w:val="00623076"/>
    <w:rsid w:val="00623734"/>
    <w:rsid w:val="00623F17"/>
    <w:rsid w:val="00624195"/>
    <w:rsid w:val="006243B8"/>
    <w:rsid w:val="006243E3"/>
    <w:rsid w:val="006244DB"/>
    <w:rsid w:val="0062454B"/>
    <w:rsid w:val="00624B39"/>
    <w:rsid w:val="00624DDF"/>
    <w:rsid w:val="00624FA2"/>
    <w:rsid w:val="00625FE5"/>
    <w:rsid w:val="00626001"/>
    <w:rsid w:val="0062617C"/>
    <w:rsid w:val="0062640B"/>
    <w:rsid w:val="0062677C"/>
    <w:rsid w:val="00626805"/>
    <w:rsid w:val="00626887"/>
    <w:rsid w:val="00626977"/>
    <w:rsid w:val="006269BB"/>
    <w:rsid w:val="00626A4E"/>
    <w:rsid w:val="00626C88"/>
    <w:rsid w:val="00626CE3"/>
    <w:rsid w:val="00626DF8"/>
    <w:rsid w:val="00630A69"/>
    <w:rsid w:val="00630E96"/>
    <w:rsid w:val="00631465"/>
    <w:rsid w:val="006316D0"/>
    <w:rsid w:val="00631B62"/>
    <w:rsid w:val="00631C3D"/>
    <w:rsid w:val="00631D57"/>
    <w:rsid w:val="00632453"/>
    <w:rsid w:val="0063245A"/>
    <w:rsid w:val="00632602"/>
    <w:rsid w:val="0063288D"/>
    <w:rsid w:val="006328E3"/>
    <w:rsid w:val="00632A29"/>
    <w:rsid w:val="00632C46"/>
    <w:rsid w:val="00632C6A"/>
    <w:rsid w:val="00632D8A"/>
    <w:rsid w:val="00633326"/>
    <w:rsid w:val="006334B7"/>
    <w:rsid w:val="006335DB"/>
    <w:rsid w:val="0063369D"/>
    <w:rsid w:val="00633A8E"/>
    <w:rsid w:val="00633D7C"/>
    <w:rsid w:val="00633EA8"/>
    <w:rsid w:val="006348F6"/>
    <w:rsid w:val="00634EBA"/>
    <w:rsid w:val="0063561C"/>
    <w:rsid w:val="0063567C"/>
    <w:rsid w:val="006358AB"/>
    <w:rsid w:val="006359AD"/>
    <w:rsid w:val="006360F9"/>
    <w:rsid w:val="00636101"/>
    <w:rsid w:val="0063616A"/>
    <w:rsid w:val="00636230"/>
    <w:rsid w:val="00636A5F"/>
    <w:rsid w:val="00636B20"/>
    <w:rsid w:val="00636E97"/>
    <w:rsid w:val="00637071"/>
    <w:rsid w:val="006372EB"/>
    <w:rsid w:val="0063730A"/>
    <w:rsid w:val="006374E9"/>
    <w:rsid w:val="0063784B"/>
    <w:rsid w:val="00637C69"/>
    <w:rsid w:val="006402CA"/>
    <w:rsid w:val="0064052B"/>
    <w:rsid w:val="00640C06"/>
    <w:rsid w:val="00640DF1"/>
    <w:rsid w:val="006410AE"/>
    <w:rsid w:val="006412B0"/>
    <w:rsid w:val="0064173A"/>
    <w:rsid w:val="00641E55"/>
    <w:rsid w:val="0064202B"/>
    <w:rsid w:val="00642A61"/>
    <w:rsid w:val="00642C9A"/>
    <w:rsid w:val="00642D67"/>
    <w:rsid w:val="00642FAD"/>
    <w:rsid w:val="00643897"/>
    <w:rsid w:val="006441F9"/>
    <w:rsid w:val="00644A8D"/>
    <w:rsid w:val="00644E41"/>
    <w:rsid w:val="00644FC8"/>
    <w:rsid w:val="006450FB"/>
    <w:rsid w:val="00645381"/>
    <w:rsid w:val="00645505"/>
    <w:rsid w:val="00645694"/>
    <w:rsid w:val="00645B02"/>
    <w:rsid w:val="00645DC9"/>
    <w:rsid w:val="006464B8"/>
    <w:rsid w:val="00646712"/>
    <w:rsid w:val="00646D50"/>
    <w:rsid w:val="00647104"/>
    <w:rsid w:val="00647378"/>
    <w:rsid w:val="00647AD7"/>
    <w:rsid w:val="00647ADB"/>
    <w:rsid w:val="00650634"/>
    <w:rsid w:val="0065066A"/>
    <w:rsid w:val="00650B96"/>
    <w:rsid w:val="00650C83"/>
    <w:rsid w:val="00650E2A"/>
    <w:rsid w:val="00650EC3"/>
    <w:rsid w:val="00651888"/>
    <w:rsid w:val="00651C45"/>
    <w:rsid w:val="00651F9F"/>
    <w:rsid w:val="0065233F"/>
    <w:rsid w:val="00652415"/>
    <w:rsid w:val="00652450"/>
    <w:rsid w:val="00652836"/>
    <w:rsid w:val="00652A67"/>
    <w:rsid w:val="00652ED3"/>
    <w:rsid w:val="0065334C"/>
    <w:rsid w:val="00653C57"/>
    <w:rsid w:val="00653C98"/>
    <w:rsid w:val="006542F2"/>
    <w:rsid w:val="00654347"/>
    <w:rsid w:val="00654421"/>
    <w:rsid w:val="00654869"/>
    <w:rsid w:val="00654D1F"/>
    <w:rsid w:val="00654DBC"/>
    <w:rsid w:val="00655982"/>
    <w:rsid w:val="006559AB"/>
    <w:rsid w:val="00655F25"/>
    <w:rsid w:val="00656B2C"/>
    <w:rsid w:val="00656E0D"/>
    <w:rsid w:val="00656FAD"/>
    <w:rsid w:val="006573C7"/>
    <w:rsid w:val="00657767"/>
    <w:rsid w:val="006579DD"/>
    <w:rsid w:val="006606E8"/>
    <w:rsid w:val="00661AC9"/>
    <w:rsid w:val="00661C54"/>
    <w:rsid w:val="006624B8"/>
    <w:rsid w:val="00662881"/>
    <w:rsid w:val="00662949"/>
    <w:rsid w:val="00662CEE"/>
    <w:rsid w:val="00662DBA"/>
    <w:rsid w:val="00662DF1"/>
    <w:rsid w:val="006632BF"/>
    <w:rsid w:val="0066342B"/>
    <w:rsid w:val="006635F8"/>
    <w:rsid w:val="006636CC"/>
    <w:rsid w:val="00663C49"/>
    <w:rsid w:val="00663F82"/>
    <w:rsid w:val="0066407C"/>
    <w:rsid w:val="00664434"/>
    <w:rsid w:val="006644E5"/>
    <w:rsid w:val="006645EF"/>
    <w:rsid w:val="0066466A"/>
    <w:rsid w:val="00664A61"/>
    <w:rsid w:val="00664F65"/>
    <w:rsid w:val="0066522D"/>
    <w:rsid w:val="006652DC"/>
    <w:rsid w:val="006653E2"/>
    <w:rsid w:val="006658DA"/>
    <w:rsid w:val="00665A45"/>
    <w:rsid w:val="00666037"/>
    <w:rsid w:val="00666449"/>
    <w:rsid w:val="0066688A"/>
    <w:rsid w:val="00666A7A"/>
    <w:rsid w:val="00667143"/>
    <w:rsid w:val="006674C9"/>
    <w:rsid w:val="00667A73"/>
    <w:rsid w:val="00667D35"/>
    <w:rsid w:val="00670221"/>
    <w:rsid w:val="00670336"/>
    <w:rsid w:val="00670584"/>
    <w:rsid w:val="00670811"/>
    <w:rsid w:val="00671660"/>
    <w:rsid w:val="00671743"/>
    <w:rsid w:val="00671DAC"/>
    <w:rsid w:val="00671FED"/>
    <w:rsid w:val="00672016"/>
    <w:rsid w:val="0067223F"/>
    <w:rsid w:val="00672D75"/>
    <w:rsid w:val="00673013"/>
    <w:rsid w:val="006735D6"/>
    <w:rsid w:val="006736BC"/>
    <w:rsid w:val="00673CF9"/>
    <w:rsid w:val="00673D5D"/>
    <w:rsid w:val="00673D66"/>
    <w:rsid w:val="0067400E"/>
    <w:rsid w:val="00674108"/>
    <w:rsid w:val="006741F3"/>
    <w:rsid w:val="006745BA"/>
    <w:rsid w:val="00674762"/>
    <w:rsid w:val="00674973"/>
    <w:rsid w:val="00674994"/>
    <w:rsid w:val="00674CC5"/>
    <w:rsid w:val="00674D2A"/>
    <w:rsid w:val="00674D69"/>
    <w:rsid w:val="00674EAD"/>
    <w:rsid w:val="0067526C"/>
    <w:rsid w:val="00675331"/>
    <w:rsid w:val="006754D2"/>
    <w:rsid w:val="00675647"/>
    <w:rsid w:val="00675AEA"/>
    <w:rsid w:val="00675BFA"/>
    <w:rsid w:val="00675D90"/>
    <w:rsid w:val="00675D9B"/>
    <w:rsid w:val="00675F7B"/>
    <w:rsid w:val="0067617E"/>
    <w:rsid w:val="00676312"/>
    <w:rsid w:val="006765A5"/>
    <w:rsid w:val="00676698"/>
    <w:rsid w:val="0067691B"/>
    <w:rsid w:val="00676CB7"/>
    <w:rsid w:val="00676F76"/>
    <w:rsid w:val="006773E1"/>
    <w:rsid w:val="0068017F"/>
    <w:rsid w:val="006801A4"/>
    <w:rsid w:val="00680500"/>
    <w:rsid w:val="00680594"/>
    <w:rsid w:val="0068070E"/>
    <w:rsid w:val="00680C54"/>
    <w:rsid w:val="00680EBD"/>
    <w:rsid w:val="00680F80"/>
    <w:rsid w:val="0068132E"/>
    <w:rsid w:val="00681D45"/>
    <w:rsid w:val="00681FE8"/>
    <w:rsid w:val="0068237D"/>
    <w:rsid w:val="0068247E"/>
    <w:rsid w:val="00682552"/>
    <w:rsid w:val="00682692"/>
    <w:rsid w:val="00682C5B"/>
    <w:rsid w:val="00682DBB"/>
    <w:rsid w:val="00683550"/>
    <w:rsid w:val="00683737"/>
    <w:rsid w:val="006838F1"/>
    <w:rsid w:val="00683CDE"/>
    <w:rsid w:val="00683E2A"/>
    <w:rsid w:val="00683EB5"/>
    <w:rsid w:val="00684120"/>
    <w:rsid w:val="00684361"/>
    <w:rsid w:val="006847AD"/>
    <w:rsid w:val="00684FA6"/>
    <w:rsid w:val="0068508E"/>
    <w:rsid w:val="00685575"/>
    <w:rsid w:val="006856CA"/>
    <w:rsid w:val="00686658"/>
    <w:rsid w:val="006867C9"/>
    <w:rsid w:val="00686B23"/>
    <w:rsid w:val="00686C92"/>
    <w:rsid w:val="00686CE1"/>
    <w:rsid w:val="00687240"/>
    <w:rsid w:val="006872E8"/>
    <w:rsid w:val="00687598"/>
    <w:rsid w:val="00687640"/>
    <w:rsid w:val="006876B1"/>
    <w:rsid w:val="00687A3F"/>
    <w:rsid w:val="00690AAD"/>
    <w:rsid w:val="00690CCD"/>
    <w:rsid w:val="006911AB"/>
    <w:rsid w:val="006913E2"/>
    <w:rsid w:val="00691514"/>
    <w:rsid w:val="0069192F"/>
    <w:rsid w:val="00691BBC"/>
    <w:rsid w:val="00692025"/>
    <w:rsid w:val="00692198"/>
    <w:rsid w:val="00692406"/>
    <w:rsid w:val="0069242B"/>
    <w:rsid w:val="00692644"/>
    <w:rsid w:val="00692880"/>
    <w:rsid w:val="00692DAE"/>
    <w:rsid w:val="0069342D"/>
    <w:rsid w:val="0069369A"/>
    <w:rsid w:val="00693861"/>
    <w:rsid w:val="00693913"/>
    <w:rsid w:val="00693935"/>
    <w:rsid w:val="00693B2A"/>
    <w:rsid w:val="00693BF4"/>
    <w:rsid w:val="006942B7"/>
    <w:rsid w:val="006943EE"/>
    <w:rsid w:val="006943FF"/>
    <w:rsid w:val="00694402"/>
    <w:rsid w:val="00694972"/>
    <w:rsid w:val="00694988"/>
    <w:rsid w:val="00694B8B"/>
    <w:rsid w:val="00695778"/>
    <w:rsid w:val="00695BFF"/>
    <w:rsid w:val="006964A5"/>
    <w:rsid w:val="006964E8"/>
    <w:rsid w:val="00696E2A"/>
    <w:rsid w:val="006970D1"/>
    <w:rsid w:val="0069710F"/>
    <w:rsid w:val="006972DD"/>
    <w:rsid w:val="006973CB"/>
    <w:rsid w:val="006977BE"/>
    <w:rsid w:val="00697B0E"/>
    <w:rsid w:val="00697D75"/>
    <w:rsid w:val="006A05D0"/>
    <w:rsid w:val="006A067B"/>
    <w:rsid w:val="006A0753"/>
    <w:rsid w:val="006A091D"/>
    <w:rsid w:val="006A0A95"/>
    <w:rsid w:val="006A1304"/>
    <w:rsid w:val="006A1902"/>
    <w:rsid w:val="006A23EE"/>
    <w:rsid w:val="006A2443"/>
    <w:rsid w:val="006A2B05"/>
    <w:rsid w:val="006A3289"/>
    <w:rsid w:val="006A3727"/>
    <w:rsid w:val="006A3BEB"/>
    <w:rsid w:val="006A4118"/>
    <w:rsid w:val="006A415F"/>
    <w:rsid w:val="006A44DD"/>
    <w:rsid w:val="006A4CC8"/>
    <w:rsid w:val="006A4E7C"/>
    <w:rsid w:val="006A53B6"/>
    <w:rsid w:val="006A5C0F"/>
    <w:rsid w:val="006A60F5"/>
    <w:rsid w:val="006A63CA"/>
    <w:rsid w:val="006A6587"/>
    <w:rsid w:val="006A6A73"/>
    <w:rsid w:val="006A6D64"/>
    <w:rsid w:val="006A6DDD"/>
    <w:rsid w:val="006A6E56"/>
    <w:rsid w:val="006A6F0C"/>
    <w:rsid w:val="006A6F2B"/>
    <w:rsid w:val="006A7096"/>
    <w:rsid w:val="006A7130"/>
    <w:rsid w:val="006A71FD"/>
    <w:rsid w:val="006A76A2"/>
    <w:rsid w:val="006A7D70"/>
    <w:rsid w:val="006A7EA3"/>
    <w:rsid w:val="006B0267"/>
    <w:rsid w:val="006B0ADF"/>
    <w:rsid w:val="006B0D95"/>
    <w:rsid w:val="006B1343"/>
    <w:rsid w:val="006B1706"/>
    <w:rsid w:val="006B1828"/>
    <w:rsid w:val="006B19DA"/>
    <w:rsid w:val="006B1C0A"/>
    <w:rsid w:val="006B1C0F"/>
    <w:rsid w:val="006B1C43"/>
    <w:rsid w:val="006B28AA"/>
    <w:rsid w:val="006B2A3D"/>
    <w:rsid w:val="006B2E80"/>
    <w:rsid w:val="006B33C6"/>
    <w:rsid w:val="006B34C6"/>
    <w:rsid w:val="006B3A86"/>
    <w:rsid w:val="006B3C99"/>
    <w:rsid w:val="006B407E"/>
    <w:rsid w:val="006B4384"/>
    <w:rsid w:val="006B4647"/>
    <w:rsid w:val="006B4C07"/>
    <w:rsid w:val="006B4F51"/>
    <w:rsid w:val="006B54D8"/>
    <w:rsid w:val="006B56F3"/>
    <w:rsid w:val="006B5770"/>
    <w:rsid w:val="006B5DB0"/>
    <w:rsid w:val="006B60B6"/>
    <w:rsid w:val="006B623E"/>
    <w:rsid w:val="006B6603"/>
    <w:rsid w:val="006B6620"/>
    <w:rsid w:val="006B6626"/>
    <w:rsid w:val="006B681D"/>
    <w:rsid w:val="006B6A17"/>
    <w:rsid w:val="006B6D83"/>
    <w:rsid w:val="006B6FBA"/>
    <w:rsid w:val="006B7B68"/>
    <w:rsid w:val="006B7F75"/>
    <w:rsid w:val="006B7FB3"/>
    <w:rsid w:val="006C0503"/>
    <w:rsid w:val="006C0A01"/>
    <w:rsid w:val="006C0D86"/>
    <w:rsid w:val="006C18F5"/>
    <w:rsid w:val="006C1977"/>
    <w:rsid w:val="006C1C18"/>
    <w:rsid w:val="006C1F1E"/>
    <w:rsid w:val="006C22FD"/>
    <w:rsid w:val="006C25D5"/>
    <w:rsid w:val="006C25EE"/>
    <w:rsid w:val="006C294F"/>
    <w:rsid w:val="006C2BC6"/>
    <w:rsid w:val="006C2E66"/>
    <w:rsid w:val="006C2F50"/>
    <w:rsid w:val="006C318B"/>
    <w:rsid w:val="006C332A"/>
    <w:rsid w:val="006C39E7"/>
    <w:rsid w:val="006C3A4C"/>
    <w:rsid w:val="006C3C78"/>
    <w:rsid w:val="006C3F7C"/>
    <w:rsid w:val="006C3FC6"/>
    <w:rsid w:val="006C454B"/>
    <w:rsid w:val="006C4A78"/>
    <w:rsid w:val="006C54FF"/>
    <w:rsid w:val="006C55AC"/>
    <w:rsid w:val="006C5820"/>
    <w:rsid w:val="006C5B18"/>
    <w:rsid w:val="006C621E"/>
    <w:rsid w:val="006C6460"/>
    <w:rsid w:val="006C64C4"/>
    <w:rsid w:val="006C6711"/>
    <w:rsid w:val="006C6BF6"/>
    <w:rsid w:val="006C710A"/>
    <w:rsid w:val="006C7653"/>
    <w:rsid w:val="006C76EB"/>
    <w:rsid w:val="006C7A63"/>
    <w:rsid w:val="006C7AEE"/>
    <w:rsid w:val="006D00E3"/>
    <w:rsid w:val="006D00F5"/>
    <w:rsid w:val="006D0151"/>
    <w:rsid w:val="006D0236"/>
    <w:rsid w:val="006D0444"/>
    <w:rsid w:val="006D04B4"/>
    <w:rsid w:val="006D106C"/>
    <w:rsid w:val="006D11CC"/>
    <w:rsid w:val="006D1ABB"/>
    <w:rsid w:val="006D1ADC"/>
    <w:rsid w:val="006D1BBE"/>
    <w:rsid w:val="006D20EE"/>
    <w:rsid w:val="006D224B"/>
    <w:rsid w:val="006D2477"/>
    <w:rsid w:val="006D2CC6"/>
    <w:rsid w:val="006D2D8F"/>
    <w:rsid w:val="006D2FD8"/>
    <w:rsid w:val="006D30E0"/>
    <w:rsid w:val="006D3267"/>
    <w:rsid w:val="006D391D"/>
    <w:rsid w:val="006D3DE9"/>
    <w:rsid w:val="006D3F57"/>
    <w:rsid w:val="006D4090"/>
    <w:rsid w:val="006D4283"/>
    <w:rsid w:val="006D45B8"/>
    <w:rsid w:val="006D502F"/>
    <w:rsid w:val="006D5C3F"/>
    <w:rsid w:val="006D5DDA"/>
    <w:rsid w:val="006D6780"/>
    <w:rsid w:val="006D6E10"/>
    <w:rsid w:val="006D7088"/>
    <w:rsid w:val="006D740E"/>
    <w:rsid w:val="006D7E10"/>
    <w:rsid w:val="006D7F4E"/>
    <w:rsid w:val="006E00A5"/>
    <w:rsid w:val="006E0174"/>
    <w:rsid w:val="006E03CA"/>
    <w:rsid w:val="006E09AF"/>
    <w:rsid w:val="006E0E08"/>
    <w:rsid w:val="006E1A46"/>
    <w:rsid w:val="006E1A6D"/>
    <w:rsid w:val="006E1AAF"/>
    <w:rsid w:val="006E1DAC"/>
    <w:rsid w:val="006E1FD0"/>
    <w:rsid w:val="006E2028"/>
    <w:rsid w:val="006E21F9"/>
    <w:rsid w:val="006E221F"/>
    <w:rsid w:val="006E2345"/>
    <w:rsid w:val="006E276E"/>
    <w:rsid w:val="006E2F22"/>
    <w:rsid w:val="006E311E"/>
    <w:rsid w:val="006E3227"/>
    <w:rsid w:val="006E3C91"/>
    <w:rsid w:val="006E3DB2"/>
    <w:rsid w:val="006E3F1D"/>
    <w:rsid w:val="006E475F"/>
    <w:rsid w:val="006E4BBF"/>
    <w:rsid w:val="006E5881"/>
    <w:rsid w:val="006E5B99"/>
    <w:rsid w:val="006E5C8A"/>
    <w:rsid w:val="006E5E43"/>
    <w:rsid w:val="006E613E"/>
    <w:rsid w:val="006E6175"/>
    <w:rsid w:val="006E6811"/>
    <w:rsid w:val="006E6860"/>
    <w:rsid w:val="006E6F19"/>
    <w:rsid w:val="006E709B"/>
    <w:rsid w:val="006E72D2"/>
    <w:rsid w:val="006E73BF"/>
    <w:rsid w:val="006E75A7"/>
    <w:rsid w:val="006E7E41"/>
    <w:rsid w:val="006F0023"/>
    <w:rsid w:val="006F0215"/>
    <w:rsid w:val="006F022D"/>
    <w:rsid w:val="006F02DF"/>
    <w:rsid w:val="006F04BE"/>
    <w:rsid w:val="006F055E"/>
    <w:rsid w:val="006F08B2"/>
    <w:rsid w:val="006F08D2"/>
    <w:rsid w:val="006F099C"/>
    <w:rsid w:val="006F09FC"/>
    <w:rsid w:val="006F0F27"/>
    <w:rsid w:val="006F1182"/>
    <w:rsid w:val="006F1225"/>
    <w:rsid w:val="006F1BBB"/>
    <w:rsid w:val="006F1FCA"/>
    <w:rsid w:val="006F20CF"/>
    <w:rsid w:val="006F2216"/>
    <w:rsid w:val="006F2595"/>
    <w:rsid w:val="006F2629"/>
    <w:rsid w:val="006F2A69"/>
    <w:rsid w:val="006F3024"/>
    <w:rsid w:val="006F3408"/>
    <w:rsid w:val="006F3839"/>
    <w:rsid w:val="006F3B0A"/>
    <w:rsid w:val="006F3E7A"/>
    <w:rsid w:val="006F3EDF"/>
    <w:rsid w:val="006F41A7"/>
    <w:rsid w:val="006F4564"/>
    <w:rsid w:val="006F45FB"/>
    <w:rsid w:val="006F47A9"/>
    <w:rsid w:val="006F4CCC"/>
    <w:rsid w:val="006F4F31"/>
    <w:rsid w:val="006F57D4"/>
    <w:rsid w:val="006F58C6"/>
    <w:rsid w:val="006F58DA"/>
    <w:rsid w:val="006F5E51"/>
    <w:rsid w:val="006F5F7B"/>
    <w:rsid w:val="006F5FCC"/>
    <w:rsid w:val="006F65F5"/>
    <w:rsid w:val="006F6CDA"/>
    <w:rsid w:val="006F70BF"/>
    <w:rsid w:val="006F70EB"/>
    <w:rsid w:val="006F74A4"/>
    <w:rsid w:val="0070023D"/>
    <w:rsid w:val="00700399"/>
    <w:rsid w:val="007007F5"/>
    <w:rsid w:val="0070095A"/>
    <w:rsid w:val="0070117D"/>
    <w:rsid w:val="0070118D"/>
    <w:rsid w:val="00701279"/>
    <w:rsid w:val="00701E1A"/>
    <w:rsid w:val="00702259"/>
    <w:rsid w:val="0070225E"/>
    <w:rsid w:val="007025CD"/>
    <w:rsid w:val="00702737"/>
    <w:rsid w:val="0070285D"/>
    <w:rsid w:val="00702A2F"/>
    <w:rsid w:val="00702EB6"/>
    <w:rsid w:val="00703289"/>
    <w:rsid w:val="007036A0"/>
    <w:rsid w:val="007037D4"/>
    <w:rsid w:val="0070386C"/>
    <w:rsid w:val="00703B41"/>
    <w:rsid w:val="00703D30"/>
    <w:rsid w:val="00703FE0"/>
    <w:rsid w:val="007046DF"/>
    <w:rsid w:val="00704B11"/>
    <w:rsid w:val="00704D80"/>
    <w:rsid w:val="0070504B"/>
    <w:rsid w:val="007053D9"/>
    <w:rsid w:val="0070590D"/>
    <w:rsid w:val="00705BF9"/>
    <w:rsid w:val="00705E60"/>
    <w:rsid w:val="00705EAF"/>
    <w:rsid w:val="00705EBF"/>
    <w:rsid w:val="00706332"/>
    <w:rsid w:val="007065AB"/>
    <w:rsid w:val="00706745"/>
    <w:rsid w:val="0070677A"/>
    <w:rsid w:val="007067A0"/>
    <w:rsid w:val="00706DFD"/>
    <w:rsid w:val="00707245"/>
    <w:rsid w:val="007073CC"/>
    <w:rsid w:val="00707A59"/>
    <w:rsid w:val="00707A6D"/>
    <w:rsid w:val="00707B7D"/>
    <w:rsid w:val="007101D5"/>
    <w:rsid w:val="00710573"/>
    <w:rsid w:val="007107A4"/>
    <w:rsid w:val="00710E14"/>
    <w:rsid w:val="00711038"/>
    <w:rsid w:val="007110D2"/>
    <w:rsid w:val="007115FC"/>
    <w:rsid w:val="0071175C"/>
    <w:rsid w:val="00711C7A"/>
    <w:rsid w:val="00711CE0"/>
    <w:rsid w:val="00712496"/>
    <w:rsid w:val="007126B5"/>
    <w:rsid w:val="00712794"/>
    <w:rsid w:val="00713363"/>
    <w:rsid w:val="00713690"/>
    <w:rsid w:val="007136AE"/>
    <w:rsid w:val="00713FFE"/>
    <w:rsid w:val="00714145"/>
    <w:rsid w:val="00714281"/>
    <w:rsid w:val="0071483F"/>
    <w:rsid w:val="00714934"/>
    <w:rsid w:val="00714AB2"/>
    <w:rsid w:val="00715454"/>
    <w:rsid w:val="007158FA"/>
    <w:rsid w:val="00715A57"/>
    <w:rsid w:val="00716169"/>
    <w:rsid w:val="00716225"/>
    <w:rsid w:val="00716651"/>
    <w:rsid w:val="007168B3"/>
    <w:rsid w:val="007168B5"/>
    <w:rsid w:val="00716F2C"/>
    <w:rsid w:val="007171CF"/>
    <w:rsid w:val="0071761A"/>
    <w:rsid w:val="007179FE"/>
    <w:rsid w:val="00717B8B"/>
    <w:rsid w:val="00717E6F"/>
    <w:rsid w:val="007207AB"/>
    <w:rsid w:val="00720B03"/>
    <w:rsid w:val="0072122B"/>
    <w:rsid w:val="00721A05"/>
    <w:rsid w:val="00722127"/>
    <w:rsid w:val="0072213B"/>
    <w:rsid w:val="007222A1"/>
    <w:rsid w:val="007225E1"/>
    <w:rsid w:val="00723170"/>
    <w:rsid w:val="0072380E"/>
    <w:rsid w:val="00723845"/>
    <w:rsid w:val="00723B0E"/>
    <w:rsid w:val="00723B58"/>
    <w:rsid w:val="00723BE8"/>
    <w:rsid w:val="00723CF0"/>
    <w:rsid w:val="007241F7"/>
    <w:rsid w:val="007250B2"/>
    <w:rsid w:val="00725262"/>
    <w:rsid w:val="00725CDE"/>
    <w:rsid w:val="00726519"/>
    <w:rsid w:val="0072694C"/>
    <w:rsid w:val="00727189"/>
    <w:rsid w:val="007271BE"/>
    <w:rsid w:val="00727452"/>
    <w:rsid w:val="00727AB3"/>
    <w:rsid w:val="00727C2D"/>
    <w:rsid w:val="00727DF2"/>
    <w:rsid w:val="007301B1"/>
    <w:rsid w:val="007305D4"/>
    <w:rsid w:val="007306A5"/>
    <w:rsid w:val="007306BC"/>
    <w:rsid w:val="00730AE9"/>
    <w:rsid w:val="00730E0D"/>
    <w:rsid w:val="00730E7A"/>
    <w:rsid w:val="00730EA2"/>
    <w:rsid w:val="00731228"/>
    <w:rsid w:val="00731401"/>
    <w:rsid w:val="00731574"/>
    <w:rsid w:val="00731E64"/>
    <w:rsid w:val="00732A78"/>
    <w:rsid w:val="00732E9C"/>
    <w:rsid w:val="00732F89"/>
    <w:rsid w:val="00733110"/>
    <w:rsid w:val="00733387"/>
    <w:rsid w:val="00734325"/>
    <w:rsid w:val="007344D5"/>
    <w:rsid w:val="00734726"/>
    <w:rsid w:val="00734A33"/>
    <w:rsid w:val="00734C94"/>
    <w:rsid w:val="00734E28"/>
    <w:rsid w:val="00734E50"/>
    <w:rsid w:val="00734F19"/>
    <w:rsid w:val="00735393"/>
    <w:rsid w:val="007353A5"/>
    <w:rsid w:val="0073575A"/>
    <w:rsid w:val="00735C8F"/>
    <w:rsid w:val="00735FF1"/>
    <w:rsid w:val="00736075"/>
    <w:rsid w:val="007361D2"/>
    <w:rsid w:val="007362C7"/>
    <w:rsid w:val="0073638C"/>
    <w:rsid w:val="00736474"/>
    <w:rsid w:val="00736543"/>
    <w:rsid w:val="007365F4"/>
    <w:rsid w:val="00736685"/>
    <w:rsid w:val="00736DBA"/>
    <w:rsid w:val="0073771E"/>
    <w:rsid w:val="007377DF"/>
    <w:rsid w:val="00737C45"/>
    <w:rsid w:val="00737CC9"/>
    <w:rsid w:val="007402F5"/>
    <w:rsid w:val="0074052C"/>
    <w:rsid w:val="00740B56"/>
    <w:rsid w:val="00740D70"/>
    <w:rsid w:val="00741185"/>
    <w:rsid w:val="007411AC"/>
    <w:rsid w:val="007411FB"/>
    <w:rsid w:val="007419B9"/>
    <w:rsid w:val="0074215A"/>
    <w:rsid w:val="00742500"/>
    <w:rsid w:val="007429B7"/>
    <w:rsid w:val="00742B1E"/>
    <w:rsid w:val="00742CB6"/>
    <w:rsid w:val="00743546"/>
    <w:rsid w:val="00743565"/>
    <w:rsid w:val="007435A0"/>
    <w:rsid w:val="00743ACF"/>
    <w:rsid w:val="00745358"/>
    <w:rsid w:val="0074543C"/>
    <w:rsid w:val="00745785"/>
    <w:rsid w:val="00745C88"/>
    <w:rsid w:val="00746009"/>
    <w:rsid w:val="007463C1"/>
    <w:rsid w:val="007465D1"/>
    <w:rsid w:val="00746D2A"/>
    <w:rsid w:val="00746DEF"/>
    <w:rsid w:val="00746EA3"/>
    <w:rsid w:val="007472D8"/>
    <w:rsid w:val="0074732C"/>
    <w:rsid w:val="0074735F"/>
    <w:rsid w:val="00747741"/>
    <w:rsid w:val="00747A0D"/>
    <w:rsid w:val="00747A2D"/>
    <w:rsid w:val="00747B3E"/>
    <w:rsid w:val="00750696"/>
    <w:rsid w:val="00751375"/>
    <w:rsid w:val="007517C0"/>
    <w:rsid w:val="007517F3"/>
    <w:rsid w:val="00751E7F"/>
    <w:rsid w:val="00751F98"/>
    <w:rsid w:val="007523B6"/>
    <w:rsid w:val="0075247F"/>
    <w:rsid w:val="0075265A"/>
    <w:rsid w:val="0075277F"/>
    <w:rsid w:val="0075284E"/>
    <w:rsid w:val="007536CE"/>
    <w:rsid w:val="00753755"/>
    <w:rsid w:val="00753BD3"/>
    <w:rsid w:val="00753C5F"/>
    <w:rsid w:val="00753F03"/>
    <w:rsid w:val="00754331"/>
    <w:rsid w:val="00754648"/>
    <w:rsid w:val="00754B33"/>
    <w:rsid w:val="0075521C"/>
    <w:rsid w:val="00755966"/>
    <w:rsid w:val="00757472"/>
    <w:rsid w:val="00757846"/>
    <w:rsid w:val="00757ACA"/>
    <w:rsid w:val="00757C92"/>
    <w:rsid w:val="007600C9"/>
    <w:rsid w:val="007605B2"/>
    <w:rsid w:val="00760A26"/>
    <w:rsid w:val="00760D00"/>
    <w:rsid w:val="0076192B"/>
    <w:rsid w:val="007622C7"/>
    <w:rsid w:val="00762383"/>
    <w:rsid w:val="0076245A"/>
    <w:rsid w:val="007625E9"/>
    <w:rsid w:val="007626BC"/>
    <w:rsid w:val="007628C5"/>
    <w:rsid w:val="00762CB1"/>
    <w:rsid w:val="00763016"/>
    <w:rsid w:val="007630BD"/>
    <w:rsid w:val="00763F1E"/>
    <w:rsid w:val="00763F55"/>
    <w:rsid w:val="0076441C"/>
    <w:rsid w:val="007644EA"/>
    <w:rsid w:val="0076476C"/>
    <w:rsid w:val="00764A01"/>
    <w:rsid w:val="00764A1A"/>
    <w:rsid w:val="00764B4C"/>
    <w:rsid w:val="007650BA"/>
    <w:rsid w:val="0076522C"/>
    <w:rsid w:val="00765CCA"/>
    <w:rsid w:val="00765F3C"/>
    <w:rsid w:val="00766889"/>
    <w:rsid w:val="0076706F"/>
    <w:rsid w:val="00767AF6"/>
    <w:rsid w:val="00767B14"/>
    <w:rsid w:val="00767E39"/>
    <w:rsid w:val="00767F23"/>
    <w:rsid w:val="0077014E"/>
    <w:rsid w:val="007701B0"/>
    <w:rsid w:val="0077052D"/>
    <w:rsid w:val="0077065C"/>
    <w:rsid w:val="0077078E"/>
    <w:rsid w:val="007711DC"/>
    <w:rsid w:val="007712BE"/>
    <w:rsid w:val="007716D7"/>
    <w:rsid w:val="00772201"/>
    <w:rsid w:val="0077238F"/>
    <w:rsid w:val="00772430"/>
    <w:rsid w:val="007724E2"/>
    <w:rsid w:val="007730E1"/>
    <w:rsid w:val="007736FE"/>
    <w:rsid w:val="007737FC"/>
    <w:rsid w:val="007738D5"/>
    <w:rsid w:val="00773998"/>
    <w:rsid w:val="007743CB"/>
    <w:rsid w:val="00774A0C"/>
    <w:rsid w:val="00774C10"/>
    <w:rsid w:val="00775094"/>
    <w:rsid w:val="007750CF"/>
    <w:rsid w:val="007752FF"/>
    <w:rsid w:val="00775555"/>
    <w:rsid w:val="007756D4"/>
    <w:rsid w:val="0077603A"/>
    <w:rsid w:val="0077611C"/>
    <w:rsid w:val="0077667C"/>
    <w:rsid w:val="00776C7D"/>
    <w:rsid w:val="00776CCB"/>
    <w:rsid w:val="00776D74"/>
    <w:rsid w:val="007771E8"/>
    <w:rsid w:val="007773B9"/>
    <w:rsid w:val="00777505"/>
    <w:rsid w:val="00780282"/>
    <w:rsid w:val="00780BF8"/>
    <w:rsid w:val="00780C38"/>
    <w:rsid w:val="00780E30"/>
    <w:rsid w:val="00780EA0"/>
    <w:rsid w:val="007810FF"/>
    <w:rsid w:val="00781378"/>
    <w:rsid w:val="007814EA"/>
    <w:rsid w:val="00782416"/>
    <w:rsid w:val="00782617"/>
    <w:rsid w:val="00782A68"/>
    <w:rsid w:val="00782A6E"/>
    <w:rsid w:val="00782C23"/>
    <w:rsid w:val="00783202"/>
    <w:rsid w:val="00783562"/>
    <w:rsid w:val="007835B5"/>
    <w:rsid w:val="00783C1D"/>
    <w:rsid w:val="00783F5F"/>
    <w:rsid w:val="00783FF7"/>
    <w:rsid w:val="00784612"/>
    <w:rsid w:val="0078484A"/>
    <w:rsid w:val="007853A6"/>
    <w:rsid w:val="007857FB"/>
    <w:rsid w:val="00785B89"/>
    <w:rsid w:val="00785EF3"/>
    <w:rsid w:val="00786799"/>
    <w:rsid w:val="0078684F"/>
    <w:rsid w:val="00787012"/>
    <w:rsid w:val="0078719F"/>
    <w:rsid w:val="0078721B"/>
    <w:rsid w:val="007872EB"/>
    <w:rsid w:val="00787482"/>
    <w:rsid w:val="00787724"/>
    <w:rsid w:val="0078778F"/>
    <w:rsid w:val="00787860"/>
    <w:rsid w:val="0078790E"/>
    <w:rsid w:val="00787CCD"/>
    <w:rsid w:val="0079024F"/>
    <w:rsid w:val="0079028A"/>
    <w:rsid w:val="00790320"/>
    <w:rsid w:val="007909C0"/>
    <w:rsid w:val="007911A7"/>
    <w:rsid w:val="007913D9"/>
    <w:rsid w:val="00791405"/>
    <w:rsid w:val="007915DF"/>
    <w:rsid w:val="0079167A"/>
    <w:rsid w:val="00791B4B"/>
    <w:rsid w:val="00791DE2"/>
    <w:rsid w:val="00791F0F"/>
    <w:rsid w:val="00791FAF"/>
    <w:rsid w:val="00792181"/>
    <w:rsid w:val="00792235"/>
    <w:rsid w:val="0079248C"/>
    <w:rsid w:val="0079271C"/>
    <w:rsid w:val="00792C57"/>
    <w:rsid w:val="00792FC7"/>
    <w:rsid w:val="00793509"/>
    <w:rsid w:val="00793521"/>
    <w:rsid w:val="00793FF0"/>
    <w:rsid w:val="007944A5"/>
    <w:rsid w:val="00794E36"/>
    <w:rsid w:val="00795264"/>
    <w:rsid w:val="00795832"/>
    <w:rsid w:val="007959CE"/>
    <w:rsid w:val="00795AEF"/>
    <w:rsid w:val="00796617"/>
    <w:rsid w:val="0079675C"/>
    <w:rsid w:val="00796AF0"/>
    <w:rsid w:val="00796C6B"/>
    <w:rsid w:val="007972E8"/>
    <w:rsid w:val="00797691"/>
    <w:rsid w:val="00797F63"/>
    <w:rsid w:val="00797F8C"/>
    <w:rsid w:val="007A0C5B"/>
    <w:rsid w:val="007A0FC1"/>
    <w:rsid w:val="007A100F"/>
    <w:rsid w:val="007A1034"/>
    <w:rsid w:val="007A1CC6"/>
    <w:rsid w:val="007A2172"/>
    <w:rsid w:val="007A25E2"/>
    <w:rsid w:val="007A2DA7"/>
    <w:rsid w:val="007A332B"/>
    <w:rsid w:val="007A38A2"/>
    <w:rsid w:val="007A3932"/>
    <w:rsid w:val="007A3E7F"/>
    <w:rsid w:val="007A42A8"/>
    <w:rsid w:val="007A4313"/>
    <w:rsid w:val="007A4477"/>
    <w:rsid w:val="007A4588"/>
    <w:rsid w:val="007A4742"/>
    <w:rsid w:val="007A50CD"/>
    <w:rsid w:val="007A517D"/>
    <w:rsid w:val="007A5759"/>
    <w:rsid w:val="007A6323"/>
    <w:rsid w:val="007A663B"/>
    <w:rsid w:val="007A6AB9"/>
    <w:rsid w:val="007A6BA0"/>
    <w:rsid w:val="007A6C63"/>
    <w:rsid w:val="007A6CF2"/>
    <w:rsid w:val="007A6DA6"/>
    <w:rsid w:val="007A6E3F"/>
    <w:rsid w:val="007A6E88"/>
    <w:rsid w:val="007A7052"/>
    <w:rsid w:val="007A73AC"/>
    <w:rsid w:val="007A76FB"/>
    <w:rsid w:val="007A7BFA"/>
    <w:rsid w:val="007A7E7B"/>
    <w:rsid w:val="007B02CB"/>
    <w:rsid w:val="007B0491"/>
    <w:rsid w:val="007B04CE"/>
    <w:rsid w:val="007B08B9"/>
    <w:rsid w:val="007B0B2B"/>
    <w:rsid w:val="007B0C22"/>
    <w:rsid w:val="007B0DAC"/>
    <w:rsid w:val="007B104F"/>
    <w:rsid w:val="007B11BD"/>
    <w:rsid w:val="007B13C9"/>
    <w:rsid w:val="007B1483"/>
    <w:rsid w:val="007B14B6"/>
    <w:rsid w:val="007B150B"/>
    <w:rsid w:val="007B1574"/>
    <w:rsid w:val="007B1746"/>
    <w:rsid w:val="007B1905"/>
    <w:rsid w:val="007B1932"/>
    <w:rsid w:val="007B2AA0"/>
    <w:rsid w:val="007B2B48"/>
    <w:rsid w:val="007B327D"/>
    <w:rsid w:val="007B379B"/>
    <w:rsid w:val="007B382D"/>
    <w:rsid w:val="007B3AFD"/>
    <w:rsid w:val="007B3E8B"/>
    <w:rsid w:val="007B3FB4"/>
    <w:rsid w:val="007B435A"/>
    <w:rsid w:val="007B43FF"/>
    <w:rsid w:val="007B4AD1"/>
    <w:rsid w:val="007B4CD5"/>
    <w:rsid w:val="007B4DAF"/>
    <w:rsid w:val="007B510B"/>
    <w:rsid w:val="007B545B"/>
    <w:rsid w:val="007B556A"/>
    <w:rsid w:val="007B5BCE"/>
    <w:rsid w:val="007B651E"/>
    <w:rsid w:val="007B745C"/>
    <w:rsid w:val="007B7478"/>
    <w:rsid w:val="007B7479"/>
    <w:rsid w:val="007B7533"/>
    <w:rsid w:val="007B77D2"/>
    <w:rsid w:val="007B780F"/>
    <w:rsid w:val="007C041C"/>
    <w:rsid w:val="007C0647"/>
    <w:rsid w:val="007C077C"/>
    <w:rsid w:val="007C081A"/>
    <w:rsid w:val="007C09A9"/>
    <w:rsid w:val="007C0B86"/>
    <w:rsid w:val="007C146A"/>
    <w:rsid w:val="007C16DA"/>
    <w:rsid w:val="007C18E8"/>
    <w:rsid w:val="007C23B0"/>
    <w:rsid w:val="007C2AB1"/>
    <w:rsid w:val="007C2C79"/>
    <w:rsid w:val="007C341F"/>
    <w:rsid w:val="007C376D"/>
    <w:rsid w:val="007C3B92"/>
    <w:rsid w:val="007C3BC9"/>
    <w:rsid w:val="007C3C89"/>
    <w:rsid w:val="007C3D4F"/>
    <w:rsid w:val="007C3DBB"/>
    <w:rsid w:val="007C4F82"/>
    <w:rsid w:val="007C5CFA"/>
    <w:rsid w:val="007C6099"/>
    <w:rsid w:val="007C6280"/>
    <w:rsid w:val="007C63C1"/>
    <w:rsid w:val="007C6EB1"/>
    <w:rsid w:val="007C7532"/>
    <w:rsid w:val="007C7CFE"/>
    <w:rsid w:val="007C7D68"/>
    <w:rsid w:val="007D00FF"/>
    <w:rsid w:val="007D04AB"/>
    <w:rsid w:val="007D0E56"/>
    <w:rsid w:val="007D0FCB"/>
    <w:rsid w:val="007D1114"/>
    <w:rsid w:val="007D119D"/>
    <w:rsid w:val="007D1824"/>
    <w:rsid w:val="007D1B51"/>
    <w:rsid w:val="007D1D84"/>
    <w:rsid w:val="007D1EA7"/>
    <w:rsid w:val="007D2084"/>
    <w:rsid w:val="007D2149"/>
    <w:rsid w:val="007D2186"/>
    <w:rsid w:val="007D21E1"/>
    <w:rsid w:val="007D2578"/>
    <w:rsid w:val="007D2688"/>
    <w:rsid w:val="007D33B4"/>
    <w:rsid w:val="007D36E5"/>
    <w:rsid w:val="007D3704"/>
    <w:rsid w:val="007D3BF0"/>
    <w:rsid w:val="007D3E08"/>
    <w:rsid w:val="007D3F25"/>
    <w:rsid w:val="007D43E8"/>
    <w:rsid w:val="007D478A"/>
    <w:rsid w:val="007D48AF"/>
    <w:rsid w:val="007D4AA3"/>
    <w:rsid w:val="007D4CDD"/>
    <w:rsid w:val="007D53C5"/>
    <w:rsid w:val="007D58BA"/>
    <w:rsid w:val="007D5A03"/>
    <w:rsid w:val="007D5E08"/>
    <w:rsid w:val="007D6654"/>
    <w:rsid w:val="007D69A8"/>
    <w:rsid w:val="007D69D2"/>
    <w:rsid w:val="007D6CC3"/>
    <w:rsid w:val="007D6D48"/>
    <w:rsid w:val="007D6E73"/>
    <w:rsid w:val="007D7234"/>
    <w:rsid w:val="007D7318"/>
    <w:rsid w:val="007D737A"/>
    <w:rsid w:val="007D7541"/>
    <w:rsid w:val="007D75BD"/>
    <w:rsid w:val="007D798D"/>
    <w:rsid w:val="007E07B0"/>
    <w:rsid w:val="007E081D"/>
    <w:rsid w:val="007E1099"/>
    <w:rsid w:val="007E10EF"/>
    <w:rsid w:val="007E1221"/>
    <w:rsid w:val="007E12CE"/>
    <w:rsid w:val="007E183A"/>
    <w:rsid w:val="007E18E8"/>
    <w:rsid w:val="007E1F66"/>
    <w:rsid w:val="007E2675"/>
    <w:rsid w:val="007E2A0A"/>
    <w:rsid w:val="007E2D69"/>
    <w:rsid w:val="007E320B"/>
    <w:rsid w:val="007E3320"/>
    <w:rsid w:val="007E4BBB"/>
    <w:rsid w:val="007E4EB7"/>
    <w:rsid w:val="007E53AD"/>
    <w:rsid w:val="007E56DD"/>
    <w:rsid w:val="007E5B02"/>
    <w:rsid w:val="007E5F72"/>
    <w:rsid w:val="007E63B2"/>
    <w:rsid w:val="007E65B7"/>
    <w:rsid w:val="007E687C"/>
    <w:rsid w:val="007E6AA9"/>
    <w:rsid w:val="007E6DCB"/>
    <w:rsid w:val="007E6F38"/>
    <w:rsid w:val="007E7ACE"/>
    <w:rsid w:val="007E7DD0"/>
    <w:rsid w:val="007F02D7"/>
    <w:rsid w:val="007F065B"/>
    <w:rsid w:val="007F075B"/>
    <w:rsid w:val="007F09DA"/>
    <w:rsid w:val="007F0B41"/>
    <w:rsid w:val="007F0C40"/>
    <w:rsid w:val="007F0DB6"/>
    <w:rsid w:val="007F12E7"/>
    <w:rsid w:val="007F1363"/>
    <w:rsid w:val="007F1C73"/>
    <w:rsid w:val="007F1CCD"/>
    <w:rsid w:val="007F201D"/>
    <w:rsid w:val="007F2182"/>
    <w:rsid w:val="007F22F4"/>
    <w:rsid w:val="007F313F"/>
    <w:rsid w:val="007F3152"/>
    <w:rsid w:val="007F3876"/>
    <w:rsid w:val="007F3A44"/>
    <w:rsid w:val="007F3D21"/>
    <w:rsid w:val="007F408B"/>
    <w:rsid w:val="007F4BF5"/>
    <w:rsid w:val="007F4E2F"/>
    <w:rsid w:val="007F514C"/>
    <w:rsid w:val="007F53A9"/>
    <w:rsid w:val="007F54BA"/>
    <w:rsid w:val="007F5506"/>
    <w:rsid w:val="007F60FC"/>
    <w:rsid w:val="007F64E5"/>
    <w:rsid w:val="007F6ABB"/>
    <w:rsid w:val="007F6E1F"/>
    <w:rsid w:val="007F6F7C"/>
    <w:rsid w:val="007F70F1"/>
    <w:rsid w:val="007F717C"/>
    <w:rsid w:val="007F73AA"/>
    <w:rsid w:val="007F765C"/>
    <w:rsid w:val="007F7882"/>
    <w:rsid w:val="007F7ADB"/>
    <w:rsid w:val="007F7C9C"/>
    <w:rsid w:val="00800020"/>
    <w:rsid w:val="00800337"/>
    <w:rsid w:val="00800591"/>
    <w:rsid w:val="00800A1C"/>
    <w:rsid w:val="00800AA6"/>
    <w:rsid w:val="00800BF4"/>
    <w:rsid w:val="00800CF7"/>
    <w:rsid w:val="00801523"/>
    <w:rsid w:val="008018C3"/>
    <w:rsid w:val="008019CE"/>
    <w:rsid w:val="00802065"/>
    <w:rsid w:val="008027F6"/>
    <w:rsid w:val="0080291E"/>
    <w:rsid w:val="00802AD6"/>
    <w:rsid w:val="00802DC7"/>
    <w:rsid w:val="008034FE"/>
    <w:rsid w:val="00803566"/>
    <w:rsid w:val="008036AB"/>
    <w:rsid w:val="00803713"/>
    <w:rsid w:val="008038C2"/>
    <w:rsid w:val="008039F2"/>
    <w:rsid w:val="00803B60"/>
    <w:rsid w:val="00803CDA"/>
    <w:rsid w:val="0080403C"/>
    <w:rsid w:val="008040A1"/>
    <w:rsid w:val="00804258"/>
    <w:rsid w:val="008042B8"/>
    <w:rsid w:val="008048D7"/>
    <w:rsid w:val="00804FA1"/>
    <w:rsid w:val="00805292"/>
    <w:rsid w:val="0080532F"/>
    <w:rsid w:val="00805FB1"/>
    <w:rsid w:val="0080610B"/>
    <w:rsid w:val="00806A25"/>
    <w:rsid w:val="00806CF3"/>
    <w:rsid w:val="00806DEF"/>
    <w:rsid w:val="00807002"/>
    <w:rsid w:val="00807235"/>
    <w:rsid w:val="008072E9"/>
    <w:rsid w:val="00807A37"/>
    <w:rsid w:val="00807BB1"/>
    <w:rsid w:val="00807E3C"/>
    <w:rsid w:val="00810014"/>
    <w:rsid w:val="008100D4"/>
    <w:rsid w:val="008101F3"/>
    <w:rsid w:val="00810497"/>
    <w:rsid w:val="00810C50"/>
    <w:rsid w:val="008110B8"/>
    <w:rsid w:val="008114F8"/>
    <w:rsid w:val="0081150F"/>
    <w:rsid w:val="0081170F"/>
    <w:rsid w:val="008117C7"/>
    <w:rsid w:val="00811866"/>
    <w:rsid w:val="008118C9"/>
    <w:rsid w:val="00811AF5"/>
    <w:rsid w:val="00811C8B"/>
    <w:rsid w:val="00811D40"/>
    <w:rsid w:val="00811EE1"/>
    <w:rsid w:val="00811F25"/>
    <w:rsid w:val="00812219"/>
    <w:rsid w:val="00812325"/>
    <w:rsid w:val="00812366"/>
    <w:rsid w:val="008125BA"/>
    <w:rsid w:val="00812638"/>
    <w:rsid w:val="00812C18"/>
    <w:rsid w:val="00812E0B"/>
    <w:rsid w:val="00812F34"/>
    <w:rsid w:val="0081365A"/>
    <w:rsid w:val="008136E2"/>
    <w:rsid w:val="0081388C"/>
    <w:rsid w:val="008138C2"/>
    <w:rsid w:val="008139D7"/>
    <w:rsid w:val="00813DA1"/>
    <w:rsid w:val="00813FA0"/>
    <w:rsid w:val="00814DC8"/>
    <w:rsid w:val="00815594"/>
    <w:rsid w:val="00815AF1"/>
    <w:rsid w:val="00815B47"/>
    <w:rsid w:val="0081606E"/>
    <w:rsid w:val="008161C5"/>
    <w:rsid w:val="0081704F"/>
    <w:rsid w:val="0081713E"/>
    <w:rsid w:val="00817707"/>
    <w:rsid w:val="00817A4E"/>
    <w:rsid w:val="008201F5"/>
    <w:rsid w:val="00820465"/>
    <w:rsid w:val="0082049D"/>
    <w:rsid w:val="00820630"/>
    <w:rsid w:val="008208E5"/>
    <w:rsid w:val="00820C59"/>
    <w:rsid w:val="00820E6F"/>
    <w:rsid w:val="00821CAE"/>
    <w:rsid w:val="008220CA"/>
    <w:rsid w:val="008221AF"/>
    <w:rsid w:val="00822351"/>
    <w:rsid w:val="00822781"/>
    <w:rsid w:val="0082346D"/>
    <w:rsid w:val="008234C1"/>
    <w:rsid w:val="008236EC"/>
    <w:rsid w:val="00823708"/>
    <w:rsid w:val="00824355"/>
    <w:rsid w:val="008246A1"/>
    <w:rsid w:val="008249D7"/>
    <w:rsid w:val="00824DB7"/>
    <w:rsid w:val="00824EDD"/>
    <w:rsid w:val="00825274"/>
    <w:rsid w:val="008258DB"/>
    <w:rsid w:val="00825964"/>
    <w:rsid w:val="008259F2"/>
    <w:rsid w:val="00825EED"/>
    <w:rsid w:val="008268DD"/>
    <w:rsid w:val="00827AD7"/>
    <w:rsid w:val="00827EF8"/>
    <w:rsid w:val="00830044"/>
    <w:rsid w:val="00830854"/>
    <w:rsid w:val="00830A9C"/>
    <w:rsid w:val="00830E09"/>
    <w:rsid w:val="0083159F"/>
    <w:rsid w:val="0083165D"/>
    <w:rsid w:val="00831CFC"/>
    <w:rsid w:val="00831E56"/>
    <w:rsid w:val="0083253B"/>
    <w:rsid w:val="008327BD"/>
    <w:rsid w:val="00832E3E"/>
    <w:rsid w:val="00832E4A"/>
    <w:rsid w:val="00832F77"/>
    <w:rsid w:val="00833009"/>
    <w:rsid w:val="00833899"/>
    <w:rsid w:val="00833C11"/>
    <w:rsid w:val="008344BA"/>
    <w:rsid w:val="008345DC"/>
    <w:rsid w:val="00834FF9"/>
    <w:rsid w:val="0083516D"/>
    <w:rsid w:val="0083549A"/>
    <w:rsid w:val="008354A1"/>
    <w:rsid w:val="0083559F"/>
    <w:rsid w:val="00835D83"/>
    <w:rsid w:val="00835F10"/>
    <w:rsid w:val="00836964"/>
    <w:rsid w:val="00836CBA"/>
    <w:rsid w:val="00836D18"/>
    <w:rsid w:val="0083766F"/>
    <w:rsid w:val="00837793"/>
    <w:rsid w:val="00837A35"/>
    <w:rsid w:val="00837C78"/>
    <w:rsid w:val="00837E6E"/>
    <w:rsid w:val="00837FAC"/>
    <w:rsid w:val="0084003D"/>
    <w:rsid w:val="00840147"/>
    <w:rsid w:val="008407AC"/>
    <w:rsid w:val="00840872"/>
    <w:rsid w:val="00840928"/>
    <w:rsid w:val="00840FA3"/>
    <w:rsid w:val="00841659"/>
    <w:rsid w:val="0084174C"/>
    <w:rsid w:val="00841F68"/>
    <w:rsid w:val="0084208A"/>
    <w:rsid w:val="00842302"/>
    <w:rsid w:val="00842DE9"/>
    <w:rsid w:val="008430FA"/>
    <w:rsid w:val="008437CB"/>
    <w:rsid w:val="00843878"/>
    <w:rsid w:val="00843A7E"/>
    <w:rsid w:val="00843D17"/>
    <w:rsid w:val="00843F76"/>
    <w:rsid w:val="008443B9"/>
    <w:rsid w:val="0084458D"/>
    <w:rsid w:val="008448C0"/>
    <w:rsid w:val="0084492F"/>
    <w:rsid w:val="008449A4"/>
    <w:rsid w:val="00845069"/>
    <w:rsid w:val="00845128"/>
    <w:rsid w:val="00845A8D"/>
    <w:rsid w:val="00845EF9"/>
    <w:rsid w:val="00846082"/>
    <w:rsid w:val="00846791"/>
    <w:rsid w:val="00846891"/>
    <w:rsid w:val="00846892"/>
    <w:rsid w:val="008468F4"/>
    <w:rsid w:val="00846A57"/>
    <w:rsid w:val="00846A87"/>
    <w:rsid w:val="00846AF9"/>
    <w:rsid w:val="0084750E"/>
    <w:rsid w:val="008475A2"/>
    <w:rsid w:val="008477ED"/>
    <w:rsid w:val="0084787D"/>
    <w:rsid w:val="00847E7D"/>
    <w:rsid w:val="00851161"/>
    <w:rsid w:val="00851341"/>
    <w:rsid w:val="00851396"/>
    <w:rsid w:val="00851F65"/>
    <w:rsid w:val="00852000"/>
    <w:rsid w:val="008524AA"/>
    <w:rsid w:val="00852569"/>
    <w:rsid w:val="00852914"/>
    <w:rsid w:val="00852953"/>
    <w:rsid w:val="008534A9"/>
    <w:rsid w:val="008534E4"/>
    <w:rsid w:val="00853A6C"/>
    <w:rsid w:val="00854287"/>
    <w:rsid w:val="00854305"/>
    <w:rsid w:val="00854679"/>
    <w:rsid w:val="00854D6A"/>
    <w:rsid w:val="00855545"/>
    <w:rsid w:val="00855899"/>
    <w:rsid w:val="00855AD2"/>
    <w:rsid w:val="00855FD2"/>
    <w:rsid w:val="008560E2"/>
    <w:rsid w:val="00856B59"/>
    <w:rsid w:val="008578A8"/>
    <w:rsid w:val="00857906"/>
    <w:rsid w:val="00857B7E"/>
    <w:rsid w:val="00857E98"/>
    <w:rsid w:val="00857F5A"/>
    <w:rsid w:val="00860730"/>
    <w:rsid w:val="00860731"/>
    <w:rsid w:val="008610EE"/>
    <w:rsid w:val="00861230"/>
    <w:rsid w:val="008617B3"/>
    <w:rsid w:val="008618BC"/>
    <w:rsid w:val="00861917"/>
    <w:rsid w:val="00861B7A"/>
    <w:rsid w:val="00862026"/>
    <w:rsid w:val="00863A93"/>
    <w:rsid w:val="008643C7"/>
    <w:rsid w:val="008646BA"/>
    <w:rsid w:val="008646FC"/>
    <w:rsid w:val="008648D0"/>
    <w:rsid w:val="00864B56"/>
    <w:rsid w:val="00864BC7"/>
    <w:rsid w:val="00865680"/>
    <w:rsid w:val="008657D7"/>
    <w:rsid w:val="0086580C"/>
    <w:rsid w:val="00865996"/>
    <w:rsid w:val="00866255"/>
    <w:rsid w:val="008662A1"/>
    <w:rsid w:val="0086671D"/>
    <w:rsid w:val="00866C1D"/>
    <w:rsid w:val="00866CF8"/>
    <w:rsid w:val="00866DCA"/>
    <w:rsid w:val="00867E7C"/>
    <w:rsid w:val="00870335"/>
    <w:rsid w:val="00870B65"/>
    <w:rsid w:val="00870D8E"/>
    <w:rsid w:val="00870DB3"/>
    <w:rsid w:val="00870FC9"/>
    <w:rsid w:val="00871932"/>
    <w:rsid w:val="00871956"/>
    <w:rsid w:val="0087213C"/>
    <w:rsid w:val="008721A4"/>
    <w:rsid w:val="008721C9"/>
    <w:rsid w:val="00872326"/>
    <w:rsid w:val="00872596"/>
    <w:rsid w:val="008727A2"/>
    <w:rsid w:val="00872AE2"/>
    <w:rsid w:val="00872FAF"/>
    <w:rsid w:val="008731F5"/>
    <w:rsid w:val="00873A6C"/>
    <w:rsid w:val="00874315"/>
    <w:rsid w:val="008744FD"/>
    <w:rsid w:val="00874788"/>
    <w:rsid w:val="00874DD5"/>
    <w:rsid w:val="00874DDF"/>
    <w:rsid w:val="00874EC9"/>
    <w:rsid w:val="0087525E"/>
    <w:rsid w:val="00875360"/>
    <w:rsid w:val="0087572B"/>
    <w:rsid w:val="00875871"/>
    <w:rsid w:val="00875884"/>
    <w:rsid w:val="00875AA4"/>
    <w:rsid w:val="008760F7"/>
    <w:rsid w:val="008762BB"/>
    <w:rsid w:val="0087664C"/>
    <w:rsid w:val="00876DC9"/>
    <w:rsid w:val="008771FA"/>
    <w:rsid w:val="008774CF"/>
    <w:rsid w:val="008774DD"/>
    <w:rsid w:val="00877939"/>
    <w:rsid w:val="00877C42"/>
    <w:rsid w:val="00880A04"/>
    <w:rsid w:val="00880AC8"/>
    <w:rsid w:val="00880F2D"/>
    <w:rsid w:val="008811A9"/>
    <w:rsid w:val="00881639"/>
    <w:rsid w:val="008816DE"/>
    <w:rsid w:val="008827FF"/>
    <w:rsid w:val="00882FAC"/>
    <w:rsid w:val="00883199"/>
    <w:rsid w:val="0088350D"/>
    <w:rsid w:val="0088364E"/>
    <w:rsid w:val="008838D0"/>
    <w:rsid w:val="0088397F"/>
    <w:rsid w:val="00884835"/>
    <w:rsid w:val="0088490A"/>
    <w:rsid w:val="00884CCC"/>
    <w:rsid w:val="00884D80"/>
    <w:rsid w:val="00885191"/>
    <w:rsid w:val="00885211"/>
    <w:rsid w:val="0088526B"/>
    <w:rsid w:val="008853B1"/>
    <w:rsid w:val="0088542F"/>
    <w:rsid w:val="0088545E"/>
    <w:rsid w:val="0088551C"/>
    <w:rsid w:val="00885C01"/>
    <w:rsid w:val="00885C17"/>
    <w:rsid w:val="00885E75"/>
    <w:rsid w:val="008861EE"/>
    <w:rsid w:val="00886536"/>
    <w:rsid w:val="008869BF"/>
    <w:rsid w:val="00886D58"/>
    <w:rsid w:val="00886DD9"/>
    <w:rsid w:val="008872FF"/>
    <w:rsid w:val="0088762B"/>
    <w:rsid w:val="008879F6"/>
    <w:rsid w:val="00890191"/>
    <w:rsid w:val="00890C66"/>
    <w:rsid w:val="00890F30"/>
    <w:rsid w:val="008929B9"/>
    <w:rsid w:val="00892C51"/>
    <w:rsid w:val="00892D3A"/>
    <w:rsid w:val="00892EC7"/>
    <w:rsid w:val="008931EA"/>
    <w:rsid w:val="0089349E"/>
    <w:rsid w:val="00893A4A"/>
    <w:rsid w:val="00893AD2"/>
    <w:rsid w:val="00893B71"/>
    <w:rsid w:val="0089407C"/>
    <w:rsid w:val="008941E1"/>
    <w:rsid w:val="008943D7"/>
    <w:rsid w:val="00894750"/>
    <w:rsid w:val="0089479C"/>
    <w:rsid w:val="008949F9"/>
    <w:rsid w:val="0089515B"/>
    <w:rsid w:val="008951FF"/>
    <w:rsid w:val="008956CF"/>
    <w:rsid w:val="008958E1"/>
    <w:rsid w:val="00895E3A"/>
    <w:rsid w:val="00896047"/>
    <w:rsid w:val="00896098"/>
    <w:rsid w:val="00896354"/>
    <w:rsid w:val="0089683D"/>
    <w:rsid w:val="00896A4F"/>
    <w:rsid w:val="00896DB3"/>
    <w:rsid w:val="00896DFF"/>
    <w:rsid w:val="0089721F"/>
    <w:rsid w:val="0089738F"/>
    <w:rsid w:val="0089745C"/>
    <w:rsid w:val="00897527"/>
    <w:rsid w:val="008976F9"/>
    <w:rsid w:val="00897955"/>
    <w:rsid w:val="008A08DA"/>
    <w:rsid w:val="008A0E21"/>
    <w:rsid w:val="008A0ECB"/>
    <w:rsid w:val="008A100D"/>
    <w:rsid w:val="008A1167"/>
    <w:rsid w:val="008A12DF"/>
    <w:rsid w:val="008A147C"/>
    <w:rsid w:val="008A1493"/>
    <w:rsid w:val="008A154C"/>
    <w:rsid w:val="008A1738"/>
    <w:rsid w:val="008A17DC"/>
    <w:rsid w:val="008A1894"/>
    <w:rsid w:val="008A19A1"/>
    <w:rsid w:val="008A1BF7"/>
    <w:rsid w:val="008A1FED"/>
    <w:rsid w:val="008A2145"/>
    <w:rsid w:val="008A2871"/>
    <w:rsid w:val="008A29C7"/>
    <w:rsid w:val="008A2B37"/>
    <w:rsid w:val="008A2B7F"/>
    <w:rsid w:val="008A2C4E"/>
    <w:rsid w:val="008A2FDA"/>
    <w:rsid w:val="008A310C"/>
    <w:rsid w:val="008A3202"/>
    <w:rsid w:val="008A34B0"/>
    <w:rsid w:val="008A3AE5"/>
    <w:rsid w:val="008A3E08"/>
    <w:rsid w:val="008A3F6E"/>
    <w:rsid w:val="008A3FE7"/>
    <w:rsid w:val="008A3FE9"/>
    <w:rsid w:val="008A4662"/>
    <w:rsid w:val="008A4790"/>
    <w:rsid w:val="008A4A98"/>
    <w:rsid w:val="008A4CCB"/>
    <w:rsid w:val="008A522F"/>
    <w:rsid w:val="008A5282"/>
    <w:rsid w:val="008A5333"/>
    <w:rsid w:val="008A546D"/>
    <w:rsid w:val="008A54D5"/>
    <w:rsid w:val="008A5F17"/>
    <w:rsid w:val="008A643D"/>
    <w:rsid w:val="008A6492"/>
    <w:rsid w:val="008A64A6"/>
    <w:rsid w:val="008A68BB"/>
    <w:rsid w:val="008A6930"/>
    <w:rsid w:val="008A6FCF"/>
    <w:rsid w:val="008A737D"/>
    <w:rsid w:val="008B07BB"/>
    <w:rsid w:val="008B18D3"/>
    <w:rsid w:val="008B190E"/>
    <w:rsid w:val="008B1AA8"/>
    <w:rsid w:val="008B1C94"/>
    <w:rsid w:val="008B1D82"/>
    <w:rsid w:val="008B23BD"/>
    <w:rsid w:val="008B2ADD"/>
    <w:rsid w:val="008B2CB2"/>
    <w:rsid w:val="008B2E07"/>
    <w:rsid w:val="008B2FE7"/>
    <w:rsid w:val="008B3190"/>
    <w:rsid w:val="008B3949"/>
    <w:rsid w:val="008B3C0A"/>
    <w:rsid w:val="008B4351"/>
    <w:rsid w:val="008B5653"/>
    <w:rsid w:val="008B57C4"/>
    <w:rsid w:val="008B5911"/>
    <w:rsid w:val="008B5A10"/>
    <w:rsid w:val="008B5D46"/>
    <w:rsid w:val="008B5E01"/>
    <w:rsid w:val="008B5F28"/>
    <w:rsid w:val="008B5F3B"/>
    <w:rsid w:val="008B5FFF"/>
    <w:rsid w:val="008B66A3"/>
    <w:rsid w:val="008B78CB"/>
    <w:rsid w:val="008B7990"/>
    <w:rsid w:val="008B7DB0"/>
    <w:rsid w:val="008C02DD"/>
    <w:rsid w:val="008C0353"/>
    <w:rsid w:val="008C0635"/>
    <w:rsid w:val="008C0A44"/>
    <w:rsid w:val="008C0A8D"/>
    <w:rsid w:val="008C0D9F"/>
    <w:rsid w:val="008C138F"/>
    <w:rsid w:val="008C1463"/>
    <w:rsid w:val="008C1A46"/>
    <w:rsid w:val="008C1B2F"/>
    <w:rsid w:val="008C1D06"/>
    <w:rsid w:val="008C1D5B"/>
    <w:rsid w:val="008C20F9"/>
    <w:rsid w:val="008C2BB6"/>
    <w:rsid w:val="008C3414"/>
    <w:rsid w:val="008C3599"/>
    <w:rsid w:val="008C37F0"/>
    <w:rsid w:val="008C3A1E"/>
    <w:rsid w:val="008C3F83"/>
    <w:rsid w:val="008C4153"/>
    <w:rsid w:val="008C41B4"/>
    <w:rsid w:val="008C4631"/>
    <w:rsid w:val="008C46C5"/>
    <w:rsid w:val="008C4C0C"/>
    <w:rsid w:val="008C4CCB"/>
    <w:rsid w:val="008C4F5C"/>
    <w:rsid w:val="008C536F"/>
    <w:rsid w:val="008C540A"/>
    <w:rsid w:val="008C57AA"/>
    <w:rsid w:val="008C5A1D"/>
    <w:rsid w:val="008C5F45"/>
    <w:rsid w:val="008C60B9"/>
    <w:rsid w:val="008C6286"/>
    <w:rsid w:val="008C6798"/>
    <w:rsid w:val="008C689B"/>
    <w:rsid w:val="008C6B4B"/>
    <w:rsid w:val="008C6D6A"/>
    <w:rsid w:val="008C6FBB"/>
    <w:rsid w:val="008C75F1"/>
    <w:rsid w:val="008C76A2"/>
    <w:rsid w:val="008C7B16"/>
    <w:rsid w:val="008C7E17"/>
    <w:rsid w:val="008C7E8C"/>
    <w:rsid w:val="008C7F90"/>
    <w:rsid w:val="008D0090"/>
    <w:rsid w:val="008D0C22"/>
    <w:rsid w:val="008D0E66"/>
    <w:rsid w:val="008D11F5"/>
    <w:rsid w:val="008D19D8"/>
    <w:rsid w:val="008D1A50"/>
    <w:rsid w:val="008D1A8F"/>
    <w:rsid w:val="008D1AEA"/>
    <w:rsid w:val="008D2123"/>
    <w:rsid w:val="008D2228"/>
    <w:rsid w:val="008D271E"/>
    <w:rsid w:val="008D29D4"/>
    <w:rsid w:val="008D2CF5"/>
    <w:rsid w:val="008D2D47"/>
    <w:rsid w:val="008D31AA"/>
    <w:rsid w:val="008D37C9"/>
    <w:rsid w:val="008D389C"/>
    <w:rsid w:val="008D38EA"/>
    <w:rsid w:val="008D3BC6"/>
    <w:rsid w:val="008D417D"/>
    <w:rsid w:val="008D4D92"/>
    <w:rsid w:val="008D4F46"/>
    <w:rsid w:val="008D5093"/>
    <w:rsid w:val="008D5397"/>
    <w:rsid w:val="008D5A18"/>
    <w:rsid w:val="008D60BE"/>
    <w:rsid w:val="008D6322"/>
    <w:rsid w:val="008D758D"/>
    <w:rsid w:val="008D771B"/>
    <w:rsid w:val="008D776F"/>
    <w:rsid w:val="008D7824"/>
    <w:rsid w:val="008D7F8F"/>
    <w:rsid w:val="008E039A"/>
    <w:rsid w:val="008E03F0"/>
    <w:rsid w:val="008E0781"/>
    <w:rsid w:val="008E09B3"/>
    <w:rsid w:val="008E0B71"/>
    <w:rsid w:val="008E0E15"/>
    <w:rsid w:val="008E10F7"/>
    <w:rsid w:val="008E1724"/>
    <w:rsid w:val="008E1DDC"/>
    <w:rsid w:val="008E24F4"/>
    <w:rsid w:val="008E2717"/>
    <w:rsid w:val="008E2AAE"/>
    <w:rsid w:val="008E2BEB"/>
    <w:rsid w:val="008E2C1E"/>
    <w:rsid w:val="008E2D43"/>
    <w:rsid w:val="008E2D77"/>
    <w:rsid w:val="008E2E19"/>
    <w:rsid w:val="008E3894"/>
    <w:rsid w:val="008E38BA"/>
    <w:rsid w:val="008E3922"/>
    <w:rsid w:val="008E3B0F"/>
    <w:rsid w:val="008E3DA8"/>
    <w:rsid w:val="008E416D"/>
    <w:rsid w:val="008E4538"/>
    <w:rsid w:val="008E4608"/>
    <w:rsid w:val="008E4B6B"/>
    <w:rsid w:val="008E4DB6"/>
    <w:rsid w:val="008E54F7"/>
    <w:rsid w:val="008E5C72"/>
    <w:rsid w:val="008E6408"/>
    <w:rsid w:val="008E65BE"/>
    <w:rsid w:val="008E6622"/>
    <w:rsid w:val="008E668F"/>
    <w:rsid w:val="008E69F9"/>
    <w:rsid w:val="008E6AFF"/>
    <w:rsid w:val="008E6B5C"/>
    <w:rsid w:val="008E6E74"/>
    <w:rsid w:val="008E769F"/>
    <w:rsid w:val="008E76C3"/>
    <w:rsid w:val="008F01B6"/>
    <w:rsid w:val="008F04CE"/>
    <w:rsid w:val="008F098F"/>
    <w:rsid w:val="008F1A32"/>
    <w:rsid w:val="008F1C33"/>
    <w:rsid w:val="008F1D5C"/>
    <w:rsid w:val="008F1DC1"/>
    <w:rsid w:val="008F2195"/>
    <w:rsid w:val="008F2327"/>
    <w:rsid w:val="008F2AFF"/>
    <w:rsid w:val="008F2B43"/>
    <w:rsid w:val="008F2B85"/>
    <w:rsid w:val="008F2FDA"/>
    <w:rsid w:val="008F315F"/>
    <w:rsid w:val="008F3DCA"/>
    <w:rsid w:val="008F466F"/>
    <w:rsid w:val="008F484C"/>
    <w:rsid w:val="008F49D6"/>
    <w:rsid w:val="008F4A3D"/>
    <w:rsid w:val="008F4CFC"/>
    <w:rsid w:val="008F4E33"/>
    <w:rsid w:val="008F544D"/>
    <w:rsid w:val="008F569D"/>
    <w:rsid w:val="008F58F3"/>
    <w:rsid w:val="008F5B70"/>
    <w:rsid w:val="008F5C41"/>
    <w:rsid w:val="008F6025"/>
    <w:rsid w:val="008F60D0"/>
    <w:rsid w:val="008F6115"/>
    <w:rsid w:val="008F644A"/>
    <w:rsid w:val="008F6512"/>
    <w:rsid w:val="008F66D0"/>
    <w:rsid w:val="008F67EA"/>
    <w:rsid w:val="008F6F22"/>
    <w:rsid w:val="008F6F2C"/>
    <w:rsid w:val="008F7039"/>
    <w:rsid w:val="008F7074"/>
    <w:rsid w:val="008F72C3"/>
    <w:rsid w:val="008F7969"/>
    <w:rsid w:val="008F7B24"/>
    <w:rsid w:val="008F7BCA"/>
    <w:rsid w:val="008F7D4A"/>
    <w:rsid w:val="008F7FCA"/>
    <w:rsid w:val="009001D0"/>
    <w:rsid w:val="0090050C"/>
    <w:rsid w:val="009007BD"/>
    <w:rsid w:val="0090093A"/>
    <w:rsid w:val="00900CD0"/>
    <w:rsid w:val="00901253"/>
    <w:rsid w:val="009018A8"/>
    <w:rsid w:val="009018D9"/>
    <w:rsid w:val="00901C1E"/>
    <w:rsid w:val="009022A0"/>
    <w:rsid w:val="00902E06"/>
    <w:rsid w:val="00903223"/>
    <w:rsid w:val="009033B0"/>
    <w:rsid w:val="009036F0"/>
    <w:rsid w:val="009038C2"/>
    <w:rsid w:val="00904078"/>
    <w:rsid w:val="009044B8"/>
    <w:rsid w:val="00904DE0"/>
    <w:rsid w:val="00905964"/>
    <w:rsid w:val="00905C70"/>
    <w:rsid w:val="00905F3B"/>
    <w:rsid w:val="0090634D"/>
    <w:rsid w:val="00906EB5"/>
    <w:rsid w:val="00906F67"/>
    <w:rsid w:val="0090711B"/>
    <w:rsid w:val="009071D1"/>
    <w:rsid w:val="00907540"/>
    <w:rsid w:val="009077F0"/>
    <w:rsid w:val="00907D55"/>
    <w:rsid w:val="009116BA"/>
    <w:rsid w:val="009118B7"/>
    <w:rsid w:val="00911C61"/>
    <w:rsid w:val="00911DBC"/>
    <w:rsid w:val="00912315"/>
    <w:rsid w:val="00912C85"/>
    <w:rsid w:val="00912D69"/>
    <w:rsid w:val="009130E2"/>
    <w:rsid w:val="009132A1"/>
    <w:rsid w:val="00913359"/>
    <w:rsid w:val="009136C3"/>
    <w:rsid w:val="0091384F"/>
    <w:rsid w:val="00913E0D"/>
    <w:rsid w:val="00913E31"/>
    <w:rsid w:val="00913FB3"/>
    <w:rsid w:val="00914539"/>
    <w:rsid w:val="00914A1A"/>
    <w:rsid w:val="00914C4E"/>
    <w:rsid w:val="00914E44"/>
    <w:rsid w:val="00914F16"/>
    <w:rsid w:val="00916836"/>
    <w:rsid w:val="0091689A"/>
    <w:rsid w:val="00916AD8"/>
    <w:rsid w:val="0091706C"/>
    <w:rsid w:val="00917225"/>
    <w:rsid w:val="00917BCD"/>
    <w:rsid w:val="00917BD1"/>
    <w:rsid w:val="00917C51"/>
    <w:rsid w:val="00920AC1"/>
    <w:rsid w:val="00920F3F"/>
    <w:rsid w:val="0092114A"/>
    <w:rsid w:val="009214B3"/>
    <w:rsid w:val="00921809"/>
    <w:rsid w:val="00921B43"/>
    <w:rsid w:val="00921DCE"/>
    <w:rsid w:val="00921E39"/>
    <w:rsid w:val="00921EFA"/>
    <w:rsid w:val="00921F31"/>
    <w:rsid w:val="009220AD"/>
    <w:rsid w:val="00922177"/>
    <w:rsid w:val="0092233E"/>
    <w:rsid w:val="0092251F"/>
    <w:rsid w:val="0092267C"/>
    <w:rsid w:val="00922AE0"/>
    <w:rsid w:val="00922DCC"/>
    <w:rsid w:val="00922FFE"/>
    <w:rsid w:val="00923039"/>
    <w:rsid w:val="00923396"/>
    <w:rsid w:val="0092341B"/>
    <w:rsid w:val="00923836"/>
    <w:rsid w:val="009239CA"/>
    <w:rsid w:val="00923A4F"/>
    <w:rsid w:val="00924B06"/>
    <w:rsid w:val="00924B3E"/>
    <w:rsid w:val="00924EEF"/>
    <w:rsid w:val="0092577E"/>
    <w:rsid w:val="00926629"/>
    <w:rsid w:val="00926B97"/>
    <w:rsid w:val="00926BAE"/>
    <w:rsid w:val="00926C2E"/>
    <w:rsid w:val="00927DC0"/>
    <w:rsid w:val="00927F10"/>
    <w:rsid w:val="0093076A"/>
    <w:rsid w:val="00930946"/>
    <w:rsid w:val="00930AB1"/>
    <w:rsid w:val="00930EC9"/>
    <w:rsid w:val="0093149C"/>
    <w:rsid w:val="00931639"/>
    <w:rsid w:val="009319A2"/>
    <w:rsid w:val="00931A09"/>
    <w:rsid w:val="00931B0F"/>
    <w:rsid w:val="00931BF0"/>
    <w:rsid w:val="00931D6D"/>
    <w:rsid w:val="0093216B"/>
    <w:rsid w:val="009323C1"/>
    <w:rsid w:val="009324D4"/>
    <w:rsid w:val="009324D6"/>
    <w:rsid w:val="00933064"/>
    <w:rsid w:val="00933A4A"/>
    <w:rsid w:val="00933BE1"/>
    <w:rsid w:val="00933CFB"/>
    <w:rsid w:val="00933E87"/>
    <w:rsid w:val="00934D3A"/>
    <w:rsid w:val="0093512E"/>
    <w:rsid w:val="0093514B"/>
    <w:rsid w:val="009354AD"/>
    <w:rsid w:val="00935676"/>
    <w:rsid w:val="0093591F"/>
    <w:rsid w:val="00935C34"/>
    <w:rsid w:val="00935F90"/>
    <w:rsid w:val="009362F3"/>
    <w:rsid w:val="00936E7B"/>
    <w:rsid w:val="00937A3F"/>
    <w:rsid w:val="00937FE3"/>
    <w:rsid w:val="0094099F"/>
    <w:rsid w:val="009410E7"/>
    <w:rsid w:val="00941405"/>
    <w:rsid w:val="00941A8C"/>
    <w:rsid w:val="00941CF4"/>
    <w:rsid w:val="00941D66"/>
    <w:rsid w:val="00942105"/>
    <w:rsid w:val="00942763"/>
    <w:rsid w:val="00942BFE"/>
    <w:rsid w:val="00942C2C"/>
    <w:rsid w:val="00943004"/>
    <w:rsid w:val="0094335D"/>
    <w:rsid w:val="00943575"/>
    <w:rsid w:val="00943596"/>
    <w:rsid w:val="00943A3E"/>
    <w:rsid w:val="00943B39"/>
    <w:rsid w:val="0094407F"/>
    <w:rsid w:val="009441AB"/>
    <w:rsid w:val="0094439C"/>
    <w:rsid w:val="0094492E"/>
    <w:rsid w:val="00944999"/>
    <w:rsid w:val="00944EEC"/>
    <w:rsid w:val="00945257"/>
    <w:rsid w:val="009452C5"/>
    <w:rsid w:val="009457A2"/>
    <w:rsid w:val="009457A9"/>
    <w:rsid w:val="00945C43"/>
    <w:rsid w:val="00946411"/>
    <w:rsid w:val="009464C5"/>
    <w:rsid w:val="009467F1"/>
    <w:rsid w:val="00946E2D"/>
    <w:rsid w:val="00947254"/>
    <w:rsid w:val="0094748F"/>
    <w:rsid w:val="0094786E"/>
    <w:rsid w:val="00947875"/>
    <w:rsid w:val="00947BD8"/>
    <w:rsid w:val="00950477"/>
    <w:rsid w:val="0095089C"/>
    <w:rsid w:val="00950B29"/>
    <w:rsid w:val="00950D5A"/>
    <w:rsid w:val="0095101E"/>
    <w:rsid w:val="00951319"/>
    <w:rsid w:val="009513E7"/>
    <w:rsid w:val="00951515"/>
    <w:rsid w:val="009518B7"/>
    <w:rsid w:val="00951B1C"/>
    <w:rsid w:val="00951D44"/>
    <w:rsid w:val="00951E3D"/>
    <w:rsid w:val="00952239"/>
    <w:rsid w:val="00952667"/>
    <w:rsid w:val="00952D0F"/>
    <w:rsid w:val="00953001"/>
    <w:rsid w:val="009533A0"/>
    <w:rsid w:val="00953462"/>
    <w:rsid w:val="00953645"/>
    <w:rsid w:val="0095376B"/>
    <w:rsid w:val="0095387B"/>
    <w:rsid w:val="0095388D"/>
    <w:rsid w:val="009538C6"/>
    <w:rsid w:val="00953973"/>
    <w:rsid w:val="00954040"/>
    <w:rsid w:val="009542B3"/>
    <w:rsid w:val="009549A7"/>
    <w:rsid w:val="00954B19"/>
    <w:rsid w:val="00955703"/>
    <w:rsid w:val="00955ABF"/>
    <w:rsid w:val="00955C79"/>
    <w:rsid w:val="00955CBF"/>
    <w:rsid w:val="0095611A"/>
    <w:rsid w:val="009562CE"/>
    <w:rsid w:val="00956356"/>
    <w:rsid w:val="0095744C"/>
    <w:rsid w:val="009578D8"/>
    <w:rsid w:val="00957918"/>
    <w:rsid w:val="00957C84"/>
    <w:rsid w:val="00957DE4"/>
    <w:rsid w:val="00960066"/>
    <w:rsid w:val="009603BF"/>
    <w:rsid w:val="00960403"/>
    <w:rsid w:val="00960499"/>
    <w:rsid w:val="00960E26"/>
    <w:rsid w:val="00961896"/>
    <w:rsid w:val="00961AFB"/>
    <w:rsid w:val="00961B9F"/>
    <w:rsid w:val="00961C50"/>
    <w:rsid w:val="00962901"/>
    <w:rsid w:val="00962C38"/>
    <w:rsid w:val="00962E43"/>
    <w:rsid w:val="00963239"/>
    <w:rsid w:val="00963307"/>
    <w:rsid w:val="0096341A"/>
    <w:rsid w:val="009638A3"/>
    <w:rsid w:val="00963975"/>
    <w:rsid w:val="00963CA4"/>
    <w:rsid w:val="00963FF0"/>
    <w:rsid w:val="0096431D"/>
    <w:rsid w:val="00964973"/>
    <w:rsid w:val="00964D01"/>
    <w:rsid w:val="00966683"/>
    <w:rsid w:val="0096685F"/>
    <w:rsid w:val="00966A40"/>
    <w:rsid w:val="00966F4B"/>
    <w:rsid w:val="00967167"/>
    <w:rsid w:val="009672AF"/>
    <w:rsid w:val="00967305"/>
    <w:rsid w:val="009677B4"/>
    <w:rsid w:val="00967BC3"/>
    <w:rsid w:val="00970989"/>
    <w:rsid w:val="00970BB2"/>
    <w:rsid w:val="00970F96"/>
    <w:rsid w:val="009710D2"/>
    <w:rsid w:val="009714AC"/>
    <w:rsid w:val="00971849"/>
    <w:rsid w:val="00971935"/>
    <w:rsid w:val="00971FE6"/>
    <w:rsid w:val="009726AD"/>
    <w:rsid w:val="0097286D"/>
    <w:rsid w:val="00972A1E"/>
    <w:rsid w:val="009734BF"/>
    <w:rsid w:val="00973768"/>
    <w:rsid w:val="00973A9B"/>
    <w:rsid w:val="00973EDE"/>
    <w:rsid w:val="00974690"/>
    <w:rsid w:val="0097498C"/>
    <w:rsid w:val="00974A66"/>
    <w:rsid w:val="00975057"/>
    <w:rsid w:val="009755CF"/>
    <w:rsid w:val="00975690"/>
    <w:rsid w:val="00975762"/>
    <w:rsid w:val="0097581D"/>
    <w:rsid w:val="00975D5D"/>
    <w:rsid w:val="009763E4"/>
    <w:rsid w:val="0097675D"/>
    <w:rsid w:val="009769C3"/>
    <w:rsid w:val="00976BB8"/>
    <w:rsid w:val="00977404"/>
    <w:rsid w:val="009778FD"/>
    <w:rsid w:val="00977D9D"/>
    <w:rsid w:val="0098010E"/>
    <w:rsid w:val="00980373"/>
    <w:rsid w:val="00980811"/>
    <w:rsid w:val="00981094"/>
    <w:rsid w:val="0098154B"/>
    <w:rsid w:val="00981701"/>
    <w:rsid w:val="00981BFA"/>
    <w:rsid w:val="00981DCB"/>
    <w:rsid w:val="0098237D"/>
    <w:rsid w:val="00982B21"/>
    <w:rsid w:val="00983039"/>
    <w:rsid w:val="009831F2"/>
    <w:rsid w:val="00983692"/>
    <w:rsid w:val="00983E58"/>
    <w:rsid w:val="0098401E"/>
    <w:rsid w:val="009842FA"/>
    <w:rsid w:val="00984384"/>
    <w:rsid w:val="009848C5"/>
    <w:rsid w:val="00984B5F"/>
    <w:rsid w:val="00984C96"/>
    <w:rsid w:val="00984DBB"/>
    <w:rsid w:val="00984DDB"/>
    <w:rsid w:val="00984F71"/>
    <w:rsid w:val="0098547E"/>
    <w:rsid w:val="009855E6"/>
    <w:rsid w:val="00985672"/>
    <w:rsid w:val="00985817"/>
    <w:rsid w:val="0098595D"/>
    <w:rsid w:val="009863A0"/>
    <w:rsid w:val="0098671A"/>
    <w:rsid w:val="00986B95"/>
    <w:rsid w:val="009875C2"/>
    <w:rsid w:val="00987604"/>
    <w:rsid w:val="0098765A"/>
    <w:rsid w:val="00987B9D"/>
    <w:rsid w:val="0099006F"/>
    <w:rsid w:val="009902C5"/>
    <w:rsid w:val="00990358"/>
    <w:rsid w:val="0099077B"/>
    <w:rsid w:val="00990DAF"/>
    <w:rsid w:val="00990E5F"/>
    <w:rsid w:val="0099159B"/>
    <w:rsid w:val="009915F3"/>
    <w:rsid w:val="00991627"/>
    <w:rsid w:val="00992564"/>
    <w:rsid w:val="00992D25"/>
    <w:rsid w:val="009938DE"/>
    <w:rsid w:val="00993A87"/>
    <w:rsid w:val="00993D0A"/>
    <w:rsid w:val="0099423E"/>
    <w:rsid w:val="009942C5"/>
    <w:rsid w:val="00994CEA"/>
    <w:rsid w:val="0099511C"/>
    <w:rsid w:val="0099542F"/>
    <w:rsid w:val="00995AC5"/>
    <w:rsid w:val="00995CA7"/>
    <w:rsid w:val="009963EF"/>
    <w:rsid w:val="00996628"/>
    <w:rsid w:val="009966A1"/>
    <w:rsid w:val="00996A8D"/>
    <w:rsid w:val="00996C55"/>
    <w:rsid w:val="00997376"/>
    <w:rsid w:val="009974F1"/>
    <w:rsid w:val="00997948"/>
    <w:rsid w:val="009A0124"/>
    <w:rsid w:val="009A0457"/>
    <w:rsid w:val="009A052D"/>
    <w:rsid w:val="009A1265"/>
    <w:rsid w:val="009A13EF"/>
    <w:rsid w:val="009A161D"/>
    <w:rsid w:val="009A1C37"/>
    <w:rsid w:val="009A1DAC"/>
    <w:rsid w:val="009A272B"/>
    <w:rsid w:val="009A2A42"/>
    <w:rsid w:val="009A34BE"/>
    <w:rsid w:val="009A3BE4"/>
    <w:rsid w:val="009A3F38"/>
    <w:rsid w:val="009A4158"/>
    <w:rsid w:val="009A44E3"/>
    <w:rsid w:val="009A45E7"/>
    <w:rsid w:val="009A4934"/>
    <w:rsid w:val="009A4B7D"/>
    <w:rsid w:val="009A4DB6"/>
    <w:rsid w:val="009A4FCA"/>
    <w:rsid w:val="009A578E"/>
    <w:rsid w:val="009A5A5C"/>
    <w:rsid w:val="009A5A7B"/>
    <w:rsid w:val="009A5E1E"/>
    <w:rsid w:val="009A60C9"/>
    <w:rsid w:val="009A652C"/>
    <w:rsid w:val="009A66A0"/>
    <w:rsid w:val="009A6A6C"/>
    <w:rsid w:val="009A6AD8"/>
    <w:rsid w:val="009A72BB"/>
    <w:rsid w:val="009A7403"/>
    <w:rsid w:val="009A7900"/>
    <w:rsid w:val="009A7D6D"/>
    <w:rsid w:val="009B0C6C"/>
    <w:rsid w:val="009B1512"/>
    <w:rsid w:val="009B176C"/>
    <w:rsid w:val="009B1A15"/>
    <w:rsid w:val="009B1C05"/>
    <w:rsid w:val="009B266A"/>
    <w:rsid w:val="009B2BCC"/>
    <w:rsid w:val="009B2C4C"/>
    <w:rsid w:val="009B35FA"/>
    <w:rsid w:val="009B38A3"/>
    <w:rsid w:val="009B3E2E"/>
    <w:rsid w:val="009B456E"/>
    <w:rsid w:val="009B47CC"/>
    <w:rsid w:val="009B5196"/>
    <w:rsid w:val="009B52D1"/>
    <w:rsid w:val="009B5323"/>
    <w:rsid w:val="009B55D2"/>
    <w:rsid w:val="009B5BD5"/>
    <w:rsid w:val="009B5DF9"/>
    <w:rsid w:val="009B5EAB"/>
    <w:rsid w:val="009B640F"/>
    <w:rsid w:val="009B6969"/>
    <w:rsid w:val="009B6BB9"/>
    <w:rsid w:val="009B765B"/>
    <w:rsid w:val="009B7B0E"/>
    <w:rsid w:val="009B7BA4"/>
    <w:rsid w:val="009B7F59"/>
    <w:rsid w:val="009B7F80"/>
    <w:rsid w:val="009C043D"/>
    <w:rsid w:val="009C053F"/>
    <w:rsid w:val="009C09D0"/>
    <w:rsid w:val="009C0AD3"/>
    <w:rsid w:val="009C1A12"/>
    <w:rsid w:val="009C1A43"/>
    <w:rsid w:val="009C1CFF"/>
    <w:rsid w:val="009C25C3"/>
    <w:rsid w:val="009C2AE1"/>
    <w:rsid w:val="009C2FA2"/>
    <w:rsid w:val="009C3F9D"/>
    <w:rsid w:val="009C4469"/>
    <w:rsid w:val="009C4816"/>
    <w:rsid w:val="009C498D"/>
    <w:rsid w:val="009C511A"/>
    <w:rsid w:val="009C55E4"/>
    <w:rsid w:val="009C6360"/>
    <w:rsid w:val="009C69E2"/>
    <w:rsid w:val="009C74DD"/>
    <w:rsid w:val="009C780B"/>
    <w:rsid w:val="009C7CCA"/>
    <w:rsid w:val="009D0310"/>
    <w:rsid w:val="009D0504"/>
    <w:rsid w:val="009D05D1"/>
    <w:rsid w:val="009D1008"/>
    <w:rsid w:val="009D1F59"/>
    <w:rsid w:val="009D240C"/>
    <w:rsid w:val="009D249D"/>
    <w:rsid w:val="009D2C40"/>
    <w:rsid w:val="009D3210"/>
    <w:rsid w:val="009D32FF"/>
    <w:rsid w:val="009D38C8"/>
    <w:rsid w:val="009D3A38"/>
    <w:rsid w:val="009D3A98"/>
    <w:rsid w:val="009D3C60"/>
    <w:rsid w:val="009D43EC"/>
    <w:rsid w:val="009D4C99"/>
    <w:rsid w:val="009D5009"/>
    <w:rsid w:val="009D5BC8"/>
    <w:rsid w:val="009D5CA2"/>
    <w:rsid w:val="009D5E9C"/>
    <w:rsid w:val="009D6556"/>
    <w:rsid w:val="009D667C"/>
    <w:rsid w:val="009D6792"/>
    <w:rsid w:val="009D682A"/>
    <w:rsid w:val="009D68F3"/>
    <w:rsid w:val="009D6BB3"/>
    <w:rsid w:val="009D6DE9"/>
    <w:rsid w:val="009D721C"/>
    <w:rsid w:val="009D7551"/>
    <w:rsid w:val="009D78DD"/>
    <w:rsid w:val="009D7ACA"/>
    <w:rsid w:val="009D7BC5"/>
    <w:rsid w:val="009D7D1F"/>
    <w:rsid w:val="009D7DB7"/>
    <w:rsid w:val="009D7EDF"/>
    <w:rsid w:val="009E00D9"/>
    <w:rsid w:val="009E0317"/>
    <w:rsid w:val="009E052A"/>
    <w:rsid w:val="009E0A29"/>
    <w:rsid w:val="009E0B48"/>
    <w:rsid w:val="009E0EDD"/>
    <w:rsid w:val="009E1838"/>
    <w:rsid w:val="009E1E0B"/>
    <w:rsid w:val="009E2AB2"/>
    <w:rsid w:val="009E2C23"/>
    <w:rsid w:val="009E2C87"/>
    <w:rsid w:val="009E2D05"/>
    <w:rsid w:val="009E3466"/>
    <w:rsid w:val="009E4419"/>
    <w:rsid w:val="009E4BC6"/>
    <w:rsid w:val="009E4CA0"/>
    <w:rsid w:val="009E5041"/>
    <w:rsid w:val="009E62AB"/>
    <w:rsid w:val="009E63C7"/>
    <w:rsid w:val="009E63D0"/>
    <w:rsid w:val="009E6454"/>
    <w:rsid w:val="009E68C0"/>
    <w:rsid w:val="009E6E87"/>
    <w:rsid w:val="009E71F3"/>
    <w:rsid w:val="009E7246"/>
    <w:rsid w:val="009E75B0"/>
    <w:rsid w:val="009E78A9"/>
    <w:rsid w:val="009E7B2C"/>
    <w:rsid w:val="009F0308"/>
    <w:rsid w:val="009F1569"/>
    <w:rsid w:val="009F18A3"/>
    <w:rsid w:val="009F1B36"/>
    <w:rsid w:val="009F271E"/>
    <w:rsid w:val="009F2CCE"/>
    <w:rsid w:val="009F2DEA"/>
    <w:rsid w:val="009F386A"/>
    <w:rsid w:val="009F3DE2"/>
    <w:rsid w:val="009F463B"/>
    <w:rsid w:val="009F4D07"/>
    <w:rsid w:val="009F5086"/>
    <w:rsid w:val="009F5754"/>
    <w:rsid w:val="009F5B38"/>
    <w:rsid w:val="009F5C01"/>
    <w:rsid w:val="009F5C20"/>
    <w:rsid w:val="009F6016"/>
    <w:rsid w:val="009F615A"/>
    <w:rsid w:val="009F647A"/>
    <w:rsid w:val="009F6719"/>
    <w:rsid w:val="009F6789"/>
    <w:rsid w:val="009F6934"/>
    <w:rsid w:val="009F6C4B"/>
    <w:rsid w:val="009F70BE"/>
    <w:rsid w:val="009F76DC"/>
    <w:rsid w:val="009F7C9D"/>
    <w:rsid w:val="009F7DE7"/>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8C7"/>
    <w:rsid w:val="00A02A23"/>
    <w:rsid w:val="00A02F81"/>
    <w:rsid w:val="00A03449"/>
    <w:rsid w:val="00A0353A"/>
    <w:rsid w:val="00A03592"/>
    <w:rsid w:val="00A03761"/>
    <w:rsid w:val="00A039F2"/>
    <w:rsid w:val="00A041A2"/>
    <w:rsid w:val="00A041DB"/>
    <w:rsid w:val="00A0427F"/>
    <w:rsid w:val="00A0445C"/>
    <w:rsid w:val="00A04BF3"/>
    <w:rsid w:val="00A04E5C"/>
    <w:rsid w:val="00A04FF7"/>
    <w:rsid w:val="00A052F7"/>
    <w:rsid w:val="00A05692"/>
    <w:rsid w:val="00A05793"/>
    <w:rsid w:val="00A06035"/>
    <w:rsid w:val="00A065F5"/>
    <w:rsid w:val="00A06823"/>
    <w:rsid w:val="00A06A7D"/>
    <w:rsid w:val="00A06B52"/>
    <w:rsid w:val="00A06DF5"/>
    <w:rsid w:val="00A06EB6"/>
    <w:rsid w:val="00A070C7"/>
    <w:rsid w:val="00A074B0"/>
    <w:rsid w:val="00A07793"/>
    <w:rsid w:val="00A0784D"/>
    <w:rsid w:val="00A07ED1"/>
    <w:rsid w:val="00A07F7F"/>
    <w:rsid w:val="00A10486"/>
    <w:rsid w:val="00A105B8"/>
    <w:rsid w:val="00A10916"/>
    <w:rsid w:val="00A10D7C"/>
    <w:rsid w:val="00A10DD8"/>
    <w:rsid w:val="00A1121F"/>
    <w:rsid w:val="00A11793"/>
    <w:rsid w:val="00A11A46"/>
    <w:rsid w:val="00A11AF5"/>
    <w:rsid w:val="00A11C39"/>
    <w:rsid w:val="00A12536"/>
    <w:rsid w:val="00A12F37"/>
    <w:rsid w:val="00A13006"/>
    <w:rsid w:val="00A13682"/>
    <w:rsid w:val="00A13B69"/>
    <w:rsid w:val="00A13CC3"/>
    <w:rsid w:val="00A13E1F"/>
    <w:rsid w:val="00A14578"/>
    <w:rsid w:val="00A14732"/>
    <w:rsid w:val="00A149A7"/>
    <w:rsid w:val="00A149E0"/>
    <w:rsid w:val="00A14E0B"/>
    <w:rsid w:val="00A15262"/>
    <w:rsid w:val="00A152B6"/>
    <w:rsid w:val="00A15B9A"/>
    <w:rsid w:val="00A162A4"/>
    <w:rsid w:val="00A170AD"/>
    <w:rsid w:val="00A17270"/>
    <w:rsid w:val="00A1767C"/>
    <w:rsid w:val="00A1773B"/>
    <w:rsid w:val="00A177E8"/>
    <w:rsid w:val="00A17DBD"/>
    <w:rsid w:val="00A17F0A"/>
    <w:rsid w:val="00A20557"/>
    <w:rsid w:val="00A2073B"/>
    <w:rsid w:val="00A2183D"/>
    <w:rsid w:val="00A222F4"/>
    <w:rsid w:val="00A22937"/>
    <w:rsid w:val="00A22A2A"/>
    <w:rsid w:val="00A22AE4"/>
    <w:rsid w:val="00A22C03"/>
    <w:rsid w:val="00A22F48"/>
    <w:rsid w:val="00A23707"/>
    <w:rsid w:val="00A23765"/>
    <w:rsid w:val="00A23CA6"/>
    <w:rsid w:val="00A23E45"/>
    <w:rsid w:val="00A240CF"/>
    <w:rsid w:val="00A2464F"/>
    <w:rsid w:val="00A24FAF"/>
    <w:rsid w:val="00A2554D"/>
    <w:rsid w:val="00A2575B"/>
    <w:rsid w:val="00A25800"/>
    <w:rsid w:val="00A2587A"/>
    <w:rsid w:val="00A25DF2"/>
    <w:rsid w:val="00A25E21"/>
    <w:rsid w:val="00A261F5"/>
    <w:rsid w:val="00A2674F"/>
    <w:rsid w:val="00A26787"/>
    <w:rsid w:val="00A26977"/>
    <w:rsid w:val="00A26E9A"/>
    <w:rsid w:val="00A27BEC"/>
    <w:rsid w:val="00A3015B"/>
    <w:rsid w:val="00A30661"/>
    <w:rsid w:val="00A30D13"/>
    <w:rsid w:val="00A317F6"/>
    <w:rsid w:val="00A31A16"/>
    <w:rsid w:val="00A31D31"/>
    <w:rsid w:val="00A31E57"/>
    <w:rsid w:val="00A31F77"/>
    <w:rsid w:val="00A3200F"/>
    <w:rsid w:val="00A321D8"/>
    <w:rsid w:val="00A32715"/>
    <w:rsid w:val="00A3302F"/>
    <w:rsid w:val="00A333A5"/>
    <w:rsid w:val="00A3358C"/>
    <w:rsid w:val="00A33A0D"/>
    <w:rsid w:val="00A33BBF"/>
    <w:rsid w:val="00A33C4B"/>
    <w:rsid w:val="00A33E0F"/>
    <w:rsid w:val="00A33F50"/>
    <w:rsid w:val="00A3426E"/>
    <w:rsid w:val="00A342EA"/>
    <w:rsid w:val="00A3435D"/>
    <w:rsid w:val="00A34371"/>
    <w:rsid w:val="00A34707"/>
    <w:rsid w:val="00A3498F"/>
    <w:rsid w:val="00A35111"/>
    <w:rsid w:val="00A3511D"/>
    <w:rsid w:val="00A3523D"/>
    <w:rsid w:val="00A357C3"/>
    <w:rsid w:val="00A3589C"/>
    <w:rsid w:val="00A358A8"/>
    <w:rsid w:val="00A364AC"/>
    <w:rsid w:val="00A36B9C"/>
    <w:rsid w:val="00A36E7B"/>
    <w:rsid w:val="00A36E9E"/>
    <w:rsid w:val="00A36F3D"/>
    <w:rsid w:val="00A36F4B"/>
    <w:rsid w:val="00A373B1"/>
    <w:rsid w:val="00A3744B"/>
    <w:rsid w:val="00A377ED"/>
    <w:rsid w:val="00A378BD"/>
    <w:rsid w:val="00A37B32"/>
    <w:rsid w:val="00A37D66"/>
    <w:rsid w:val="00A37FAF"/>
    <w:rsid w:val="00A40039"/>
    <w:rsid w:val="00A401AA"/>
    <w:rsid w:val="00A401B4"/>
    <w:rsid w:val="00A405DC"/>
    <w:rsid w:val="00A408EC"/>
    <w:rsid w:val="00A40A16"/>
    <w:rsid w:val="00A40E65"/>
    <w:rsid w:val="00A40ED7"/>
    <w:rsid w:val="00A419D4"/>
    <w:rsid w:val="00A41DE2"/>
    <w:rsid w:val="00A4217E"/>
    <w:rsid w:val="00A42247"/>
    <w:rsid w:val="00A423BB"/>
    <w:rsid w:val="00A425FF"/>
    <w:rsid w:val="00A43009"/>
    <w:rsid w:val="00A4307D"/>
    <w:rsid w:val="00A432FB"/>
    <w:rsid w:val="00A432FC"/>
    <w:rsid w:val="00A434B3"/>
    <w:rsid w:val="00A43618"/>
    <w:rsid w:val="00A43821"/>
    <w:rsid w:val="00A43B00"/>
    <w:rsid w:val="00A43B82"/>
    <w:rsid w:val="00A443D4"/>
    <w:rsid w:val="00A4451A"/>
    <w:rsid w:val="00A44625"/>
    <w:rsid w:val="00A44670"/>
    <w:rsid w:val="00A44928"/>
    <w:rsid w:val="00A44963"/>
    <w:rsid w:val="00A454E7"/>
    <w:rsid w:val="00A4580F"/>
    <w:rsid w:val="00A45CDC"/>
    <w:rsid w:val="00A460F8"/>
    <w:rsid w:val="00A46271"/>
    <w:rsid w:val="00A46A97"/>
    <w:rsid w:val="00A46B62"/>
    <w:rsid w:val="00A46D03"/>
    <w:rsid w:val="00A46FE7"/>
    <w:rsid w:val="00A47110"/>
    <w:rsid w:val="00A47599"/>
    <w:rsid w:val="00A479AF"/>
    <w:rsid w:val="00A47A8E"/>
    <w:rsid w:val="00A501F8"/>
    <w:rsid w:val="00A50231"/>
    <w:rsid w:val="00A50897"/>
    <w:rsid w:val="00A50CFF"/>
    <w:rsid w:val="00A50D63"/>
    <w:rsid w:val="00A50D7C"/>
    <w:rsid w:val="00A50E0F"/>
    <w:rsid w:val="00A511FD"/>
    <w:rsid w:val="00A5126F"/>
    <w:rsid w:val="00A5134F"/>
    <w:rsid w:val="00A517E5"/>
    <w:rsid w:val="00A51A3C"/>
    <w:rsid w:val="00A51F90"/>
    <w:rsid w:val="00A52181"/>
    <w:rsid w:val="00A524FB"/>
    <w:rsid w:val="00A5290E"/>
    <w:rsid w:val="00A52FF2"/>
    <w:rsid w:val="00A53234"/>
    <w:rsid w:val="00A534C4"/>
    <w:rsid w:val="00A53929"/>
    <w:rsid w:val="00A54313"/>
    <w:rsid w:val="00A54BD9"/>
    <w:rsid w:val="00A556B5"/>
    <w:rsid w:val="00A557D9"/>
    <w:rsid w:val="00A558DB"/>
    <w:rsid w:val="00A55C94"/>
    <w:rsid w:val="00A5608F"/>
    <w:rsid w:val="00A56097"/>
    <w:rsid w:val="00A560BA"/>
    <w:rsid w:val="00A563A7"/>
    <w:rsid w:val="00A56FCC"/>
    <w:rsid w:val="00A573B0"/>
    <w:rsid w:val="00A57A37"/>
    <w:rsid w:val="00A57F19"/>
    <w:rsid w:val="00A57F39"/>
    <w:rsid w:val="00A600EC"/>
    <w:rsid w:val="00A60163"/>
    <w:rsid w:val="00A606FF"/>
    <w:rsid w:val="00A60707"/>
    <w:rsid w:val="00A607F2"/>
    <w:rsid w:val="00A60C32"/>
    <w:rsid w:val="00A612B6"/>
    <w:rsid w:val="00A612D5"/>
    <w:rsid w:val="00A61367"/>
    <w:rsid w:val="00A619B7"/>
    <w:rsid w:val="00A61CEF"/>
    <w:rsid w:val="00A6218A"/>
    <w:rsid w:val="00A6234D"/>
    <w:rsid w:val="00A62BF2"/>
    <w:rsid w:val="00A63580"/>
    <w:rsid w:val="00A63589"/>
    <w:rsid w:val="00A637DD"/>
    <w:rsid w:val="00A639E7"/>
    <w:rsid w:val="00A63AD3"/>
    <w:rsid w:val="00A63D0D"/>
    <w:rsid w:val="00A63E59"/>
    <w:rsid w:val="00A63EFF"/>
    <w:rsid w:val="00A646A7"/>
    <w:rsid w:val="00A64DE4"/>
    <w:rsid w:val="00A6510F"/>
    <w:rsid w:val="00A65703"/>
    <w:rsid w:val="00A6570B"/>
    <w:rsid w:val="00A65933"/>
    <w:rsid w:val="00A65CC0"/>
    <w:rsid w:val="00A65ED7"/>
    <w:rsid w:val="00A66631"/>
    <w:rsid w:val="00A66ADA"/>
    <w:rsid w:val="00A67C3C"/>
    <w:rsid w:val="00A67D90"/>
    <w:rsid w:val="00A67E79"/>
    <w:rsid w:val="00A701DF"/>
    <w:rsid w:val="00A70994"/>
    <w:rsid w:val="00A70C19"/>
    <w:rsid w:val="00A70F0A"/>
    <w:rsid w:val="00A71402"/>
    <w:rsid w:val="00A719B4"/>
    <w:rsid w:val="00A726AA"/>
    <w:rsid w:val="00A72AB5"/>
    <w:rsid w:val="00A730EE"/>
    <w:rsid w:val="00A735A5"/>
    <w:rsid w:val="00A73637"/>
    <w:rsid w:val="00A737E2"/>
    <w:rsid w:val="00A73A9A"/>
    <w:rsid w:val="00A73BDC"/>
    <w:rsid w:val="00A74181"/>
    <w:rsid w:val="00A74A8F"/>
    <w:rsid w:val="00A74DB6"/>
    <w:rsid w:val="00A74DB9"/>
    <w:rsid w:val="00A75EDD"/>
    <w:rsid w:val="00A76250"/>
    <w:rsid w:val="00A7625A"/>
    <w:rsid w:val="00A76624"/>
    <w:rsid w:val="00A77208"/>
    <w:rsid w:val="00A77535"/>
    <w:rsid w:val="00A7763D"/>
    <w:rsid w:val="00A77B1D"/>
    <w:rsid w:val="00A80385"/>
    <w:rsid w:val="00A807E3"/>
    <w:rsid w:val="00A811E7"/>
    <w:rsid w:val="00A81392"/>
    <w:rsid w:val="00A813A0"/>
    <w:rsid w:val="00A81520"/>
    <w:rsid w:val="00A81581"/>
    <w:rsid w:val="00A81798"/>
    <w:rsid w:val="00A81899"/>
    <w:rsid w:val="00A81A3D"/>
    <w:rsid w:val="00A81BCF"/>
    <w:rsid w:val="00A825F6"/>
    <w:rsid w:val="00A82890"/>
    <w:rsid w:val="00A828B8"/>
    <w:rsid w:val="00A82B6B"/>
    <w:rsid w:val="00A82B9E"/>
    <w:rsid w:val="00A82C99"/>
    <w:rsid w:val="00A82DEE"/>
    <w:rsid w:val="00A830C6"/>
    <w:rsid w:val="00A83148"/>
    <w:rsid w:val="00A83513"/>
    <w:rsid w:val="00A83D09"/>
    <w:rsid w:val="00A83DC1"/>
    <w:rsid w:val="00A83E91"/>
    <w:rsid w:val="00A84031"/>
    <w:rsid w:val="00A84082"/>
    <w:rsid w:val="00A8456A"/>
    <w:rsid w:val="00A850BD"/>
    <w:rsid w:val="00A853F0"/>
    <w:rsid w:val="00A86686"/>
    <w:rsid w:val="00A86717"/>
    <w:rsid w:val="00A867DD"/>
    <w:rsid w:val="00A86978"/>
    <w:rsid w:val="00A869C8"/>
    <w:rsid w:val="00A86A62"/>
    <w:rsid w:val="00A86BDE"/>
    <w:rsid w:val="00A86C94"/>
    <w:rsid w:val="00A87115"/>
    <w:rsid w:val="00A87371"/>
    <w:rsid w:val="00A8786D"/>
    <w:rsid w:val="00A87B5A"/>
    <w:rsid w:val="00A87DE7"/>
    <w:rsid w:val="00A9085F"/>
    <w:rsid w:val="00A90A35"/>
    <w:rsid w:val="00A912D3"/>
    <w:rsid w:val="00A9137C"/>
    <w:rsid w:val="00A919F5"/>
    <w:rsid w:val="00A91C20"/>
    <w:rsid w:val="00A91CB2"/>
    <w:rsid w:val="00A91E36"/>
    <w:rsid w:val="00A91EAB"/>
    <w:rsid w:val="00A92676"/>
    <w:rsid w:val="00A92A42"/>
    <w:rsid w:val="00A92E9F"/>
    <w:rsid w:val="00A9352A"/>
    <w:rsid w:val="00A936B0"/>
    <w:rsid w:val="00A93A58"/>
    <w:rsid w:val="00A93B98"/>
    <w:rsid w:val="00A94135"/>
    <w:rsid w:val="00A9425A"/>
    <w:rsid w:val="00A94437"/>
    <w:rsid w:val="00A949E7"/>
    <w:rsid w:val="00A94AD0"/>
    <w:rsid w:val="00A952AD"/>
    <w:rsid w:val="00A95306"/>
    <w:rsid w:val="00A95495"/>
    <w:rsid w:val="00A9556E"/>
    <w:rsid w:val="00A95794"/>
    <w:rsid w:val="00A958C7"/>
    <w:rsid w:val="00A9592E"/>
    <w:rsid w:val="00A95A74"/>
    <w:rsid w:val="00A95B93"/>
    <w:rsid w:val="00A95D0D"/>
    <w:rsid w:val="00A95FAA"/>
    <w:rsid w:val="00A96311"/>
    <w:rsid w:val="00A963DA"/>
    <w:rsid w:val="00A9642D"/>
    <w:rsid w:val="00A96595"/>
    <w:rsid w:val="00A96E97"/>
    <w:rsid w:val="00A96EDB"/>
    <w:rsid w:val="00A9775C"/>
    <w:rsid w:val="00A97E48"/>
    <w:rsid w:val="00A97FD3"/>
    <w:rsid w:val="00AA125A"/>
    <w:rsid w:val="00AA12BF"/>
    <w:rsid w:val="00AA1494"/>
    <w:rsid w:val="00AA19EB"/>
    <w:rsid w:val="00AA1B18"/>
    <w:rsid w:val="00AA1F22"/>
    <w:rsid w:val="00AA21E4"/>
    <w:rsid w:val="00AA2969"/>
    <w:rsid w:val="00AA2E98"/>
    <w:rsid w:val="00AA3B5A"/>
    <w:rsid w:val="00AA3B62"/>
    <w:rsid w:val="00AA3D36"/>
    <w:rsid w:val="00AA451C"/>
    <w:rsid w:val="00AA471E"/>
    <w:rsid w:val="00AA4C39"/>
    <w:rsid w:val="00AA4C9B"/>
    <w:rsid w:val="00AA542C"/>
    <w:rsid w:val="00AA5569"/>
    <w:rsid w:val="00AA575B"/>
    <w:rsid w:val="00AA63D4"/>
    <w:rsid w:val="00AA6ADD"/>
    <w:rsid w:val="00AA6B2E"/>
    <w:rsid w:val="00AA6E74"/>
    <w:rsid w:val="00AA701D"/>
    <w:rsid w:val="00AA7AE4"/>
    <w:rsid w:val="00AB009C"/>
    <w:rsid w:val="00AB096F"/>
    <w:rsid w:val="00AB09FF"/>
    <w:rsid w:val="00AB0B7E"/>
    <w:rsid w:val="00AB100E"/>
    <w:rsid w:val="00AB1661"/>
    <w:rsid w:val="00AB19C8"/>
    <w:rsid w:val="00AB1BBF"/>
    <w:rsid w:val="00AB2024"/>
    <w:rsid w:val="00AB226F"/>
    <w:rsid w:val="00AB24D3"/>
    <w:rsid w:val="00AB2522"/>
    <w:rsid w:val="00AB2A71"/>
    <w:rsid w:val="00AB2C73"/>
    <w:rsid w:val="00AB2EB8"/>
    <w:rsid w:val="00AB328B"/>
    <w:rsid w:val="00AB32B5"/>
    <w:rsid w:val="00AB3426"/>
    <w:rsid w:val="00AB35AC"/>
    <w:rsid w:val="00AB3630"/>
    <w:rsid w:val="00AB4132"/>
    <w:rsid w:val="00AB4162"/>
    <w:rsid w:val="00AB426A"/>
    <w:rsid w:val="00AB461D"/>
    <w:rsid w:val="00AB4876"/>
    <w:rsid w:val="00AB4A28"/>
    <w:rsid w:val="00AB4AD2"/>
    <w:rsid w:val="00AB5442"/>
    <w:rsid w:val="00AB5639"/>
    <w:rsid w:val="00AB5819"/>
    <w:rsid w:val="00AB59FF"/>
    <w:rsid w:val="00AB5A1F"/>
    <w:rsid w:val="00AB610F"/>
    <w:rsid w:val="00AB61D8"/>
    <w:rsid w:val="00AB65C3"/>
    <w:rsid w:val="00AB671A"/>
    <w:rsid w:val="00AB6C50"/>
    <w:rsid w:val="00AB7035"/>
    <w:rsid w:val="00AB7536"/>
    <w:rsid w:val="00AB7652"/>
    <w:rsid w:val="00AB7986"/>
    <w:rsid w:val="00AB7A4C"/>
    <w:rsid w:val="00AB7AE2"/>
    <w:rsid w:val="00AC02A4"/>
    <w:rsid w:val="00AC0959"/>
    <w:rsid w:val="00AC0A0A"/>
    <w:rsid w:val="00AC0D52"/>
    <w:rsid w:val="00AC0E00"/>
    <w:rsid w:val="00AC1277"/>
    <w:rsid w:val="00AC141C"/>
    <w:rsid w:val="00AC18E4"/>
    <w:rsid w:val="00AC1AD5"/>
    <w:rsid w:val="00AC1B27"/>
    <w:rsid w:val="00AC1F0D"/>
    <w:rsid w:val="00AC2084"/>
    <w:rsid w:val="00AC22FC"/>
    <w:rsid w:val="00AC299D"/>
    <w:rsid w:val="00AC315A"/>
    <w:rsid w:val="00AC3A80"/>
    <w:rsid w:val="00AC3D42"/>
    <w:rsid w:val="00AC4422"/>
    <w:rsid w:val="00AC4B5C"/>
    <w:rsid w:val="00AC4E13"/>
    <w:rsid w:val="00AC51CC"/>
    <w:rsid w:val="00AC54BE"/>
    <w:rsid w:val="00AC5680"/>
    <w:rsid w:val="00AC56D9"/>
    <w:rsid w:val="00AC5818"/>
    <w:rsid w:val="00AC5E04"/>
    <w:rsid w:val="00AC612D"/>
    <w:rsid w:val="00AC6AAE"/>
    <w:rsid w:val="00AC6EC7"/>
    <w:rsid w:val="00AC7A23"/>
    <w:rsid w:val="00AD01EF"/>
    <w:rsid w:val="00AD03FB"/>
    <w:rsid w:val="00AD051C"/>
    <w:rsid w:val="00AD0A77"/>
    <w:rsid w:val="00AD0ABD"/>
    <w:rsid w:val="00AD0E47"/>
    <w:rsid w:val="00AD10B5"/>
    <w:rsid w:val="00AD121C"/>
    <w:rsid w:val="00AD1358"/>
    <w:rsid w:val="00AD1983"/>
    <w:rsid w:val="00AD1BC9"/>
    <w:rsid w:val="00AD1F54"/>
    <w:rsid w:val="00AD2162"/>
    <w:rsid w:val="00AD2C7B"/>
    <w:rsid w:val="00AD3718"/>
    <w:rsid w:val="00AD3968"/>
    <w:rsid w:val="00AD4234"/>
    <w:rsid w:val="00AD4335"/>
    <w:rsid w:val="00AD43E5"/>
    <w:rsid w:val="00AD489D"/>
    <w:rsid w:val="00AD529F"/>
    <w:rsid w:val="00AD5410"/>
    <w:rsid w:val="00AD58A3"/>
    <w:rsid w:val="00AD5ECE"/>
    <w:rsid w:val="00AD725C"/>
    <w:rsid w:val="00AD75F4"/>
    <w:rsid w:val="00AD7835"/>
    <w:rsid w:val="00AD7B55"/>
    <w:rsid w:val="00AD7DA0"/>
    <w:rsid w:val="00AE0648"/>
    <w:rsid w:val="00AE069A"/>
    <w:rsid w:val="00AE0869"/>
    <w:rsid w:val="00AE14AE"/>
    <w:rsid w:val="00AE1564"/>
    <w:rsid w:val="00AE1639"/>
    <w:rsid w:val="00AE175B"/>
    <w:rsid w:val="00AE1789"/>
    <w:rsid w:val="00AE1DB5"/>
    <w:rsid w:val="00AE2128"/>
    <w:rsid w:val="00AE21DD"/>
    <w:rsid w:val="00AE22D8"/>
    <w:rsid w:val="00AE2A0B"/>
    <w:rsid w:val="00AE3030"/>
    <w:rsid w:val="00AE36A7"/>
    <w:rsid w:val="00AE36CD"/>
    <w:rsid w:val="00AE36D9"/>
    <w:rsid w:val="00AE3882"/>
    <w:rsid w:val="00AE3FF2"/>
    <w:rsid w:val="00AE4044"/>
    <w:rsid w:val="00AE43CB"/>
    <w:rsid w:val="00AE4548"/>
    <w:rsid w:val="00AE47D2"/>
    <w:rsid w:val="00AE4A31"/>
    <w:rsid w:val="00AE4D9E"/>
    <w:rsid w:val="00AE4E6C"/>
    <w:rsid w:val="00AE4F9C"/>
    <w:rsid w:val="00AE584D"/>
    <w:rsid w:val="00AE58F6"/>
    <w:rsid w:val="00AE6056"/>
    <w:rsid w:val="00AE626C"/>
    <w:rsid w:val="00AE65CA"/>
    <w:rsid w:val="00AE6E22"/>
    <w:rsid w:val="00AE7185"/>
    <w:rsid w:val="00AE74A4"/>
    <w:rsid w:val="00AE7818"/>
    <w:rsid w:val="00AE7C68"/>
    <w:rsid w:val="00AE7F1F"/>
    <w:rsid w:val="00AF00EE"/>
    <w:rsid w:val="00AF044E"/>
    <w:rsid w:val="00AF04B8"/>
    <w:rsid w:val="00AF05EE"/>
    <w:rsid w:val="00AF0A78"/>
    <w:rsid w:val="00AF1052"/>
    <w:rsid w:val="00AF1262"/>
    <w:rsid w:val="00AF17B0"/>
    <w:rsid w:val="00AF19B5"/>
    <w:rsid w:val="00AF1D4D"/>
    <w:rsid w:val="00AF1DD0"/>
    <w:rsid w:val="00AF2114"/>
    <w:rsid w:val="00AF23A8"/>
    <w:rsid w:val="00AF2700"/>
    <w:rsid w:val="00AF2F2A"/>
    <w:rsid w:val="00AF31F9"/>
    <w:rsid w:val="00AF33A4"/>
    <w:rsid w:val="00AF3418"/>
    <w:rsid w:val="00AF3AD9"/>
    <w:rsid w:val="00AF3EDC"/>
    <w:rsid w:val="00AF4428"/>
    <w:rsid w:val="00AF457F"/>
    <w:rsid w:val="00AF4676"/>
    <w:rsid w:val="00AF47D0"/>
    <w:rsid w:val="00AF4989"/>
    <w:rsid w:val="00AF4B1D"/>
    <w:rsid w:val="00AF51AC"/>
    <w:rsid w:val="00AF52E7"/>
    <w:rsid w:val="00AF56F8"/>
    <w:rsid w:val="00AF6982"/>
    <w:rsid w:val="00AF6C21"/>
    <w:rsid w:val="00AF6E8D"/>
    <w:rsid w:val="00AF72C3"/>
    <w:rsid w:val="00AF7E1A"/>
    <w:rsid w:val="00B00197"/>
    <w:rsid w:val="00B007D0"/>
    <w:rsid w:val="00B00A2F"/>
    <w:rsid w:val="00B00A4E"/>
    <w:rsid w:val="00B00D7A"/>
    <w:rsid w:val="00B00F3C"/>
    <w:rsid w:val="00B00FF9"/>
    <w:rsid w:val="00B010CD"/>
    <w:rsid w:val="00B01157"/>
    <w:rsid w:val="00B01973"/>
    <w:rsid w:val="00B019F2"/>
    <w:rsid w:val="00B01ABA"/>
    <w:rsid w:val="00B02C06"/>
    <w:rsid w:val="00B02CB0"/>
    <w:rsid w:val="00B036BA"/>
    <w:rsid w:val="00B03F06"/>
    <w:rsid w:val="00B04634"/>
    <w:rsid w:val="00B04E09"/>
    <w:rsid w:val="00B05560"/>
    <w:rsid w:val="00B057D0"/>
    <w:rsid w:val="00B05AA9"/>
    <w:rsid w:val="00B05B58"/>
    <w:rsid w:val="00B05C5B"/>
    <w:rsid w:val="00B05D1A"/>
    <w:rsid w:val="00B05D38"/>
    <w:rsid w:val="00B061B7"/>
    <w:rsid w:val="00B0636B"/>
    <w:rsid w:val="00B0637F"/>
    <w:rsid w:val="00B065EB"/>
    <w:rsid w:val="00B06847"/>
    <w:rsid w:val="00B069C3"/>
    <w:rsid w:val="00B069CA"/>
    <w:rsid w:val="00B07148"/>
    <w:rsid w:val="00B071EB"/>
    <w:rsid w:val="00B078ED"/>
    <w:rsid w:val="00B07B0E"/>
    <w:rsid w:val="00B07C1E"/>
    <w:rsid w:val="00B07CC0"/>
    <w:rsid w:val="00B07DCD"/>
    <w:rsid w:val="00B07E73"/>
    <w:rsid w:val="00B1039F"/>
    <w:rsid w:val="00B10AF0"/>
    <w:rsid w:val="00B10E6F"/>
    <w:rsid w:val="00B11007"/>
    <w:rsid w:val="00B1127E"/>
    <w:rsid w:val="00B116B8"/>
    <w:rsid w:val="00B11D5D"/>
    <w:rsid w:val="00B12204"/>
    <w:rsid w:val="00B12488"/>
    <w:rsid w:val="00B12E3F"/>
    <w:rsid w:val="00B12F45"/>
    <w:rsid w:val="00B13448"/>
    <w:rsid w:val="00B13C98"/>
    <w:rsid w:val="00B13D29"/>
    <w:rsid w:val="00B140B8"/>
    <w:rsid w:val="00B14688"/>
    <w:rsid w:val="00B147BD"/>
    <w:rsid w:val="00B14B1F"/>
    <w:rsid w:val="00B14B7D"/>
    <w:rsid w:val="00B14ED7"/>
    <w:rsid w:val="00B1526C"/>
    <w:rsid w:val="00B156B0"/>
    <w:rsid w:val="00B1604B"/>
    <w:rsid w:val="00B16056"/>
    <w:rsid w:val="00B1637A"/>
    <w:rsid w:val="00B1638F"/>
    <w:rsid w:val="00B163DB"/>
    <w:rsid w:val="00B1645C"/>
    <w:rsid w:val="00B1666A"/>
    <w:rsid w:val="00B166EE"/>
    <w:rsid w:val="00B16704"/>
    <w:rsid w:val="00B169BA"/>
    <w:rsid w:val="00B16CF3"/>
    <w:rsid w:val="00B16DA2"/>
    <w:rsid w:val="00B16FE8"/>
    <w:rsid w:val="00B17080"/>
    <w:rsid w:val="00B174E6"/>
    <w:rsid w:val="00B17632"/>
    <w:rsid w:val="00B17702"/>
    <w:rsid w:val="00B17882"/>
    <w:rsid w:val="00B1797B"/>
    <w:rsid w:val="00B17992"/>
    <w:rsid w:val="00B17CD6"/>
    <w:rsid w:val="00B17D17"/>
    <w:rsid w:val="00B17DF2"/>
    <w:rsid w:val="00B2013A"/>
    <w:rsid w:val="00B20480"/>
    <w:rsid w:val="00B2051D"/>
    <w:rsid w:val="00B20C55"/>
    <w:rsid w:val="00B20DF3"/>
    <w:rsid w:val="00B211EA"/>
    <w:rsid w:val="00B21271"/>
    <w:rsid w:val="00B2145F"/>
    <w:rsid w:val="00B2158C"/>
    <w:rsid w:val="00B2174D"/>
    <w:rsid w:val="00B21974"/>
    <w:rsid w:val="00B21B79"/>
    <w:rsid w:val="00B21E9F"/>
    <w:rsid w:val="00B21FC5"/>
    <w:rsid w:val="00B223DE"/>
    <w:rsid w:val="00B2275E"/>
    <w:rsid w:val="00B23280"/>
    <w:rsid w:val="00B23E25"/>
    <w:rsid w:val="00B23FE0"/>
    <w:rsid w:val="00B24271"/>
    <w:rsid w:val="00B244C2"/>
    <w:rsid w:val="00B24565"/>
    <w:rsid w:val="00B24795"/>
    <w:rsid w:val="00B24CEB"/>
    <w:rsid w:val="00B254E8"/>
    <w:rsid w:val="00B264FB"/>
    <w:rsid w:val="00B26504"/>
    <w:rsid w:val="00B26587"/>
    <w:rsid w:val="00B26AB2"/>
    <w:rsid w:val="00B26CC4"/>
    <w:rsid w:val="00B26FDC"/>
    <w:rsid w:val="00B271BD"/>
    <w:rsid w:val="00B27A1C"/>
    <w:rsid w:val="00B27BA5"/>
    <w:rsid w:val="00B27C38"/>
    <w:rsid w:val="00B27D29"/>
    <w:rsid w:val="00B27E33"/>
    <w:rsid w:val="00B27FC9"/>
    <w:rsid w:val="00B30225"/>
    <w:rsid w:val="00B30D13"/>
    <w:rsid w:val="00B30F4C"/>
    <w:rsid w:val="00B30F81"/>
    <w:rsid w:val="00B310A6"/>
    <w:rsid w:val="00B31ACB"/>
    <w:rsid w:val="00B31EB0"/>
    <w:rsid w:val="00B32490"/>
    <w:rsid w:val="00B3255B"/>
    <w:rsid w:val="00B32759"/>
    <w:rsid w:val="00B32766"/>
    <w:rsid w:val="00B32A05"/>
    <w:rsid w:val="00B32C47"/>
    <w:rsid w:val="00B32D5F"/>
    <w:rsid w:val="00B33089"/>
    <w:rsid w:val="00B333E2"/>
    <w:rsid w:val="00B33545"/>
    <w:rsid w:val="00B33CFE"/>
    <w:rsid w:val="00B33F37"/>
    <w:rsid w:val="00B33F63"/>
    <w:rsid w:val="00B33F69"/>
    <w:rsid w:val="00B34012"/>
    <w:rsid w:val="00B34D60"/>
    <w:rsid w:val="00B35051"/>
    <w:rsid w:val="00B3609A"/>
    <w:rsid w:val="00B364EC"/>
    <w:rsid w:val="00B36B33"/>
    <w:rsid w:val="00B36CE2"/>
    <w:rsid w:val="00B3704E"/>
    <w:rsid w:val="00B377FF"/>
    <w:rsid w:val="00B37A8F"/>
    <w:rsid w:val="00B37FCA"/>
    <w:rsid w:val="00B401C1"/>
    <w:rsid w:val="00B40332"/>
    <w:rsid w:val="00B404CC"/>
    <w:rsid w:val="00B4051F"/>
    <w:rsid w:val="00B40B8F"/>
    <w:rsid w:val="00B40F16"/>
    <w:rsid w:val="00B410E2"/>
    <w:rsid w:val="00B41136"/>
    <w:rsid w:val="00B41142"/>
    <w:rsid w:val="00B412BA"/>
    <w:rsid w:val="00B414AC"/>
    <w:rsid w:val="00B4241E"/>
    <w:rsid w:val="00B42430"/>
    <w:rsid w:val="00B42C84"/>
    <w:rsid w:val="00B43136"/>
    <w:rsid w:val="00B431DB"/>
    <w:rsid w:val="00B43240"/>
    <w:rsid w:val="00B43A3B"/>
    <w:rsid w:val="00B43A55"/>
    <w:rsid w:val="00B43BF9"/>
    <w:rsid w:val="00B44320"/>
    <w:rsid w:val="00B44688"/>
    <w:rsid w:val="00B44D75"/>
    <w:rsid w:val="00B44FBC"/>
    <w:rsid w:val="00B4559E"/>
    <w:rsid w:val="00B45774"/>
    <w:rsid w:val="00B457D9"/>
    <w:rsid w:val="00B457FA"/>
    <w:rsid w:val="00B45E68"/>
    <w:rsid w:val="00B46795"/>
    <w:rsid w:val="00B46C62"/>
    <w:rsid w:val="00B46CC5"/>
    <w:rsid w:val="00B46D9C"/>
    <w:rsid w:val="00B4796A"/>
    <w:rsid w:val="00B47BEF"/>
    <w:rsid w:val="00B47EFF"/>
    <w:rsid w:val="00B47FEB"/>
    <w:rsid w:val="00B504F0"/>
    <w:rsid w:val="00B507BE"/>
    <w:rsid w:val="00B50857"/>
    <w:rsid w:val="00B50D32"/>
    <w:rsid w:val="00B51399"/>
    <w:rsid w:val="00B519A4"/>
    <w:rsid w:val="00B51CE7"/>
    <w:rsid w:val="00B52014"/>
    <w:rsid w:val="00B52072"/>
    <w:rsid w:val="00B52815"/>
    <w:rsid w:val="00B53504"/>
    <w:rsid w:val="00B53C03"/>
    <w:rsid w:val="00B53CE6"/>
    <w:rsid w:val="00B53EB5"/>
    <w:rsid w:val="00B541E0"/>
    <w:rsid w:val="00B542B1"/>
    <w:rsid w:val="00B55184"/>
    <w:rsid w:val="00B5519F"/>
    <w:rsid w:val="00B55A76"/>
    <w:rsid w:val="00B55D7B"/>
    <w:rsid w:val="00B55FCA"/>
    <w:rsid w:val="00B5640F"/>
    <w:rsid w:val="00B56756"/>
    <w:rsid w:val="00B56890"/>
    <w:rsid w:val="00B56B62"/>
    <w:rsid w:val="00B56BFC"/>
    <w:rsid w:val="00B56F1C"/>
    <w:rsid w:val="00B571C7"/>
    <w:rsid w:val="00B57B37"/>
    <w:rsid w:val="00B57CD2"/>
    <w:rsid w:val="00B57D7B"/>
    <w:rsid w:val="00B57DB4"/>
    <w:rsid w:val="00B6020F"/>
    <w:rsid w:val="00B60419"/>
    <w:rsid w:val="00B604FC"/>
    <w:rsid w:val="00B60556"/>
    <w:rsid w:val="00B60A5A"/>
    <w:rsid w:val="00B61199"/>
    <w:rsid w:val="00B6159E"/>
    <w:rsid w:val="00B618C6"/>
    <w:rsid w:val="00B61B90"/>
    <w:rsid w:val="00B61C22"/>
    <w:rsid w:val="00B628D9"/>
    <w:rsid w:val="00B62A47"/>
    <w:rsid w:val="00B62CEE"/>
    <w:rsid w:val="00B62D57"/>
    <w:rsid w:val="00B62F66"/>
    <w:rsid w:val="00B63398"/>
    <w:rsid w:val="00B637D3"/>
    <w:rsid w:val="00B63962"/>
    <w:rsid w:val="00B63EDD"/>
    <w:rsid w:val="00B64218"/>
    <w:rsid w:val="00B6439D"/>
    <w:rsid w:val="00B64451"/>
    <w:rsid w:val="00B647A9"/>
    <w:rsid w:val="00B648C5"/>
    <w:rsid w:val="00B64B35"/>
    <w:rsid w:val="00B65168"/>
    <w:rsid w:val="00B653C0"/>
    <w:rsid w:val="00B656B0"/>
    <w:rsid w:val="00B658FB"/>
    <w:rsid w:val="00B65FD2"/>
    <w:rsid w:val="00B661B0"/>
    <w:rsid w:val="00B662EC"/>
    <w:rsid w:val="00B666D6"/>
    <w:rsid w:val="00B66AE8"/>
    <w:rsid w:val="00B6771A"/>
    <w:rsid w:val="00B6776A"/>
    <w:rsid w:val="00B67932"/>
    <w:rsid w:val="00B67A8A"/>
    <w:rsid w:val="00B67C53"/>
    <w:rsid w:val="00B67C8F"/>
    <w:rsid w:val="00B7004B"/>
    <w:rsid w:val="00B7004E"/>
    <w:rsid w:val="00B703A9"/>
    <w:rsid w:val="00B70E09"/>
    <w:rsid w:val="00B71697"/>
    <w:rsid w:val="00B718B3"/>
    <w:rsid w:val="00B71ED1"/>
    <w:rsid w:val="00B71F52"/>
    <w:rsid w:val="00B7214D"/>
    <w:rsid w:val="00B722B3"/>
    <w:rsid w:val="00B72638"/>
    <w:rsid w:val="00B72795"/>
    <w:rsid w:val="00B72904"/>
    <w:rsid w:val="00B72D83"/>
    <w:rsid w:val="00B73539"/>
    <w:rsid w:val="00B7477B"/>
    <w:rsid w:val="00B74969"/>
    <w:rsid w:val="00B75100"/>
    <w:rsid w:val="00B75395"/>
    <w:rsid w:val="00B75A8E"/>
    <w:rsid w:val="00B75B5D"/>
    <w:rsid w:val="00B75F0B"/>
    <w:rsid w:val="00B7642A"/>
    <w:rsid w:val="00B76836"/>
    <w:rsid w:val="00B768A5"/>
    <w:rsid w:val="00B76B04"/>
    <w:rsid w:val="00B76B4D"/>
    <w:rsid w:val="00B76E63"/>
    <w:rsid w:val="00B76EE5"/>
    <w:rsid w:val="00B76FA2"/>
    <w:rsid w:val="00B7761D"/>
    <w:rsid w:val="00B77868"/>
    <w:rsid w:val="00B77922"/>
    <w:rsid w:val="00B800A8"/>
    <w:rsid w:val="00B800AF"/>
    <w:rsid w:val="00B803C3"/>
    <w:rsid w:val="00B80577"/>
    <w:rsid w:val="00B80780"/>
    <w:rsid w:val="00B80BA9"/>
    <w:rsid w:val="00B80E1D"/>
    <w:rsid w:val="00B81134"/>
    <w:rsid w:val="00B812A7"/>
    <w:rsid w:val="00B815AC"/>
    <w:rsid w:val="00B81824"/>
    <w:rsid w:val="00B823A7"/>
    <w:rsid w:val="00B82704"/>
    <w:rsid w:val="00B82BEB"/>
    <w:rsid w:val="00B82EFA"/>
    <w:rsid w:val="00B835BC"/>
    <w:rsid w:val="00B835DC"/>
    <w:rsid w:val="00B83833"/>
    <w:rsid w:val="00B83892"/>
    <w:rsid w:val="00B83F3D"/>
    <w:rsid w:val="00B84268"/>
    <w:rsid w:val="00B8435E"/>
    <w:rsid w:val="00B843BC"/>
    <w:rsid w:val="00B844B8"/>
    <w:rsid w:val="00B8455A"/>
    <w:rsid w:val="00B8459A"/>
    <w:rsid w:val="00B84672"/>
    <w:rsid w:val="00B84865"/>
    <w:rsid w:val="00B84CD6"/>
    <w:rsid w:val="00B8507F"/>
    <w:rsid w:val="00B85122"/>
    <w:rsid w:val="00B8548A"/>
    <w:rsid w:val="00B85DC5"/>
    <w:rsid w:val="00B85F92"/>
    <w:rsid w:val="00B85FA6"/>
    <w:rsid w:val="00B8610E"/>
    <w:rsid w:val="00B86AF6"/>
    <w:rsid w:val="00B870F2"/>
    <w:rsid w:val="00B873B5"/>
    <w:rsid w:val="00B87496"/>
    <w:rsid w:val="00B87B04"/>
    <w:rsid w:val="00B87C57"/>
    <w:rsid w:val="00B90830"/>
    <w:rsid w:val="00B90A77"/>
    <w:rsid w:val="00B9111A"/>
    <w:rsid w:val="00B91120"/>
    <w:rsid w:val="00B913D7"/>
    <w:rsid w:val="00B917C3"/>
    <w:rsid w:val="00B91AC8"/>
    <w:rsid w:val="00B91E60"/>
    <w:rsid w:val="00B91F94"/>
    <w:rsid w:val="00B92024"/>
    <w:rsid w:val="00B92445"/>
    <w:rsid w:val="00B9244F"/>
    <w:rsid w:val="00B927E7"/>
    <w:rsid w:val="00B931E1"/>
    <w:rsid w:val="00B932D6"/>
    <w:rsid w:val="00B93618"/>
    <w:rsid w:val="00B937A7"/>
    <w:rsid w:val="00B93AC1"/>
    <w:rsid w:val="00B94118"/>
    <w:rsid w:val="00B942BF"/>
    <w:rsid w:val="00B94585"/>
    <w:rsid w:val="00B9474E"/>
    <w:rsid w:val="00B94750"/>
    <w:rsid w:val="00B947DE"/>
    <w:rsid w:val="00B9483A"/>
    <w:rsid w:val="00B94874"/>
    <w:rsid w:val="00B948FD"/>
    <w:rsid w:val="00B94A5A"/>
    <w:rsid w:val="00B94AB5"/>
    <w:rsid w:val="00B94B06"/>
    <w:rsid w:val="00B953B4"/>
    <w:rsid w:val="00B95D0D"/>
    <w:rsid w:val="00B95DB1"/>
    <w:rsid w:val="00B95FB7"/>
    <w:rsid w:val="00B9646E"/>
    <w:rsid w:val="00B9671F"/>
    <w:rsid w:val="00B96AEE"/>
    <w:rsid w:val="00B96BE4"/>
    <w:rsid w:val="00B9710C"/>
    <w:rsid w:val="00B976A9"/>
    <w:rsid w:val="00B97802"/>
    <w:rsid w:val="00B978BD"/>
    <w:rsid w:val="00B97DFD"/>
    <w:rsid w:val="00BA009F"/>
    <w:rsid w:val="00BA011F"/>
    <w:rsid w:val="00BA0760"/>
    <w:rsid w:val="00BA0775"/>
    <w:rsid w:val="00BA07EB"/>
    <w:rsid w:val="00BA0B9A"/>
    <w:rsid w:val="00BA0BD2"/>
    <w:rsid w:val="00BA107C"/>
    <w:rsid w:val="00BA15AD"/>
    <w:rsid w:val="00BA1C8D"/>
    <w:rsid w:val="00BA2594"/>
    <w:rsid w:val="00BA29C5"/>
    <w:rsid w:val="00BA2AC6"/>
    <w:rsid w:val="00BA2EE3"/>
    <w:rsid w:val="00BA3F7D"/>
    <w:rsid w:val="00BA40C8"/>
    <w:rsid w:val="00BA4971"/>
    <w:rsid w:val="00BA4974"/>
    <w:rsid w:val="00BA4A27"/>
    <w:rsid w:val="00BA4F15"/>
    <w:rsid w:val="00BA50C0"/>
    <w:rsid w:val="00BA568D"/>
    <w:rsid w:val="00BA5A8D"/>
    <w:rsid w:val="00BA5B67"/>
    <w:rsid w:val="00BA5FBA"/>
    <w:rsid w:val="00BA6443"/>
    <w:rsid w:val="00BA6556"/>
    <w:rsid w:val="00BA68D6"/>
    <w:rsid w:val="00BA6B1B"/>
    <w:rsid w:val="00BA6F1E"/>
    <w:rsid w:val="00BA7124"/>
    <w:rsid w:val="00BA750B"/>
    <w:rsid w:val="00BA7E34"/>
    <w:rsid w:val="00BA7E41"/>
    <w:rsid w:val="00BA7ED6"/>
    <w:rsid w:val="00BB0F32"/>
    <w:rsid w:val="00BB11F2"/>
    <w:rsid w:val="00BB1472"/>
    <w:rsid w:val="00BB170E"/>
    <w:rsid w:val="00BB175A"/>
    <w:rsid w:val="00BB1A95"/>
    <w:rsid w:val="00BB1B8B"/>
    <w:rsid w:val="00BB1D9B"/>
    <w:rsid w:val="00BB1EA6"/>
    <w:rsid w:val="00BB21AC"/>
    <w:rsid w:val="00BB2ACE"/>
    <w:rsid w:val="00BB2B11"/>
    <w:rsid w:val="00BB2D7F"/>
    <w:rsid w:val="00BB3251"/>
    <w:rsid w:val="00BB37D6"/>
    <w:rsid w:val="00BB3B70"/>
    <w:rsid w:val="00BB3F50"/>
    <w:rsid w:val="00BB4318"/>
    <w:rsid w:val="00BB4378"/>
    <w:rsid w:val="00BB4AC2"/>
    <w:rsid w:val="00BB4C9E"/>
    <w:rsid w:val="00BB4ECC"/>
    <w:rsid w:val="00BB551B"/>
    <w:rsid w:val="00BB55C7"/>
    <w:rsid w:val="00BB5F10"/>
    <w:rsid w:val="00BB62AF"/>
    <w:rsid w:val="00BB68A0"/>
    <w:rsid w:val="00BB69F8"/>
    <w:rsid w:val="00BB6B12"/>
    <w:rsid w:val="00BB6D26"/>
    <w:rsid w:val="00BB6DEC"/>
    <w:rsid w:val="00BB6F01"/>
    <w:rsid w:val="00BB6FA6"/>
    <w:rsid w:val="00BB792F"/>
    <w:rsid w:val="00BB7D4C"/>
    <w:rsid w:val="00BB7D4F"/>
    <w:rsid w:val="00BC03E6"/>
    <w:rsid w:val="00BC058D"/>
    <w:rsid w:val="00BC0999"/>
    <w:rsid w:val="00BC0C44"/>
    <w:rsid w:val="00BC0FE2"/>
    <w:rsid w:val="00BC1056"/>
    <w:rsid w:val="00BC11DE"/>
    <w:rsid w:val="00BC124A"/>
    <w:rsid w:val="00BC167C"/>
    <w:rsid w:val="00BC1820"/>
    <w:rsid w:val="00BC1C4E"/>
    <w:rsid w:val="00BC1EF0"/>
    <w:rsid w:val="00BC1F3A"/>
    <w:rsid w:val="00BC21CC"/>
    <w:rsid w:val="00BC220E"/>
    <w:rsid w:val="00BC2AC0"/>
    <w:rsid w:val="00BC2B83"/>
    <w:rsid w:val="00BC31B6"/>
    <w:rsid w:val="00BC322B"/>
    <w:rsid w:val="00BC35C6"/>
    <w:rsid w:val="00BC3D0A"/>
    <w:rsid w:val="00BC4128"/>
    <w:rsid w:val="00BC419C"/>
    <w:rsid w:val="00BC4450"/>
    <w:rsid w:val="00BC4616"/>
    <w:rsid w:val="00BC4D3B"/>
    <w:rsid w:val="00BC54E6"/>
    <w:rsid w:val="00BC56EC"/>
    <w:rsid w:val="00BC5A16"/>
    <w:rsid w:val="00BC5AA1"/>
    <w:rsid w:val="00BC5E8B"/>
    <w:rsid w:val="00BC5F99"/>
    <w:rsid w:val="00BC6A81"/>
    <w:rsid w:val="00BC6B84"/>
    <w:rsid w:val="00BC6BF7"/>
    <w:rsid w:val="00BC72F5"/>
    <w:rsid w:val="00BC75E0"/>
    <w:rsid w:val="00BC79B8"/>
    <w:rsid w:val="00BC7D56"/>
    <w:rsid w:val="00BD0132"/>
    <w:rsid w:val="00BD01B1"/>
    <w:rsid w:val="00BD04E2"/>
    <w:rsid w:val="00BD05AA"/>
    <w:rsid w:val="00BD0961"/>
    <w:rsid w:val="00BD0ACA"/>
    <w:rsid w:val="00BD0BF9"/>
    <w:rsid w:val="00BD100B"/>
    <w:rsid w:val="00BD1099"/>
    <w:rsid w:val="00BD11D9"/>
    <w:rsid w:val="00BD1479"/>
    <w:rsid w:val="00BD18B6"/>
    <w:rsid w:val="00BD1940"/>
    <w:rsid w:val="00BD21D4"/>
    <w:rsid w:val="00BD2257"/>
    <w:rsid w:val="00BD25F9"/>
    <w:rsid w:val="00BD2C3A"/>
    <w:rsid w:val="00BD317E"/>
    <w:rsid w:val="00BD31F8"/>
    <w:rsid w:val="00BD34AD"/>
    <w:rsid w:val="00BD36B7"/>
    <w:rsid w:val="00BD398B"/>
    <w:rsid w:val="00BD3CFD"/>
    <w:rsid w:val="00BD3DD1"/>
    <w:rsid w:val="00BD3F79"/>
    <w:rsid w:val="00BD45A4"/>
    <w:rsid w:val="00BD4D10"/>
    <w:rsid w:val="00BD5255"/>
    <w:rsid w:val="00BD546D"/>
    <w:rsid w:val="00BD5782"/>
    <w:rsid w:val="00BD58C3"/>
    <w:rsid w:val="00BD5A33"/>
    <w:rsid w:val="00BD6342"/>
    <w:rsid w:val="00BD649F"/>
    <w:rsid w:val="00BD6984"/>
    <w:rsid w:val="00BD69F8"/>
    <w:rsid w:val="00BD6DC6"/>
    <w:rsid w:val="00BD6E62"/>
    <w:rsid w:val="00BD6E68"/>
    <w:rsid w:val="00BD6FAE"/>
    <w:rsid w:val="00BD723A"/>
    <w:rsid w:val="00BD747B"/>
    <w:rsid w:val="00BD74E4"/>
    <w:rsid w:val="00BD76D8"/>
    <w:rsid w:val="00BD7916"/>
    <w:rsid w:val="00BE01E6"/>
    <w:rsid w:val="00BE0917"/>
    <w:rsid w:val="00BE0B5F"/>
    <w:rsid w:val="00BE1024"/>
    <w:rsid w:val="00BE132E"/>
    <w:rsid w:val="00BE17A8"/>
    <w:rsid w:val="00BE17F2"/>
    <w:rsid w:val="00BE19D9"/>
    <w:rsid w:val="00BE1B9B"/>
    <w:rsid w:val="00BE1BD0"/>
    <w:rsid w:val="00BE1D5E"/>
    <w:rsid w:val="00BE2032"/>
    <w:rsid w:val="00BE228C"/>
    <w:rsid w:val="00BE26F9"/>
    <w:rsid w:val="00BE2B6E"/>
    <w:rsid w:val="00BE3330"/>
    <w:rsid w:val="00BE3FBF"/>
    <w:rsid w:val="00BE470F"/>
    <w:rsid w:val="00BE479D"/>
    <w:rsid w:val="00BE52C8"/>
    <w:rsid w:val="00BE53DF"/>
    <w:rsid w:val="00BE5526"/>
    <w:rsid w:val="00BE5753"/>
    <w:rsid w:val="00BE5796"/>
    <w:rsid w:val="00BE587D"/>
    <w:rsid w:val="00BE623B"/>
    <w:rsid w:val="00BE6250"/>
    <w:rsid w:val="00BE72E3"/>
    <w:rsid w:val="00BE74AB"/>
    <w:rsid w:val="00BE77C8"/>
    <w:rsid w:val="00BE791C"/>
    <w:rsid w:val="00BE792E"/>
    <w:rsid w:val="00BE7E48"/>
    <w:rsid w:val="00BF0140"/>
    <w:rsid w:val="00BF02B3"/>
    <w:rsid w:val="00BF035F"/>
    <w:rsid w:val="00BF0E09"/>
    <w:rsid w:val="00BF1280"/>
    <w:rsid w:val="00BF152B"/>
    <w:rsid w:val="00BF1986"/>
    <w:rsid w:val="00BF1FF6"/>
    <w:rsid w:val="00BF20F5"/>
    <w:rsid w:val="00BF24DE"/>
    <w:rsid w:val="00BF263B"/>
    <w:rsid w:val="00BF2AD7"/>
    <w:rsid w:val="00BF2B87"/>
    <w:rsid w:val="00BF2DD5"/>
    <w:rsid w:val="00BF2FDC"/>
    <w:rsid w:val="00BF302D"/>
    <w:rsid w:val="00BF304F"/>
    <w:rsid w:val="00BF326C"/>
    <w:rsid w:val="00BF38AF"/>
    <w:rsid w:val="00BF429D"/>
    <w:rsid w:val="00BF42B8"/>
    <w:rsid w:val="00BF44CC"/>
    <w:rsid w:val="00BF454E"/>
    <w:rsid w:val="00BF466D"/>
    <w:rsid w:val="00BF473D"/>
    <w:rsid w:val="00BF4F2F"/>
    <w:rsid w:val="00BF4F70"/>
    <w:rsid w:val="00BF50CD"/>
    <w:rsid w:val="00BF50DD"/>
    <w:rsid w:val="00BF536C"/>
    <w:rsid w:val="00BF541B"/>
    <w:rsid w:val="00BF5561"/>
    <w:rsid w:val="00BF56EF"/>
    <w:rsid w:val="00BF5846"/>
    <w:rsid w:val="00BF5D54"/>
    <w:rsid w:val="00BF5DB8"/>
    <w:rsid w:val="00BF5FA9"/>
    <w:rsid w:val="00BF6181"/>
    <w:rsid w:val="00BF6603"/>
    <w:rsid w:val="00BF66DD"/>
    <w:rsid w:val="00BF69DD"/>
    <w:rsid w:val="00BF724D"/>
    <w:rsid w:val="00BF7713"/>
    <w:rsid w:val="00BF7E5E"/>
    <w:rsid w:val="00C0034D"/>
    <w:rsid w:val="00C005A0"/>
    <w:rsid w:val="00C006AD"/>
    <w:rsid w:val="00C006B1"/>
    <w:rsid w:val="00C010FF"/>
    <w:rsid w:val="00C014AA"/>
    <w:rsid w:val="00C015C0"/>
    <w:rsid w:val="00C02027"/>
    <w:rsid w:val="00C03CB1"/>
    <w:rsid w:val="00C03FD9"/>
    <w:rsid w:val="00C0444F"/>
    <w:rsid w:val="00C04BF3"/>
    <w:rsid w:val="00C05515"/>
    <w:rsid w:val="00C05922"/>
    <w:rsid w:val="00C05975"/>
    <w:rsid w:val="00C05FA1"/>
    <w:rsid w:val="00C063DC"/>
    <w:rsid w:val="00C06426"/>
    <w:rsid w:val="00C0678D"/>
    <w:rsid w:val="00C06E1E"/>
    <w:rsid w:val="00C06FEE"/>
    <w:rsid w:val="00C0753A"/>
    <w:rsid w:val="00C07B29"/>
    <w:rsid w:val="00C07D26"/>
    <w:rsid w:val="00C07E92"/>
    <w:rsid w:val="00C108EE"/>
    <w:rsid w:val="00C10AEC"/>
    <w:rsid w:val="00C11027"/>
    <w:rsid w:val="00C11227"/>
    <w:rsid w:val="00C11374"/>
    <w:rsid w:val="00C1242A"/>
    <w:rsid w:val="00C12D65"/>
    <w:rsid w:val="00C1312B"/>
    <w:rsid w:val="00C139AF"/>
    <w:rsid w:val="00C13E68"/>
    <w:rsid w:val="00C14700"/>
    <w:rsid w:val="00C14711"/>
    <w:rsid w:val="00C14B04"/>
    <w:rsid w:val="00C14B59"/>
    <w:rsid w:val="00C14C19"/>
    <w:rsid w:val="00C15E39"/>
    <w:rsid w:val="00C1622C"/>
    <w:rsid w:val="00C16288"/>
    <w:rsid w:val="00C1643F"/>
    <w:rsid w:val="00C1659F"/>
    <w:rsid w:val="00C16880"/>
    <w:rsid w:val="00C172CD"/>
    <w:rsid w:val="00C175E3"/>
    <w:rsid w:val="00C2115E"/>
    <w:rsid w:val="00C21449"/>
    <w:rsid w:val="00C2148D"/>
    <w:rsid w:val="00C215B6"/>
    <w:rsid w:val="00C217F1"/>
    <w:rsid w:val="00C21B05"/>
    <w:rsid w:val="00C21B92"/>
    <w:rsid w:val="00C21F88"/>
    <w:rsid w:val="00C2215D"/>
    <w:rsid w:val="00C22194"/>
    <w:rsid w:val="00C2225E"/>
    <w:rsid w:val="00C22E64"/>
    <w:rsid w:val="00C23802"/>
    <w:rsid w:val="00C23BFB"/>
    <w:rsid w:val="00C2416B"/>
    <w:rsid w:val="00C24317"/>
    <w:rsid w:val="00C248C7"/>
    <w:rsid w:val="00C248EF"/>
    <w:rsid w:val="00C24995"/>
    <w:rsid w:val="00C267AF"/>
    <w:rsid w:val="00C26898"/>
    <w:rsid w:val="00C26B97"/>
    <w:rsid w:val="00C26CBE"/>
    <w:rsid w:val="00C26ED5"/>
    <w:rsid w:val="00C273AA"/>
    <w:rsid w:val="00C27497"/>
    <w:rsid w:val="00C27C4D"/>
    <w:rsid w:val="00C27CFB"/>
    <w:rsid w:val="00C27E82"/>
    <w:rsid w:val="00C3020A"/>
    <w:rsid w:val="00C3022B"/>
    <w:rsid w:val="00C30F1F"/>
    <w:rsid w:val="00C31C48"/>
    <w:rsid w:val="00C31C9E"/>
    <w:rsid w:val="00C31DD4"/>
    <w:rsid w:val="00C32639"/>
    <w:rsid w:val="00C32A05"/>
    <w:rsid w:val="00C330B3"/>
    <w:rsid w:val="00C333DF"/>
    <w:rsid w:val="00C334DB"/>
    <w:rsid w:val="00C3350A"/>
    <w:rsid w:val="00C3374F"/>
    <w:rsid w:val="00C33D9B"/>
    <w:rsid w:val="00C3457B"/>
    <w:rsid w:val="00C34634"/>
    <w:rsid w:val="00C34AFA"/>
    <w:rsid w:val="00C35072"/>
    <w:rsid w:val="00C3548B"/>
    <w:rsid w:val="00C35665"/>
    <w:rsid w:val="00C35935"/>
    <w:rsid w:val="00C35C1A"/>
    <w:rsid w:val="00C35F06"/>
    <w:rsid w:val="00C36311"/>
    <w:rsid w:val="00C36629"/>
    <w:rsid w:val="00C3677B"/>
    <w:rsid w:val="00C368BD"/>
    <w:rsid w:val="00C3695B"/>
    <w:rsid w:val="00C36CF5"/>
    <w:rsid w:val="00C36F88"/>
    <w:rsid w:val="00C374A5"/>
    <w:rsid w:val="00C374D3"/>
    <w:rsid w:val="00C37788"/>
    <w:rsid w:val="00C3794D"/>
    <w:rsid w:val="00C37AC6"/>
    <w:rsid w:val="00C37BA4"/>
    <w:rsid w:val="00C37E38"/>
    <w:rsid w:val="00C37E86"/>
    <w:rsid w:val="00C40141"/>
    <w:rsid w:val="00C4024F"/>
    <w:rsid w:val="00C404B4"/>
    <w:rsid w:val="00C4059C"/>
    <w:rsid w:val="00C406B9"/>
    <w:rsid w:val="00C407C3"/>
    <w:rsid w:val="00C40A64"/>
    <w:rsid w:val="00C40C4C"/>
    <w:rsid w:val="00C40DF0"/>
    <w:rsid w:val="00C41858"/>
    <w:rsid w:val="00C41B25"/>
    <w:rsid w:val="00C41D5C"/>
    <w:rsid w:val="00C41F2A"/>
    <w:rsid w:val="00C42157"/>
    <w:rsid w:val="00C421CB"/>
    <w:rsid w:val="00C422FF"/>
    <w:rsid w:val="00C424EA"/>
    <w:rsid w:val="00C425CA"/>
    <w:rsid w:val="00C4266E"/>
    <w:rsid w:val="00C42695"/>
    <w:rsid w:val="00C428D3"/>
    <w:rsid w:val="00C42B7D"/>
    <w:rsid w:val="00C42EE2"/>
    <w:rsid w:val="00C43004"/>
    <w:rsid w:val="00C4395A"/>
    <w:rsid w:val="00C43C39"/>
    <w:rsid w:val="00C43D95"/>
    <w:rsid w:val="00C4403A"/>
    <w:rsid w:val="00C44409"/>
    <w:rsid w:val="00C44436"/>
    <w:rsid w:val="00C449B6"/>
    <w:rsid w:val="00C449CF"/>
    <w:rsid w:val="00C44A09"/>
    <w:rsid w:val="00C44D57"/>
    <w:rsid w:val="00C44E57"/>
    <w:rsid w:val="00C44E9F"/>
    <w:rsid w:val="00C44F5B"/>
    <w:rsid w:val="00C45157"/>
    <w:rsid w:val="00C4549C"/>
    <w:rsid w:val="00C45A25"/>
    <w:rsid w:val="00C4611A"/>
    <w:rsid w:val="00C4695D"/>
    <w:rsid w:val="00C47026"/>
    <w:rsid w:val="00C47692"/>
    <w:rsid w:val="00C47729"/>
    <w:rsid w:val="00C47E2A"/>
    <w:rsid w:val="00C50317"/>
    <w:rsid w:val="00C50F77"/>
    <w:rsid w:val="00C51939"/>
    <w:rsid w:val="00C51A43"/>
    <w:rsid w:val="00C51A92"/>
    <w:rsid w:val="00C52118"/>
    <w:rsid w:val="00C525A9"/>
    <w:rsid w:val="00C52AF8"/>
    <w:rsid w:val="00C532C6"/>
    <w:rsid w:val="00C535A4"/>
    <w:rsid w:val="00C53849"/>
    <w:rsid w:val="00C53C93"/>
    <w:rsid w:val="00C53D8D"/>
    <w:rsid w:val="00C5452F"/>
    <w:rsid w:val="00C54D03"/>
    <w:rsid w:val="00C55A5A"/>
    <w:rsid w:val="00C55B38"/>
    <w:rsid w:val="00C56160"/>
    <w:rsid w:val="00C56177"/>
    <w:rsid w:val="00C56359"/>
    <w:rsid w:val="00C5638F"/>
    <w:rsid w:val="00C566C4"/>
    <w:rsid w:val="00C573C5"/>
    <w:rsid w:val="00C57492"/>
    <w:rsid w:val="00C57902"/>
    <w:rsid w:val="00C57CEB"/>
    <w:rsid w:val="00C6033C"/>
    <w:rsid w:val="00C603EB"/>
    <w:rsid w:val="00C604D3"/>
    <w:rsid w:val="00C608AF"/>
    <w:rsid w:val="00C612BD"/>
    <w:rsid w:val="00C61522"/>
    <w:rsid w:val="00C615FE"/>
    <w:rsid w:val="00C61D69"/>
    <w:rsid w:val="00C6211C"/>
    <w:rsid w:val="00C6216B"/>
    <w:rsid w:val="00C62594"/>
    <w:rsid w:val="00C626BF"/>
    <w:rsid w:val="00C62987"/>
    <w:rsid w:val="00C62A58"/>
    <w:rsid w:val="00C62F94"/>
    <w:rsid w:val="00C62F9C"/>
    <w:rsid w:val="00C6319B"/>
    <w:rsid w:val="00C6350F"/>
    <w:rsid w:val="00C6354C"/>
    <w:rsid w:val="00C635E6"/>
    <w:rsid w:val="00C646A3"/>
    <w:rsid w:val="00C64739"/>
    <w:rsid w:val="00C64BE3"/>
    <w:rsid w:val="00C653D8"/>
    <w:rsid w:val="00C6555D"/>
    <w:rsid w:val="00C6582C"/>
    <w:rsid w:val="00C658E1"/>
    <w:rsid w:val="00C6616C"/>
    <w:rsid w:val="00C661DF"/>
    <w:rsid w:val="00C6661E"/>
    <w:rsid w:val="00C667BC"/>
    <w:rsid w:val="00C668EC"/>
    <w:rsid w:val="00C66B65"/>
    <w:rsid w:val="00C66F37"/>
    <w:rsid w:val="00C66FA1"/>
    <w:rsid w:val="00C6768F"/>
    <w:rsid w:val="00C67B68"/>
    <w:rsid w:val="00C67C27"/>
    <w:rsid w:val="00C7007C"/>
    <w:rsid w:val="00C70796"/>
    <w:rsid w:val="00C7081B"/>
    <w:rsid w:val="00C71084"/>
    <w:rsid w:val="00C71766"/>
    <w:rsid w:val="00C71FEA"/>
    <w:rsid w:val="00C722D1"/>
    <w:rsid w:val="00C722E3"/>
    <w:rsid w:val="00C725F6"/>
    <w:rsid w:val="00C72936"/>
    <w:rsid w:val="00C729D1"/>
    <w:rsid w:val="00C72C28"/>
    <w:rsid w:val="00C72FF5"/>
    <w:rsid w:val="00C73080"/>
    <w:rsid w:val="00C73A63"/>
    <w:rsid w:val="00C73F29"/>
    <w:rsid w:val="00C7403C"/>
    <w:rsid w:val="00C7471C"/>
    <w:rsid w:val="00C74781"/>
    <w:rsid w:val="00C74E1E"/>
    <w:rsid w:val="00C74F80"/>
    <w:rsid w:val="00C754AB"/>
    <w:rsid w:val="00C755E9"/>
    <w:rsid w:val="00C75877"/>
    <w:rsid w:val="00C760B5"/>
    <w:rsid w:val="00C76450"/>
    <w:rsid w:val="00C76777"/>
    <w:rsid w:val="00C76A6B"/>
    <w:rsid w:val="00C76EC9"/>
    <w:rsid w:val="00C77AB6"/>
    <w:rsid w:val="00C77ABB"/>
    <w:rsid w:val="00C80390"/>
    <w:rsid w:val="00C80AB3"/>
    <w:rsid w:val="00C80CD1"/>
    <w:rsid w:val="00C814C5"/>
    <w:rsid w:val="00C818B5"/>
    <w:rsid w:val="00C81A58"/>
    <w:rsid w:val="00C81A8F"/>
    <w:rsid w:val="00C81AE5"/>
    <w:rsid w:val="00C81D7C"/>
    <w:rsid w:val="00C82050"/>
    <w:rsid w:val="00C824F1"/>
    <w:rsid w:val="00C82B65"/>
    <w:rsid w:val="00C82D06"/>
    <w:rsid w:val="00C82FD0"/>
    <w:rsid w:val="00C831FC"/>
    <w:rsid w:val="00C834CC"/>
    <w:rsid w:val="00C83ACC"/>
    <w:rsid w:val="00C848AC"/>
    <w:rsid w:val="00C849F4"/>
    <w:rsid w:val="00C84A6B"/>
    <w:rsid w:val="00C84AED"/>
    <w:rsid w:val="00C850E6"/>
    <w:rsid w:val="00C8516C"/>
    <w:rsid w:val="00C854E0"/>
    <w:rsid w:val="00C85570"/>
    <w:rsid w:val="00C85714"/>
    <w:rsid w:val="00C85C31"/>
    <w:rsid w:val="00C85D65"/>
    <w:rsid w:val="00C861FE"/>
    <w:rsid w:val="00C866FB"/>
    <w:rsid w:val="00C8681C"/>
    <w:rsid w:val="00C86D74"/>
    <w:rsid w:val="00C86D94"/>
    <w:rsid w:val="00C86EA7"/>
    <w:rsid w:val="00C87BD9"/>
    <w:rsid w:val="00C9015B"/>
    <w:rsid w:val="00C9018D"/>
    <w:rsid w:val="00C90F2D"/>
    <w:rsid w:val="00C92100"/>
    <w:rsid w:val="00C922E0"/>
    <w:rsid w:val="00C92489"/>
    <w:rsid w:val="00C927D1"/>
    <w:rsid w:val="00C929D7"/>
    <w:rsid w:val="00C92C30"/>
    <w:rsid w:val="00C937E3"/>
    <w:rsid w:val="00C94804"/>
    <w:rsid w:val="00C94EDC"/>
    <w:rsid w:val="00C9505D"/>
    <w:rsid w:val="00C95C01"/>
    <w:rsid w:val="00C95D44"/>
    <w:rsid w:val="00C95E92"/>
    <w:rsid w:val="00C9619A"/>
    <w:rsid w:val="00C969AD"/>
    <w:rsid w:val="00C96B1E"/>
    <w:rsid w:val="00C96E96"/>
    <w:rsid w:val="00C96EE0"/>
    <w:rsid w:val="00C9726A"/>
    <w:rsid w:val="00C973ED"/>
    <w:rsid w:val="00C97990"/>
    <w:rsid w:val="00C979D9"/>
    <w:rsid w:val="00C97C3E"/>
    <w:rsid w:val="00CA0B3D"/>
    <w:rsid w:val="00CA0BC4"/>
    <w:rsid w:val="00CA1257"/>
    <w:rsid w:val="00CA13D1"/>
    <w:rsid w:val="00CA19F4"/>
    <w:rsid w:val="00CA23F8"/>
    <w:rsid w:val="00CA2554"/>
    <w:rsid w:val="00CA268A"/>
    <w:rsid w:val="00CA2DB6"/>
    <w:rsid w:val="00CA305F"/>
    <w:rsid w:val="00CA30DD"/>
    <w:rsid w:val="00CA3142"/>
    <w:rsid w:val="00CA31C4"/>
    <w:rsid w:val="00CA331C"/>
    <w:rsid w:val="00CA3917"/>
    <w:rsid w:val="00CA3CA7"/>
    <w:rsid w:val="00CA3D2E"/>
    <w:rsid w:val="00CA4493"/>
    <w:rsid w:val="00CA4A1C"/>
    <w:rsid w:val="00CA4AD6"/>
    <w:rsid w:val="00CA4B04"/>
    <w:rsid w:val="00CA4E86"/>
    <w:rsid w:val="00CA4E8A"/>
    <w:rsid w:val="00CA5181"/>
    <w:rsid w:val="00CA58FF"/>
    <w:rsid w:val="00CA61A9"/>
    <w:rsid w:val="00CA6496"/>
    <w:rsid w:val="00CA675A"/>
    <w:rsid w:val="00CA6912"/>
    <w:rsid w:val="00CA6C94"/>
    <w:rsid w:val="00CA6E2D"/>
    <w:rsid w:val="00CA73FC"/>
    <w:rsid w:val="00CA7583"/>
    <w:rsid w:val="00CA7746"/>
    <w:rsid w:val="00CA7CB7"/>
    <w:rsid w:val="00CA7E96"/>
    <w:rsid w:val="00CB011C"/>
    <w:rsid w:val="00CB0527"/>
    <w:rsid w:val="00CB06E8"/>
    <w:rsid w:val="00CB09E3"/>
    <w:rsid w:val="00CB0FC0"/>
    <w:rsid w:val="00CB115A"/>
    <w:rsid w:val="00CB16FC"/>
    <w:rsid w:val="00CB1876"/>
    <w:rsid w:val="00CB19D7"/>
    <w:rsid w:val="00CB19D9"/>
    <w:rsid w:val="00CB1A55"/>
    <w:rsid w:val="00CB223F"/>
    <w:rsid w:val="00CB235F"/>
    <w:rsid w:val="00CB23B1"/>
    <w:rsid w:val="00CB2686"/>
    <w:rsid w:val="00CB2934"/>
    <w:rsid w:val="00CB3075"/>
    <w:rsid w:val="00CB3A6B"/>
    <w:rsid w:val="00CB3B92"/>
    <w:rsid w:val="00CB4799"/>
    <w:rsid w:val="00CB4856"/>
    <w:rsid w:val="00CB4AEA"/>
    <w:rsid w:val="00CB57DE"/>
    <w:rsid w:val="00CB57EB"/>
    <w:rsid w:val="00CB5AF5"/>
    <w:rsid w:val="00CB5BD8"/>
    <w:rsid w:val="00CB5D5D"/>
    <w:rsid w:val="00CB5F84"/>
    <w:rsid w:val="00CB60FF"/>
    <w:rsid w:val="00CB65FC"/>
    <w:rsid w:val="00CB67EC"/>
    <w:rsid w:val="00CB6D0A"/>
    <w:rsid w:val="00CB7068"/>
    <w:rsid w:val="00CC01CA"/>
    <w:rsid w:val="00CC063A"/>
    <w:rsid w:val="00CC096C"/>
    <w:rsid w:val="00CC0A7C"/>
    <w:rsid w:val="00CC0BA2"/>
    <w:rsid w:val="00CC1079"/>
    <w:rsid w:val="00CC150A"/>
    <w:rsid w:val="00CC1716"/>
    <w:rsid w:val="00CC1A24"/>
    <w:rsid w:val="00CC1ACC"/>
    <w:rsid w:val="00CC1BBB"/>
    <w:rsid w:val="00CC1D1E"/>
    <w:rsid w:val="00CC1DE9"/>
    <w:rsid w:val="00CC20B6"/>
    <w:rsid w:val="00CC22CC"/>
    <w:rsid w:val="00CC23BA"/>
    <w:rsid w:val="00CC2486"/>
    <w:rsid w:val="00CC2C21"/>
    <w:rsid w:val="00CC2FFF"/>
    <w:rsid w:val="00CC3606"/>
    <w:rsid w:val="00CC376D"/>
    <w:rsid w:val="00CC3EA2"/>
    <w:rsid w:val="00CC3F86"/>
    <w:rsid w:val="00CC40F2"/>
    <w:rsid w:val="00CC4FB7"/>
    <w:rsid w:val="00CC547F"/>
    <w:rsid w:val="00CC5939"/>
    <w:rsid w:val="00CC5E20"/>
    <w:rsid w:val="00CC5F01"/>
    <w:rsid w:val="00CC6217"/>
    <w:rsid w:val="00CC62E8"/>
    <w:rsid w:val="00CC6774"/>
    <w:rsid w:val="00CC6D42"/>
    <w:rsid w:val="00CC764A"/>
    <w:rsid w:val="00CC7F9B"/>
    <w:rsid w:val="00CD03F4"/>
    <w:rsid w:val="00CD0549"/>
    <w:rsid w:val="00CD05DE"/>
    <w:rsid w:val="00CD0E41"/>
    <w:rsid w:val="00CD1455"/>
    <w:rsid w:val="00CD150E"/>
    <w:rsid w:val="00CD192D"/>
    <w:rsid w:val="00CD275A"/>
    <w:rsid w:val="00CD2A63"/>
    <w:rsid w:val="00CD32DB"/>
    <w:rsid w:val="00CD33FB"/>
    <w:rsid w:val="00CD36FE"/>
    <w:rsid w:val="00CD38C6"/>
    <w:rsid w:val="00CD43CF"/>
    <w:rsid w:val="00CD460A"/>
    <w:rsid w:val="00CD4BD8"/>
    <w:rsid w:val="00CD4FDA"/>
    <w:rsid w:val="00CD508A"/>
    <w:rsid w:val="00CD5B7B"/>
    <w:rsid w:val="00CD5C31"/>
    <w:rsid w:val="00CD6598"/>
    <w:rsid w:val="00CD6D09"/>
    <w:rsid w:val="00CD7101"/>
    <w:rsid w:val="00CD7606"/>
    <w:rsid w:val="00CD766A"/>
    <w:rsid w:val="00CD7893"/>
    <w:rsid w:val="00CD7983"/>
    <w:rsid w:val="00CE00F0"/>
    <w:rsid w:val="00CE0260"/>
    <w:rsid w:val="00CE031F"/>
    <w:rsid w:val="00CE0891"/>
    <w:rsid w:val="00CE091C"/>
    <w:rsid w:val="00CE0EC9"/>
    <w:rsid w:val="00CE114B"/>
    <w:rsid w:val="00CE1393"/>
    <w:rsid w:val="00CE1703"/>
    <w:rsid w:val="00CE17BE"/>
    <w:rsid w:val="00CE1D7B"/>
    <w:rsid w:val="00CE2090"/>
    <w:rsid w:val="00CE20D1"/>
    <w:rsid w:val="00CE2898"/>
    <w:rsid w:val="00CE2A40"/>
    <w:rsid w:val="00CE2D90"/>
    <w:rsid w:val="00CE3187"/>
    <w:rsid w:val="00CE3546"/>
    <w:rsid w:val="00CE3F19"/>
    <w:rsid w:val="00CE3F4F"/>
    <w:rsid w:val="00CE428B"/>
    <w:rsid w:val="00CE476B"/>
    <w:rsid w:val="00CE4860"/>
    <w:rsid w:val="00CE4959"/>
    <w:rsid w:val="00CE4ECD"/>
    <w:rsid w:val="00CE52CB"/>
    <w:rsid w:val="00CE5C99"/>
    <w:rsid w:val="00CE5D93"/>
    <w:rsid w:val="00CE5F87"/>
    <w:rsid w:val="00CE6008"/>
    <w:rsid w:val="00CE66E5"/>
    <w:rsid w:val="00CE71A0"/>
    <w:rsid w:val="00CE7285"/>
    <w:rsid w:val="00CE72CE"/>
    <w:rsid w:val="00CE731D"/>
    <w:rsid w:val="00CE7630"/>
    <w:rsid w:val="00CE771B"/>
    <w:rsid w:val="00CE7762"/>
    <w:rsid w:val="00CE78C9"/>
    <w:rsid w:val="00CE796D"/>
    <w:rsid w:val="00CE7DCA"/>
    <w:rsid w:val="00CF0B3B"/>
    <w:rsid w:val="00CF0C08"/>
    <w:rsid w:val="00CF0CDE"/>
    <w:rsid w:val="00CF1843"/>
    <w:rsid w:val="00CF18AB"/>
    <w:rsid w:val="00CF2575"/>
    <w:rsid w:val="00CF2749"/>
    <w:rsid w:val="00CF2955"/>
    <w:rsid w:val="00CF2B13"/>
    <w:rsid w:val="00CF2DC0"/>
    <w:rsid w:val="00CF2E33"/>
    <w:rsid w:val="00CF3653"/>
    <w:rsid w:val="00CF39E4"/>
    <w:rsid w:val="00CF3BEF"/>
    <w:rsid w:val="00CF3C63"/>
    <w:rsid w:val="00CF3EED"/>
    <w:rsid w:val="00CF3F89"/>
    <w:rsid w:val="00CF4316"/>
    <w:rsid w:val="00CF4688"/>
    <w:rsid w:val="00CF4BFF"/>
    <w:rsid w:val="00CF4C74"/>
    <w:rsid w:val="00CF4EFF"/>
    <w:rsid w:val="00CF5057"/>
    <w:rsid w:val="00CF5093"/>
    <w:rsid w:val="00CF522E"/>
    <w:rsid w:val="00CF52BE"/>
    <w:rsid w:val="00CF5AA6"/>
    <w:rsid w:val="00CF5B2F"/>
    <w:rsid w:val="00CF5CE5"/>
    <w:rsid w:val="00CF5D1F"/>
    <w:rsid w:val="00CF6735"/>
    <w:rsid w:val="00CF67FD"/>
    <w:rsid w:val="00CF68F6"/>
    <w:rsid w:val="00CF6915"/>
    <w:rsid w:val="00CF6B8B"/>
    <w:rsid w:val="00CF6E31"/>
    <w:rsid w:val="00CF7239"/>
    <w:rsid w:val="00CF762C"/>
    <w:rsid w:val="00CF78A8"/>
    <w:rsid w:val="00CF7CAC"/>
    <w:rsid w:val="00CF7EE2"/>
    <w:rsid w:val="00CF7F61"/>
    <w:rsid w:val="00CF7FF0"/>
    <w:rsid w:val="00D005E4"/>
    <w:rsid w:val="00D00C55"/>
    <w:rsid w:val="00D00E6D"/>
    <w:rsid w:val="00D00F09"/>
    <w:rsid w:val="00D01086"/>
    <w:rsid w:val="00D0152D"/>
    <w:rsid w:val="00D01D78"/>
    <w:rsid w:val="00D01E41"/>
    <w:rsid w:val="00D021A0"/>
    <w:rsid w:val="00D02231"/>
    <w:rsid w:val="00D023D9"/>
    <w:rsid w:val="00D025CC"/>
    <w:rsid w:val="00D02B65"/>
    <w:rsid w:val="00D02BAD"/>
    <w:rsid w:val="00D02CEC"/>
    <w:rsid w:val="00D034B8"/>
    <w:rsid w:val="00D038E1"/>
    <w:rsid w:val="00D03C59"/>
    <w:rsid w:val="00D03FC1"/>
    <w:rsid w:val="00D041DD"/>
    <w:rsid w:val="00D047DD"/>
    <w:rsid w:val="00D048AF"/>
    <w:rsid w:val="00D0498C"/>
    <w:rsid w:val="00D049A0"/>
    <w:rsid w:val="00D04E80"/>
    <w:rsid w:val="00D04EC6"/>
    <w:rsid w:val="00D04EE3"/>
    <w:rsid w:val="00D05172"/>
    <w:rsid w:val="00D051D4"/>
    <w:rsid w:val="00D05497"/>
    <w:rsid w:val="00D054D5"/>
    <w:rsid w:val="00D0593F"/>
    <w:rsid w:val="00D065B8"/>
    <w:rsid w:val="00D065FC"/>
    <w:rsid w:val="00D066B7"/>
    <w:rsid w:val="00D06862"/>
    <w:rsid w:val="00D068E3"/>
    <w:rsid w:val="00D0692E"/>
    <w:rsid w:val="00D075BB"/>
    <w:rsid w:val="00D0767A"/>
    <w:rsid w:val="00D07853"/>
    <w:rsid w:val="00D07942"/>
    <w:rsid w:val="00D1043D"/>
    <w:rsid w:val="00D105B3"/>
    <w:rsid w:val="00D1061B"/>
    <w:rsid w:val="00D10E14"/>
    <w:rsid w:val="00D10F3B"/>
    <w:rsid w:val="00D117EC"/>
    <w:rsid w:val="00D11A1A"/>
    <w:rsid w:val="00D11D8D"/>
    <w:rsid w:val="00D120CD"/>
    <w:rsid w:val="00D1253D"/>
    <w:rsid w:val="00D1267C"/>
    <w:rsid w:val="00D12717"/>
    <w:rsid w:val="00D12DE2"/>
    <w:rsid w:val="00D12F4B"/>
    <w:rsid w:val="00D130B9"/>
    <w:rsid w:val="00D130ED"/>
    <w:rsid w:val="00D13180"/>
    <w:rsid w:val="00D13290"/>
    <w:rsid w:val="00D134E4"/>
    <w:rsid w:val="00D1363F"/>
    <w:rsid w:val="00D13648"/>
    <w:rsid w:val="00D1396E"/>
    <w:rsid w:val="00D140BA"/>
    <w:rsid w:val="00D14197"/>
    <w:rsid w:val="00D141F1"/>
    <w:rsid w:val="00D146DC"/>
    <w:rsid w:val="00D14964"/>
    <w:rsid w:val="00D14E0A"/>
    <w:rsid w:val="00D15068"/>
    <w:rsid w:val="00D15410"/>
    <w:rsid w:val="00D154F5"/>
    <w:rsid w:val="00D15AAC"/>
    <w:rsid w:val="00D16160"/>
    <w:rsid w:val="00D1638C"/>
    <w:rsid w:val="00D16A04"/>
    <w:rsid w:val="00D17019"/>
    <w:rsid w:val="00D204D2"/>
    <w:rsid w:val="00D20A77"/>
    <w:rsid w:val="00D20C43"/>
    <w:rsid w:val="00D20ECE"/>
    <w:rsid w:val="00D20F40"/>
    <w:rsid w:val="00D21C72"/>
    <w:rsid w:val="00D21EFD"/>
    <w:rsid w:val="00D21F25"/>
    <w:rsid w:val="00D21F80"/>
    <w:rsid w:val="00D222D9"/>
    <w:rsid w:val="00D2248D"/>
    <w:rsid w:val="00D2314E"/>
    <w:rsid w:val="00D231B8"/>
    <w:rsid w:val="00D23284"/>
    <w:rsid w:val="00D23356"/>
    <w:rsid w:val="00D23525"/>
    <w:rsid w:val="00D23B32"/>
    <w:rsid w:val="00D244D7"/>
    <w:rsid w:val="00D24651"/>
    <w:rsid w:val="00D246A6"/>
    <w:rsid w:val="00D246E3"/>
    <w:rsid w:val="00D24790"/>
    <w:rsid w:val="00D24A75"/>
    <w:rsid w:val="00D24A8C"/>
    <w:rsid w:val="00D24AE9"/>
    <w:rsid w:val="00D24B1E"/>
    <w:rsid w:val="00D25161"/>
    <w:rsid w:val="00D255B7"/>
    <w:rsid w:val="00D259E6"/>
    <w:rsid w:val="00D25A3E"/>
    <w:rsid w:val="00D25ACB"/>
    <w:rsid w:val="00D25CCF"/>
    <w:rsid w:val="00D262F2"/>
    <w:rsid w:val="00D268C2"/>
    <w:rsid w:val="00D26E32"/>
    <w:rsid w:val="00D271E1"/>
    <w:rsid w:val="00D27360"/>
    <w:rsid w:val="00D27391"/>
    <w:rsid w:val="00D274E9"/>
    <w:rsid w:val="00D27505"/>
    <w:rsid w:val="00D27A0F"/>
    <w:rsid w:val="00D27BB8"/>
    <w:rsid w:val="00D3038C"/>
    <w:rsid w:val="00D30E83"/>
    <w:rsid w:val="00D30F96"/>
    <w:rsid w:val="00D30F98"/>
    <w:rsid w:val="00D313F6"/>
    <w:rsid w:val="00D3158B"/>
    <w:rsid w:val="00D315DA"/>
    <w:rsid w:val="00D3163B"/>
    <w:rsid w:val="00D31CD8"/>
    <w:rsid w:val="00D31D66"/>
    <w:rsid w:val="00D3218F"/>
    <w:rsid w:val="00D325FC"/>
    <w:rsid w:val="00D328D6"/>
    <w:rsid w:val="00D32E33"/>
    <w:rsid w:val="00D33228"/>
    <w:rsid w:val="00D335E8"/>
    <w:rsid w:val="00D33769"/>
    <w:rsid w:val="00D337B9"/>
    <w:rsid w:val="00D337CD"/>
    <w:rsid w:val="00D3394B"/>
    <w:rsid w:val="00D33C89"/>
    <w:rsid w:val="00D34065"/>
    <w:rsid w:val="00D352D6"/>
    <w:rsid w:val="00D35328"/>
    <w:rsid w:val="00D354CD"/>
    <w:rsid w:val="00D35B04"/>
    <w:rsid w:val="00D35D22"/>
    <w:rsid w:val="00D3608D"/>
    <w:rsid w:val="00D36184"/>
    <w:rsid w:val="00D364D6"/>
    <w:rsid w:val="00D36B4D"/>
    <w:rsid w:val="00D36E7B"/>
    <w:rsid w:val="00D37361"/>
    <w:rsid w:val="00D3739C"/>
    <w:rsid w:val="00D373F3"/>
    <w:rsid w:val="00D374A4"/>
    <w:rsid w:val="00D37A7E"/>
    <w:rsid w:val="00D37B52"/>
    <w:rsid w:val="00D401B4"/>
    <w:rsid w:val="00D40341"/>
    <w:rsid w:val="00D40621"/>
    <w:rsid w:val="00D410E0"/>
    <w:rsid w:val="00D415CF"/>
    <w:rsid w:val="00D41A7F"/>
    <w:rsid w:val="00D41B8D"/>
    <w:rsid w:val="00D41D01"/>
    <w:rsid w:val="00D41E5A"/>
    <w:rsid w:val="00D41F1B"/>
    <w:rsid w:val="00D42472"/>
    <w:rsid w:val="00D42C15"/>
    <w:rsid w:val="00D42ECB"/>
    <w:rsid w:val="00D4365B"/>
    <w:rsid w:val="00D4378A"/>
    <w:rsid w:val="00D43D27"/>
    <w:rsid w:val="00D44408"/>
    <w:rsid w:val="00D445E2"/>
    <w:rsid w:val="00D44681"/>
    <w:rsid w:val="00D4495C"/>
    <w:rsid w:val="00D44A20"/>
    <w:rsid w:val="00D44B37"/>
    <w:rsid w:val="00D44C6B"/>
    <w:rsid w:val="00D44C8C"/>
    <w:rsid w:val="00D44E1A"/>
    <w:rsid w:val="00D45146"/>
    <w:rsid w:val="00D4535B"/>
    <w:rsid w:val="00D45396"/>
    <w:rsid w:val="00D455E6"/>
    <w:rsid w:val="00D455EC"/>
    <w:rsid w:val="00D45777"/>
    <w:rsid w:val="00D4586B"/>
    <w:rsid w:val="00D45B41"/>
    <w:rsid w:val="00D45C5F"/>
    <w:rsid w:val="00D46507"/>
    <w:rsid w:val="00D46E17"/>
    <w:rsid w:val="00D4731C"/>
    <w:rsid w:val="00D47CFC"/>
    <w:rsid w:val="00D47DC0"/>
    <w:rsid w:val="00D502AF"/>
    <w:rsid w:val="00D50A60"/>
    <w:rsid w:val="00D50C04"/>
    <w:rsid w:val="00D50D1A"/>
    <w:rsid w:val="00D511AF"/>
    <w:rsid w:val="00D51634"/>
    <w:rsid w:val="00D51862"/>
    <w:rsid w:val="00D518F5"/>
    <w:rsid w:val="00D5269C"/>
    <w:rsid w:val="00D52CD8"/>
    <w:rsid w:val="00D534AD"/>
    <w:rsid w:val="00D538E9"/>
    <w:rsid w:val="00D53F78"/>
    <w:rsid w:val="00D54530"/>
    <w:rsid w:val="00D545C0"/>
    <w:rsid w:val="00D54660"/>
    <w:rsid w:val="00D54B83"/>
    <w:rsid w:val="00D54E21"/>
    <w:rsid w:val="00D54F6B"/>
    <w:rsid w:val="00D56256"/>
    <w:rsid w:val="00D56599"/>
    <w:rsid w:val="00D5686E"/>
    <w:rsid w:val="00D56F0A"/>
    <w:rsid w:val="00D57742"/>
    <w:rsid w:val="00D57AF8"/>
    <w:rsid w:val="00D57E7F"/>
    <w:rsid w:val="00D604E8"/>
    <w:rsid w:val="00D60D9C"/>
    <w:rsid w:val="00D60DF2"/>
    <w:rsid w:val="00D60F11"/>
    <w:rsid w:val="00D61080"/>
    <w:rsid w:val="00D6134C"/>
    <w:rsid w:val="00D614F4"/>
    <w:rsid w:val="00D62686"/>
    <w:rsid w:val="00D62834"/>
    <w:rsid w:val="00D62A04"/>
    <w:rsid w:val="00D62C79"/>
    <w:rsid w:val="00D62CFF"/>
    <w:rsid w:val="00D63432"/>
    <w:rsid w:val="00D634A2"/>
    <w:rsid w:val="00D63778"/>
    <w:rsid w:val="00D63D4E"/>
    <w:rsid w:val="00D6430F"/>
    <w:rsid w:val="00D64C39"/>
    <w:rsid w:val="00D64D46"/>
    <w:rsid w:val="00D65630"/>
    <w:rsid w:val="00D65796"/>
    <w:rsid w:val="00D65C19"/>
    <w:rsid w:val="00D65FF6"/>
    <w:rsid w:val="00D661CB"/>
    <w:rsid w:val="00D67171"/>
    <w:rsid w:val="00D671BC"/>
    <w:rsid w:val="00D678EA"/>
    <w:rsid w:val="00D70044"/>
    <w:rsid w:val="00D702F1"/>
    <w:rsid w:val="00D703B3"/>
    <w:rsid w:val="00D7080B"/>
    <w:rsid w:val="00D7090D"/>
    <w:rsid w:val="00D709B0"/>
    <w:rsid w:val="00D70BD2"/>
    <w:rsid w:val="00D7108C"/>
    <w:rsid w:val="00D719A1"/>
    <w:rsid w:val="00D71DF5"/>
    <w:rsid w:val="00D71FFF"/>
    <w:rsid w:val="00D720BE"/>
    <w:rsid w:val="00D721D5"/>
    <w:rsid w:val="00D72296"/>
    <w:rsid w:val="00D72360"/>
    <w:rsid w:val="00D72584"/>
    <w:rsid w:val="00D72B4D"/>
    <w:rsid w:val="00D72C25"/>
    <w:rsid w:val="00D72CE9"/>
    <w:rsid w:val="00D72F3C"/>
    <w:rsid w:val="00D730B4"/>
    <w:rsid w:val="00D73602"/>
    <w:rsid w:val="00D73C66"/>
    <w:rsid w:val="00D73D35"/>
    <w:rsid w:val="00D74177"/>
    <w:rsid w:val="00D742A9"/>
    <w:rsid w:val="00D748E4"/>
    <w:rsid w:val="00D74D16"/>
    <w:rsid w:val="00D751D0"/>
    <w:rsid w:val="00D7530A"/>
    <w:rsid w:val="00D7539F"/>
    <w:rsid w:val="00D756E9"/>
    <w:rsid w:val="00D75B81"/>
    <w:rsid w:val="00D75E84"/>
    <w:rsid w:val="00D7632D"/>
    <w:rsid w:val="00D76701"/>
    <w:rsid w:val="00D7675C"/>
    <w:rsid w:val="00D76B1B"/>
    <w:rsid w:val="00D76B2F"/>
    <w:rsid w:val="00D76D1B"/>
    <w:rsid w:val="00D76E31"/>
    <w:rsid w:val="00D77124"/>
    <w:rsid w:val="00D77160"/>
    <w:rsid w:val="00D77745"/>
    <w:rsid w:val="00D777E4"/>
    <w:rsid w:val="00D77AF1"/>
    <w:rsid w:val="00D77B0C"/>
    <w:rsid w:val="00D80B2F"/>
    <w:rsid w:val="00D80CB3"/>
    <w:rsid w:val="00D80FB8"/>
    <w:rsid w:val="00D80FDB"/>
    <w:rsid w:val="00D81099"/>
    <w:rsid w:val="00D81110"/>
    <w:rsid w:val="00D8131A"/>
    <w:rsid w:val="00D81389"/>
    <w:rsid w:val="00D81C31"/>
    <w:rsid w:val="00D81C55"/>
    <w:rsid w:val="00D82280"/>
    <w:rsid w:val="00D82403"/>
    <w:rsid w:val="00D82D12"/>
    <w:rsid w:val="00D835C9"/>
    <w:rsid w:val="00D8371D"/>
    <w:rsid w:val="00D83ECC"/>
    <w:rsid w:val="00D83F3D"/>
    <w:rsid w:val="00D8537F"/>
    <w:rsid w:val="00D853B2"/>
    <w:rsid w:val="00D856C4"/>
    <w:rsid w:val="00D85B71"/>
    <w:rsid w:val="00D85C0B"/>
    <w:rsid w:val="00D86022"/>
    <w:rsid w:val="00D861C1"/>
    <w:rsid w:val="00D862AC"/>
    <w:rsid w:val="00D86AA3"/>
    <w:rsid w:val="00D86B8B"/>
    <w:rsid w:val="00D87170"/>
    <w:rsid w:val="00D87D67"/>
    <w:rsid w:val="00D9060D"/>
    <w:rsid w:val="00D907DB"/>
    <w:rsid w:val="00D90965"/>
    <w:rsid w:val="00D90A93"/>
    <w:rsid w:val="00D90B79"/>
    <w:rsid w:val="00D91296"/>
    <w:rsid w:val="00D9158B"/>
    <w:rsid w:val="00D915DC"/>
    <w:rsid w:val="00D91C8D"/>
    <w:rsid w:val="00D92503"/>
    <w:rsid w:val="00D92DB3"/>
    <w:rsid w:val="00D93AA3"/>
    <w:rsid w:val="00D93DC1"/>
    <w:rsid w:val="00D94306"/>
    <w:rsid w:val="00D9455B"/>
    <w:rsid w:val="00D9518E"/>
    <w:rsid w:val="00D95829"/>
    <w:rsid w:val="00D95CBB"/>
    <w:rsid w:val="00D95CFE"/>
    <w:rsid w:val="00D95E78"/>
    <w:rsid w:val="00D95FC0"/>
    <w:rsid w:val="00D962C4"/>
    <w:rsid w:val="00D964CF"/>
    <w:rsid w:val="00D96D5E"/>
    <w:rsid w:val="00D96EA2"/>
    <w:rsid w:val="00D96F3A"/>
    <w:rsid w:val="00D97544"/>
    <w:rsid w:val="00D977AE"/>
    <w:rsid w:val="00D97AB2"/>
    <w:rsid w:val="00D97B71"/>
    <w:rsid w:val="00DA03A4"/>
    <w:rsid w:val="00DA0519"/>
    <w:rsid w:val="00DA06ED"/>
    <w:rsid w:val="00DA12AB"/>
    <w:rsid w:val="00DA14F5"/>
    <w:rsid w:val="00DA18CB"/>
    <w:rsid w:val="00DA18E1"/>
    <w:rsid w:val="00DA1F11"/>
    <w:rsid w:val="00DA2708"/>
    <w:rsid w:val="00DA2D00"/>
    <w:rsid w:val="00DA2D8D"/>
    <w:rsid w:val="00DA2E22"/>
    <w:rsid w:val="00DA2E54"/>
    <w:rsid w:val="00DA3645"/>
    <w:rsid w:val="00DA3719"/>
    <w:rsid w:val="00DA3D34"/>
    <w:rsid w:val="00DA3DF1"/>
    <w:rsid w:val="00DA3F9D"/>
    <w:rsid w:val="00DA438B"/>
    <w:rsid w:val="00DA4A64"/>
    <w:rsid w:val="00DA4F81"/>
    <w:rsid w:val="00DA5554"/>
    <w:rsid w:val="00DA5778"/>
    <w:rsid w:val="00DA5D5C"/>
    <w:rsid w:val="00DA5FD5"/>
    <w:rsid w:val="00DA6433"/>
    <w:rsid w:val="00DA663A"/>
    <w:rsid w:val="00DA67AA"/>
    <w:rsid w:val="00DA6BF4"/>
    <w:rsid w:val="00DA710E"/>
    <w:rsid w:val="00DA7916"/>
    <w:rsid w:val="00DA7ABE"/>
    <w:rsid w:val="00DA7CB9"/>
    <w:rsid w:val="00DA7E72"/>
    <w:rsid w:val="00DB0889"/>
    <w:rsid w:val="00DB0CDD"/>
    <w:rsid w:val="00DB0F76"/>
    <w:rsid w:val="00DB1843"/>
    <w:rsid w:val="00DB18CB"/>
    <w:rsid w:val="00DB1B96"/>
    <w:rsid w:val="00DB1F39"/>
    <w:rsid w:val="00DB2B80"/>
    <w:rsid w:val="00DB2D45"/>
    <w:rsid w:val="00DB2FCF"/>
    <w:rsid w:val="00DB3060"/>
    <w:rsid w:val="00DB3168"/>
    <w:rsid w:val="00DB3724"/>
    <w:rsid w:val="00DB382D"/>
    <w:rsid w:val="00DB3A7A"/>
    <w:rsid w:val="00DB401B"/>
    <w:rsid w:val="00DB4442"/>
    <w:rsid w:val="00DB44D4"/>
    <w:rsid w:val="00DB453F"/>
    <w:rsid w:val="00DB45B3"/>
    <w:rsid w:val="00DB470D"/>
    <w:rsid w:val="00DB50C8"/>
    <w:rsid w:val="00DB56B8"/>
    <w:rsid w:val="00DB572B"/>
    <w:rsid w:val="00DB62AA"/>
    <w:rsid w:val="00DB692B"/>
    <w:rsid w:val="00DB693B"/>
    <w:rsid w:val="00DB6C04"/>
    <w:rsid w:val="00DB6D24"/>
    <w:rsid w:val="00DB713D"/>
    <w:rsid w:val="00DB72C5"/>
    <w:rsid w:val="00DB7539"/>
    <w:rsid w:val="00DB76A9"/>
    <w:rsid w:val="00DB7843"/>
    <w:rsid w:val="00DB7AED"/>
    <w:rsid w:val="00DB7E5C"/>
    <w:rsid w:val="00DC00E8"/>
    <w:rsid w:val="00DC0141"/>
    <w:rsid w:val="00DC0196"/>
    <w:rsid w:val="00DC05FF"/>
    <w:rsid w:val="00DC112E"/>
    <w:rsid w:val="00DC195E"/>
    <w:rsid w:val="00DC1A37"/>
    <w:rsid w:val="00DC1B69"/>
    <w:rsid w:val="00DC2276"/>
    <w:rsid w:val="00DC2688"/>
    <w:rsid w:val="00DC276E"/>
    <w:rsid w:val="00DC27EB"/>
    <w:rsid w:val="00DC2F56"/>
    <w:rsid w:val="00DC335F"/>
    <w:rsid w:val="00DC3922"/>
    <w:rsid w:val="00DC3C00"/>
    <w:rsid w:val="00DC3C47"/>
    <w:rsid w:val="00DC3CFB"/>
    <w:rsid w:val="00DC3FB7"/>
    <w:rsid w:val="00DC4369"/>
    <w:rsid w:val="00DC45BC"/>
    <w:rsid w:val="00DC4AF5"/>
    <w:rsid w:val="00DC5081"/>
    <w:rsid w:val="00DC51BC"/>
    <w:rsid w:val="00DC52F6"/>
    <w:rsid w:val="00DC53A6"/>
    <w:rsid w:val="00DC54A7"/>
    <w:rsid w:val="00DC55D8"/>
    <w:rsid w:val="00DC60B6"/>
    <w:rsid w:val="00DC63C1"/>
    <w:rsid w:val="00DC64DF"/>
    <w:rsid w:val="00DC6F77"/>
    <w:rsid w:val="00DC7003"/>
    <w:rsid w:val="00DC7BB6"/>
    <w:rsid w:val="00DD0149"/>
    <w:rsid w:val="00DD053A"/>
    <w:rsid w:val="00DD0BCE"/>
    <w:rsid w:val="00DD0E40"/>
    <w:rsid w:val="00DD14CE"/>
    <w:rsid w:val="00DD1660"/>
    <w:rsid w:val="00DD16AC"/>
    <w:rsid w:val="00DD1833"/>
    <w:rsid w:val="00DD1919"/>
    <w:rsid w:val="00DD207E"/>
    <w:rsid w:val="00DD23C6"/>
    <w:rsid w:val="00DD2577"/>
    <w:rsid w:val="00DD2E56"/>
    <w:rsid w:val="00DD3055"/>
    <w:rsid w:val="00DD33F7"/>
    <w:rsid w:val="00DD37B6"/>
    <w:rsid w:val="00DD437B"/>
    <w:rsid w:val="00DD46C5"/>
    <w:rsid w:val="00DD49B5"/>
    <w:rsid w:val="00DD4BA7"/>
    <w:rsid w:val="00DD5987"/>
    <w:rsid w:val="00DD5C40"/>
    <w:rsid w:val="00DD6157"/>
    <w:rsid w:val="00DD65F0"/>
    <w:rsid w:val="00DD6798"/>
    <w:rsid w:val="00DD6856"/>
    <w:rsid w:val="00DD68AB"/>
    <w:rsid w:val="00DD6902"/>
    <w:rsid w:val="00DD6AD8"/>
    <w:rsid w:val="00DD70C4"/>
    <w:rsid w:val="00DD710B"/>
    <w:rsid w:val="00DD71C6"/>
    <w:rsid w:val="00DD7B9D"/>
    <w:rsid w:val="00DD7D1A"/>
    <w:rsid w:val="00DD7D28"/>
    <w:rsid w:val="00DD7D46"/>
    <w:rsid w:val="00DD7DD3"/>
    <w:rsid w:val="00DD7FB9"/>
    <w:rsid w:val="00DE0081"/>
    <w:rsid w:val="00DE0457"/>
    <w:rsid w:val="00DE0811"/>
    <w:rsid w:val="00DE0A99"/>
    <w:rsid w:val="00DE0F09"/>
    <w:rsid w:val="00DE0F99"/>
    <w:rsid w:val="00DE1344"/>
    <w:rsid w:val="00DE1DBE"/>
    <w:rsid w:val="00DE2105"/>
    <w:rsid w:val="00DE25AE"/>
    <w:rsid w:val="00DE295B"/>
    <w:rsid w:val="00DE2FD3"/>
    <w:rsid w:val="00DE317B"/>
    <w:rsid w:val="00DE32A0"/>
    <w:rsid w:val="00DE3417"/>
    <w:rsid w:val="00DE394B"/>
    <w:rsid w:val="00DE4426"/>
    <w:rsid w:val="00DE457F"/>
    <w:rsid w:val="00DE4BED"/>
    <w:rsid w:val="00DE4D0E"/>
    <w:rsid w:val="00DE4EA5"/>
    <w:rsid w:val="00DE523E"/>
    <w:rsid w:val="00DE5B20"/>
    <w:rsid w:val="00DE5CF8"/>
    <w:rsid w:val="00DE60E5"/>
    <w:rsid w:val="00DE6436"/>
    <w:rsid w:val="00DE667A"/>
    <w:rsid w:val="00DE6894"/>
    <w:rsid w:val="00DE68AE"/>
    <w:rsid w:val="00DE6F9F"/>
    <w:rsid w:val="00DE72E5"/>
    <w:rsid w:val="00DE767C"/>
    <w:rsid w:val="00DF136C"/>
    <w:rsid w:val="00DF157D"/>
    <w:rsid w:val="00DF1C34"/>
    <w:rsid w:val="00DF22B2"/>
    <w:rsid w:val="00DF23DD"/>
    <w:rsid w:val="00DF266B"/>
    <w:rsid w:val="00DF26F1"/>
    <w:rsid w:val="00DF2C08"/>
    <w:rsid w:val="00DF2EC3"/>
    <w:rsid w:val="00DF3059"/>
    <w:rsid w:val="00DF39AA"/>
    <w:rsid w:val="00DF3AA5"/>
    <w:rsid w:val="00DF4117"/>
    <w:rsid w:val="00DF47A3"/>
    <w:rsid w:val="00DF4912"/>
    <w:rsid w:val="00DF4994"/>
    <w:rsid w:val="00DF4D8C"/>
    <w:rsid w:val="00DF5406"/>
    <w:rsid w:val="00DF595A"/>
    <w:rsid w:val="00DF63F1"/>
    <w:rsid w:val="00DF6518"/>
    <w:rsid w:val="00DF6583"/>
    <w:rsid w:val="00DF69F5"/>
    <w:rsid w:val="00DF6ACB"/>
    <w:rsid w:val="00DF6D79"/>
    <w:rsid w:val="00DF6E44"/>
    <w:rsid w:val="00DF6F7C"/>
    <w:rsid w:val="00DF7167"/>
    <w:rsid w:val="00DF7351"/>
    <w:rsid w:val="00DF7621"/>
    <w:rsid w:val="00DF7D35"/>
    <w:rsid w:val="00E00636"/>
    <w:rsid w:val="00E0113A"/>
    <w:rsid w:val="00E011B2"/>
    <w:rsid w:val="00E011D0"/>
    <w:rsid w:val="00E01302"/>
    <w:rsid w:val="00E02065"/>
    <w:rsid w:val="00E03084"/>
    <w:rsid w:val="00E03145"/>
    <w:rsid w:val="00E032DD"/>
    <w:rsid w:val="00E03B18"/>
    <w:rsid w:val="00E03FDF"/>
    <w:rsid w:val="00E049A6"/>
    <w:rsid w:val="00E04A98"/>
    <w:rsid w:val="00E04D13"/>
    <w:rsid w:val="00E04DA2"/>
    <w:rsid w:val="00E04E14"/>
    <w:rsid w:val="00E05675"/>
    <w:rsid w:val="00E05A81"/>
    <w:rsid w:val="00E05DAC"/>
    <w:rsid w:val="00E0629B"/>
    <w:rsid w:val="00E0650A"/>
    <w:rsid w:val="00E06B4E"/>
    <w:rsid w:val="00E06B52"/>
    <w:rsid w:val="00E06F00"/>
    <w:rsid w:val="00E07056"/>
    <w:rsid w:val="00E07613"/>
    <w:rsid w:val="00E1021F"/>
    <w:rsid w:val="00E10D7A"/>
    <w:rsid w:val="00E10E24"/>
    <w:rsid w:val="00E10E59"/>
    <w:rsid w:val="00E1151E"/>
    <w:rsid w:val="00E11F2D"/>
    <w:rsid w:val="00E122E6"/>
    <w:rsid w:val="00E12746"/>
    <w:rsid w:val="00E12AD1"/>
    <w:rsid w:val="00E13161"/>
    <w:rsid w:val="00E13297"/>
    <w:rsid w:val="00E132DE"/>
    <w:rsid w:val="00E133A9"/>
    <w:rsid w:val="00E13A54"/>
    <w:rsid w:val="00E13BED"/>
    <w:rsid w:val="00E13E21"/>
    <w:rsid w:val="00E13FE4"/>
    <w:rsid w:val="00E150CF"/>
    <w:rsid w:val="00E15168"/>
    <w:rsid w:val="00E151FE"/>
    <w:rsid w:val="00E15344"/>
    <w:rsid w:val="00E1546C"/>
    <w:rsid w:val="00E1553F"/>
    <w:rsid w:val="00E15714"/>
    <w:rsid w:val="00E15EBF"/>
    <w:rsid w:val="00E16CB8"/>
    <w:rsid w:val="00E16D7B"/>
    <w:rsid w:val="00E16F53"/>
    <w:rsid w:val="00E17314"/>
    <w:rsid w:val="00E173B7"/>
    <w:rsid w:val="00E17518"/>
    <w:rsid w:val="00E175E4"/>
    <w:rsid w:val="00E17CD8"/>
    <w:rsid w:val="00E2025B"/>
    <w:rsid w:val="00E20517"/>
    <w:rsid w:val="00E2079E"/>
    <w:rsid w:val="00E20E0B"/>
    <w:rsid w:val="00E20EE0"/>
    <w:rsid w:val="00E20F7D"/>
    <w:rsid w:val="00E20FAA"/>
    <w:rsid w:val="00E210A4"/>
    <w:rsid w:val="00E21191"/>
    <w:rsid w:val="00E212D9"/>
    <w:rsid w:val="00E212E0"/>
    <w:rsid w:val="00E21652"/>
    <w:rsid w:val="00E21C4C"/>
    <w:rsid w:val="00E21D0E"/>
    <w:rsid w:val="00E22D1F"/>
    <w:rsid w:val="00E22FFD"/>
    <w:rsid w:val="00E231BE"/>
    <w:rsid w:val="00E232CC"/>
    <w:rsid w:val="00E23596"/>
    <w:rsid w:val="00E23925"/>
    <w:rsid w:val="00E2393E"/>
    <w:rsid w:val="00E23EF4"/>
    <w:rsid w:val="00E23FDB"/>
    <w:rsid w:val="00E242CC"/>
    <w:rsid w:val="00E2438B"/>
    <w:rsid w:val="00E2444C"/>
    <w:rsid w:val="00E245FC"/>
    <w:rsid w:val="00E24B54"/>
    <w:rsid w:val="00E24BB8"/>
    <w:rsid w:val="00E24EF4"/>
    <w:rsid w:val="00E24F09"/>
    <w:rsid w:val="00E25566"/>
    <w:rsid w:val="00E25643"/>
    <w:rsid w:val="00E260C4"/>
    <w:rsid w:val="00E26611"/>
    <w:rsid w:val="00E26631"/>
    <w:rsid w:val="00E26931"/>
    <w:rsid w:val="00E27BCF"/>
    <w:rsid w:val="00E27C28"/>
    <w:rsid w:val="00E27F3A"/>
    <w:rsid w:val="00E27F5E"/>
    <w:rsid w:val="00E27FB4"/>
    <w:rsid w:val="00E307B2"/>
    <w:rsid w:val="00E30869"/>
    <w:rsid w:val="00E30CA2"/>
    <w:rsid w:val="00E313E6"/>
    <w:rsid w:val="00E314EB"/>
    <w:rsid w:val="00E315FD"/>
    <w:rsid w:val="00E31D4E"/>
    <w:rsid w:val="00E32018"/>
    <w:rsid w:val="00E32175"/>
    <w:rsid w:val="00E3295E"/>
    <w:rsid w:val="00E32963"/>
    <w:rsid w:val="00E32FF6"/>
    <w:rsid w:val="00E33128"/>
    <w:rsid w:val="00E33164"/>
    <w:rsid w:val="00E33553"/>
    <w:rsid w:val="00E33A61"/>
    <w:rsid w:val="00E33E73"/>
    <w:rsid w:val="00E34341"/>
    <w:rsid w:val="00E34B2B"/>
    <w:rsid w:val="00E34B93"/>
    <w:rsid w:val="00E34B9D"/>
    <w:rsid w:val="00E353C4"/>
    <w:rsid w:val="00E35492"/>
    <w:rsid w:val="00E3553F"/>
    <w:rsid w:val="00E35572"/>
    <w:rsid w:val="00E35804"/>
    <w:rsid w:val="00E360B5"/>
    <w:rsid w:val="00E36458"/>
    <w:rsid w:val="00E36459"/>
    <w:rsid w:val="00E36CA7"/>
    <w:rsid w:val="00E36CEA"/>
    <w:rsid w:val="00E37084"/>
    <w:rsid w:val="00E37B8E"/>
    <w:rsid w:val="00E40606"/>
    <w:rsid w:val="00E40D27"/>
    <w:rsid w:val="00E41479"/>
    <w:rsid w:val="00E417F6"/>
    <w:rsid w:val="00E418E5"/>
    <w:rsid w:val="00E41CB3"/>
    <w:rsid w:val="00E41EAA"/>
    <w:rsid w:val="00E424C9"/>
    <w:rsid w:val="00E424E8"/>
    <w:rsid w:val="00E42569"/>
    <w:rsid w:val="00E42700"/>
    <w:rsid w:val="00E43084"/>
    <w:rsid w:val="00E431E6"/>
    <w:rsid w:val="00E43384"/>
    <w:rsid w:val="00E43639"/>
    <w:rsid w:val="00E43742"/>
    <w:rsid w:val="00E438D6"/>
    <w:rsid w:val="00E43C46"/>
    <w:rsid w:val="00E447A8"/>
    <w:rsid w:val="00E448D0"/>
    <w:rsid w:val="00E44D6F"/>
    <w:rsid w:val="00E45002"/>
    <w:rsid w:val="00E45C11"/>
    <w:rsid w:val="00E45C4F"/>
    <w:rsid w:val="00E45E3F"/>
    <w:rsid w:val="00E46172"/>
    <w:rsid w:val="00E46B11"/>
    <w:rsid w:val="00E47423"/>
    <w:rsid w:val="00E478C2"/>
    <w:rsid w:val="00E47CCA"/>
    <w:rsid w:val="00E47E32"/>
    <w:rsid w:val="00E5016B"/>
    <w:rsid w:val="00E5035F"/>
    <w:rsid w:val="00E50365"/>
    <w:rsid w:val="00E508A7"/>
    <w:rsid w:val="00E50A0C"/>
    <w:rsid w:val="00E50B06"/>
    <w:rsid w:val="00E50C37"/>
    <w:rsid w:val="00E51328"/>
    <w:rsid w:val="00E517EE"/>
    <w:rsid w:val="00E51911"/>
    <w:rsid w:val="00E51A0D"/>
    <w:rsid w:val="00E51EB8"/>
    <w:rsid w:val="00E52055"/>
    <w:rsid w:val="00E52262"/>
    <w:rsid w:val="00E525BB"/>
    <w:rsid w:val="00E52653"/>
    <w:rsid w:val="00E52EEB"/>
    <w:rsid w:val="00E531B3"/>
    <w:rsid w:val="00E536C2"/>
    <w:rsid w:val="00E53799"/>
    <w:rsid w:val="00E53D53"/>
    <w:rsid w:val="00E540AE"/>
    <w:rsid w:val="00E5438A"/>
    <w:rsid w:val="00E54514"/>
    <w:rsid w:val="00E5476B"/>
    <w:rsid w:val="00E5544A"/>
    <w:rsid w:val="00E554B2"/>
    <w:rsid w:val="00E556B0"/>
    <w:rsid w:val="00E55EEC"/>
    <w:rsid w:val="00E55F4D"/>
    <w:rsid w:val="00E566FB"/>
    <w:rsid w:val="00E568C0"/>
    <w:rsid w:val="00E56BE0"/>
    <w:rsid w:val="00E571F1"/>
    <w:rsid w:val="00E573FF"/>
    <w:rsid w:val="00E5741A"/>
    <w:rsid w:val="00E5757C"/>
    <w:rsid w:val="00E576E3"/>
    <w:rsid w:val="00E57A2B"/>
    <w:rsid w:val="00E57E61"/>
    <w:rsid w:val="00E57F00"/>
    <w:rsid w:val="00E60386"/>
    <w:rsid w:val="00E603E8"/>
    <w:rsid w:val="00E60466"/>
    <w:rsid w:val="00E61453"/>
    <w:rsid w:val="00E6194B"/>
    <w:rsid w:val="00E6196C"/>
    <w:rsid w:val="00E620B4"/>
    <w:rsid w:val="00E623E6"/>
    <w:rsid w:val="00E62B07"/>
    <w:rsid w:val="00E62E8B"/>
    <w:rsid w:val="00E62F93"/>
    <w:rsid w:val="00E6319D"/>
    <w:rsid w:val="00E63880"/>
    <w:rsid w:val="00E63BFC"/>
    <w:rsid w:val="00E63D2A"/>
    <w:rsid w:val="00E63EE7"/>
    <w:rsid w:val="00E6400F"/>
    <w:rsid w:val="00E64091"/>
    <w:rsid w:val="00E641F4"/>
    <w:rsid w:val="00E64559"/>
    <w:rsid w:val="00E64986"/>
    <w:rsid w:val="00E64CE7"/>
    <w:rsid w:val="00E65135"/>
    <w:rsid w:val="00E6519B"/>
    <w:rsid w:val="00E65BC4"/>
    <w:rsid w:val="00E66A79"/>
    <w:rsid w:val="00E66AD0"/>
    <w:rsid w:val="00E66FF7"/>
    <w:rsid w:val="00E67329"/>
    <w:rsid w:val="00E67817"/>
    <w:rsid w:val="00E67A73"/>
    <w:rsid w:val="00E67ED2"/>
    <w:rsid w:val="00E7006E"/>
    <w:rsid w:val="00E70367"/>
    <w:rsid w:val="00E704F2"/>
    <w:rsid w:val="00E709C7"/>
    <w:rsid w:val="00E70A82"/>
    <w:rsid w:val="00E70A85"/>
    <w:rsid w:val="00E70E12"/>
    <w:rsid w:val="00E71184"/>
    <w:rsid w:val="00E71D74"/>
    <w:rsid w:val="00E71E24"/>
    <w:rsid w:val="00E7308C"/>
    <w:rsid w:val="00E7315D"/>
    <w:rsid w:val="00E735F7"/>
    <w:rsid w:val="00E7360A"/>
    <w:rsid w:val="00E73A31"/>
    <w:rsid w:val="00E73AD4"/>
    <w:rsid w:val="00E73B5E"/>
    <w:rsid w:val="00E740FF"/>
    <w:rsid w:val="00E741F6"/>
    <w:rsid w:val="00E7498D"/>
    <w:rsid w:val="00E74ADB"/>
    <w:rsid w:val="00E75143"/>
    <w:rsid w:val="00E75941"/>
    <w:rsid w:val="00E75E0E"/>
    <w:rsid w:val="00E75F5F"/>
    <w:rsid w:val="00E7610A"/>
    <w:rsid w:val="00E761AE"/>
    <w:rsid w:val="00E763CB"/>
    <w:rsid w:val="00E765A3"/>
    <w:rsid w:val="00E76971"/>
    <w:rsid w:val="00E76DA1"/>
    <w:rsid w:val="00E770B2"/>
    <w:rsid w:val="00E77142"/>
    <w:rsid w:val="00E7771D"/>
    <w:rsid w:val="00E7774A"/>
    <w:rsid w:val="00E777C0"/>
    <w:rsid w:val="00E77802"/>
    <w:rsid w:val="00E778F9"/>
    <w:rsid w:val="00E77C54"/>
    <w:rsid w:val="00E80A70"/>
    <w:rsid w:val="00E80FBC"/>
    <w:rsid w:val="00E814A6"/>
    <w:rsid w:val="00E819C0"/>
    <w:rsid w:val="00E81FE4"/>
    <w:rsid w:val="00E82190"/>
    <w:rsid w:val="00E82460"/>
    <w:rsid w:val="00E82480"/>
    <w:rsid w:val="00E826A5"/>
    <w:rsid w:val="00E82C75"/>
    <w:rsid w:val="00E82E8B"/>
    <w:rsid w:val="00E836C7"/>
    <w:rsid w:val="00E836FB"/>
    <w:rsid w:val="00E83711"/>
    <w:rsid w:val="00E839CF"/>
    <w:rsid w:val="00E83D4E"/>
    <w:rsid w:val="00E83E89"/>
    <w:rsid w:val="00E840ED"/>
    <w:rsid w:val="00E840F0"/>
    <w:rsid w:val="00E84194"/>
    <w:rsid w:val="00E84263"/>
    <w:rsid w:val="00E844AC"/>
    <w:rsid w:val="00E84A0D"/>
    <w:rsid w:val="00E84C7B"/>
    <w:rsid w:val="00E84E47"/>
    <w:rsid w:val="00E852CB"/>
    <w:rsid w:val="00E85874"/>
    <w:rsid w:val="00E85ADA"/>
    <w:rsid w:val="00E85D30"/>
    <w:rsid w:val="00E85E1B"/>
    <w:rsid w:val="00E862DB"/>
    <w:rsid w:val="00E86DE1"/>
    <w:rsid w:val="00E8704B"/>
    <w:rsid w:val="00E8708A"/>
    <w:rsid w:val="00E87392"/>
    <w:rsid w:val="00E8765F"/>
    <w:rsid w:val="00E87664"/>
    <w:rsid w:val="00E87A99"/>
    <w:rsid w:val="00E87AD0"/>
    <w:rsid w:val="00E87C92"/>
    <w:rsid w:val="00E90D3B"/>
    <w:rsid w:val="00E9133C"/>
    <w:rsid w:val="00E917D6"/>
    <w:rsid w:val="00E91837"/>
    <w:rsid w:val="00E9187B"/>
    <w:rsid w:val="00E91943"/>
    <w:rsid w:val="00E91C6A"/>
    <w:rsid w:val="00E91FA5"/>
    <w:rsid w:val="00E92120"/>
    <w:rsid w:val="00E92213"/>
    <w:rsid w:val="00E929BB"/>
    <w:rsid w:val="00E92EF7"/>
    <w:rsid w:val="00E930BF"/>
    <w:rsid w:val="00E934C2"/>
    <w:rsid w:val="00E93566"/>
    <w:rsid w:val="00E93AC6"/>
    <w:rsid w:val="00E93BDC"/>
    <w:rsid w:val="00E943AC"/>
    <w:rsid w:val="00E945A3"/>
    <w:rsid w:val="00E948F7"/>
    <w:rsid w:val="00E94A5A"/>
    <w:rsid w:val="00E94CF7"/>
    <w:rsid w:val="00E95023"/>
    <w:rsid w:val="00E95062"/>
    <w:rsid w:val="00E95094"/>
    <w:rsid w:val="00E9526F"/>
    <w:rsid w:val="00E95299"/>
    <w:rsid w:val="00E956EA"/>
    <w:rsid w:val="00E96119"/>
    <w:rsid w:val="00E9635A"/>
    <w:rsid w:val="00E96A07"/>
    <w:rsid w:val="00E96F51"/>
    <w:rsid w:val="00E974E4"/>
    <w:rsid w:val="00E97637"/>
    <w:rsid w:val="00EA009C"/>
    <w:rsid w:val="00EA0643"/>
    <w:rsid w:val="00EA069A"/>
    <w:rsid w:val="00EA09B6"/>
    <w:rsid w:val="00EA0CF1"/>
    <w:rsid w:val="00EA0DA1"/>
    <w:rsid w:val="00EA0E20"/>
    <w:rsid w:val="00EA1763"/>
    <w:rsid w:val="00EA17D8"/>
    <w:rsid w:val="00EA1ECE"/>
    <w:rsid w:val="00EA1F74"/>
    <w:rsid w:val="00EA2466"/>
    <w:rsid w:val="00EA2539"/>
    <w:rsid w:val="00EA25A1"/>
    <w:rsid w:val="00EA2676"/>
    <w:rsid w:val="00EA28CF"/>
    <w:rsid w:val="00EA2923"/>
    <w:rsid w:val="00EA30E9"/>
    <w:rsid w:val="00EA342D"/>
    <w:rsid w:val="00EA38A5"/>
    <w:rsid w:val="00EA3AD3"/>
    <w:rsid w:val="00EA3E11"/>
    <w:rsid w:val="00EA40BC"/>
    <w:rsid w:val="00EA42FA"/>
    <w:rsid w:val="00EA4376"/>
    <w:rsid w:val="00EA45E8"/>
    <w:rsid w:val="00EA4B36"/>
    <w:rsid w:val="00EA4D57"/>
    <w:rsid w:val="00EA50A8"/>
    <w:rsid w:val="00EA5447"/>
    <w:rsid w:val="00EA599E"/>
    <w:rsid w:val="00EA5A62"/>
    <w:rsid w:val="00EA5B02"/>
    <w:rsid w:val="00EA5C14"/>
    <w:rsid w:val="00EA6B2A"/>
    <w:rsid w:val="00EA712F"/>
    <w:rsid w:val="00EA7A19"/>
    <w:rsid w:val="00EA7BD9"/>
    <w:rsid w:val="00EA7C45"/>
    <w:rsid w:val="00EA7FA9"/>
    <w:rsid w:val="00EB0315"/>
    <w:rsid w:val="00EB0388"/>
    <w:rsid w:val="00EB03C0"/>
    <w:rsid w:val="00EB0680"/>
    <w:rsid w:val="00EB076F"/>
    <w:rsid w:val="00EB0794"/>
    <w:rsid w:val="00EB08E2"/>
    <w:rsid w:val="00EB0CF2"/>
    <w:rsid w:val="00EB0DAE"/>
    <w:rsid w:val="00EB0F61"/>
    <w:rsid w:val="00EB191C"/>
    <w:rsid w:val="00EB1A41"/>
    <w:rsid w:val="00EB2184"/>
    <w:rsid w:val="00EB242A"/>
    <w:rsid w:val="00EB24F0"/>
    <w:rsid w:val="00EB27EF"/>
    <w:rsid w:val="00EB296C"/>
    <w:rsid w:val="00EB2E8E"/>
    <w:rsid w:val="00EB2F50"/>
    <w:rsid w:val="00EB316C"/>
    <w:rsid w:val="00EB317E"/>
    <w:rsid w:val="00EB3255"/>
    <w:rsid w:val="00EB35AA"/>
    <w:rsid w:val="00EB35EF"/>
    <w:rsid w:val="00EB3A7F"/>
    <w:rsid w:val="00EB465B"/>
    <w:rsid w:val="00EB481D"/>
    <w:rsid w:val="00EB4B4B"/>
    <w:rsid w:val="00EB4C52"/>
    <w:rsid w:val="00EB4C8E"/>
    <w:rsid w:val="00EB4D17"/>
    <w:rsid w:val="00EB4ED1"/>
    <w:rsid w:val="00EB518A"/>
    <w:rsid w:val="00EB52EF"/>
    <w:rsid w:val="00EB592E"/>
    <w:rsid w:val="00EB5CCD"/>
    <w:rsid w:val="00EB5EA9"/>
    <w:rsid w:val="00EB6095"/>
    <w:rsid w:val="00EB6C37"/>
    <w:rsid w:val="00EB72A8"/>
    <w:rsid w:val="00EB746F"/>
    <w:rsid w:val="00EB7B65"/>
    <w:rsid w:val="00EB7FEB"/>
    <w:rsid w:val="00EC04AA"/>
    <w:rsid w:val="00EC053E"/>
    <w:rsid w:val="00EC067A"/>
    <w:rsid w:val="00EC1077"/>
    <w:rsid w:val="00EC10CE"/>
    <w:rsid w:val="00EC2899"/>
    <w:rsid w:val="00EC28A4"/>
    <w:rsid w:val="00EC299F"/>
    <w:rsid w:val="00EC29D7"/>
    <w:rsid w:val="00EC2A6E"/>
    <w:rsid w:val="00EC2BC7"/>
    <w:rsid w:val="00EC2C20"/>
    <w:rsid w:val="00EC2C66"/>
    <w:rsid w:val="00EC2F7B"/>
    <w:rsid w:val="00EC390A"/>
    <w:rsid w:val="00EC3BFC"/>
    <w:rsid w:val="00EC3CDE"/>
    <w:rsid w:val="00EC3DFF"/>
    <w:rsid w:val="00EC40E9"/>
    <w:rsid w:val="00EC4549"/>
    <w:rsid w:val="00EC5201"/>
    <w:rsid w:val="00EC52F8"/>
    <w:rsid w:val="00EC554F"/>
    <w:rsid w:val="00EC5B68"/>
    <w:rsid w:val="00EC5D75"/>
    <w:rsid w:val="00EC6153"/>
    <w:rsid w:val="00EC6B46"/>
    <w:rsid w:val="00EC706E"/>
    <w:rsid w:val="00EC7095"/>
    <w:rsid w:val="00EC712C"/>
    <w:rsid w:val="00EC736D"/>
    <w:rsid w:val="00EC73FC"/>
    <w:rsid w:val="00EC7A2F"/>
    <w:rsid w:val="00EC7D3E"/>
    <w:rsid w:val="00ED01B8"/>
    <w:rsid w:val="00ED09D9"/>
    <w:rsid w:val="00ED0CF0"/>
    <w:rsid w:val="00ED0D56"/>
    <w:rsid w:val="00ED0F94"/>
    <w:rsid w:val="00ED1132"/>
    <w:rsid w:val="00ED114F"/>
    <w:rsid w:val="00ED1672"/>
    <w:rsid w:val="00ED1854"/>
    <w:rsid w:val="00ED1DAE"/>
    <w:rsid w:val="00ED2416"/>
    <w:rsid w:val="00ED28CE"/>
    <w:rsid w:val="00ED307C"/>
    <w:rsid w:val="00ED3928"/>
    <w:rsid w:val="00ED401C"/>
    <w:rsid w:val="00ED41B9"/>
    <w:rsid w:val="00ED41CD"/>
    <w:rsid w:val="00ED4BB5"/>
    <w:rsid w:val="00ED50B1"/>
    <w:rsid w:val="00ED558F"/>
    <w:rsid w:val="00ED55D8"/>
    <w:rsid w:val="00ED5C49"/>
    <w:rsid w:val="00ED6062"/>
    <w:rsid w:val="00ED625D"/>
    <w:rsid w:val="00ED62B6"/>
    <w:rsid w:val="00ED697A"/>
    <w:rsid w:val="00ED75EB"/>
    <w:rsid w:val="00ED7935"/>
    <w:rsid w:val="00ED7995"/>
    <w:rsid w:val="00ED7FA5"/>
    <w:rsid w:val="00EE0343"/>
    <w:rsid w:val="00EE0747"/>
    <w:rsid w:val="00EE0C27"/>
    <w:rsid w:val="00EE1295"/>
    <w:rsid w:val="00EE12E2"/>
    <w:rsid w:val="00EE1307"/>
    <w:rsid w:val="00EE14F1"/>
    <w:rsid w:val="00EE16CD"/>
    <w:rsid w:val="00EE1A05"/>
    <w:rsid w:val="00EE1B78"/>
    <w:rsid w:val="00EE1D17"/>
    <w:rsid w:val="00EE2352"/>
    <w:rsid w:val="00EE2BD1"/>
    <w:rsid w:val="00EE2BE4"/>
    <w:rsid w:val="00EE3307"/>
    <w:rsid w:val="00EE3FA2"/>
    <w:rsid w:val="00EE42A1"/>
    <w:rsid w:val="00EE4432"/>
    <w:rsid w:val="00EE4A9A"/>
    <w:rsid w:val="00EE4F90"/>
    <w:rsid w:val="00EE5397"/>
    <w:rsid w:val="00EE612E"/>
    <w:rsid w:val="00EE6139"/>
    <w:rsid w:val="00EE62F9"/>
    <w:rsid w:val="00EE635C"/>
    <w:rsid w:val="00EE6411"/>
    <w:rsid w:val="00EE6B91"/>
    <w:rsid w:val="00EE6C91"/>
    <w:rsid w:val="00EE6D51"/>
    <w:rsid w:val="00EE73F4"/>
    <w:rsid w:val="00EE79E4"/>
    <w:rsid w:val="00EE7DFB"/>
    <w:rsid w:val="00EE7EDD"/>
    <w:rsid w:val="00EF0BE7"/>
    <w:rsid w:val="00EF16C3"/>
    <w:rsid w:val="00EF1990"/>
    <w:rsid w:val="00EF1B19"/>
    <w:rsid w:val="00EF1EF1"/>
    <w:rsid w:val="00EF2018"/>
    <w:rsid w:val="00EF25A3"/>
    <w:rsid w:val="00EF261E"/>
    <w:rsid w:val="00EF2858"/>
    <w:rsid w:val="00EF2C0C"/>
    <w:rsid w:val="00EF2E1F"/>
    <w:rsid w:val="00EF31CC"/>
    <w:rsid w:val="00EF34F7"/>
    <w:rsid w:val="00EF359F"/>
    <w:rsid w:val="00EF362F"/>
    <w:rsid w:val="00EF3A2C"/>
    <w:rsid w:val="00EF4FCB"/>
    <w:rsid w:val="00EF555B"/>
    <w:rsid w:val="00EF56C7"/>
    <w:rsid w:val="00EF5EDA"/>
    <w:rsid w:val="00EF6106"/>
    <w:rsid w:val="00EF62C0"/>
    <w:rsid w:val="00EF647D"/>
    <w:rsid w:val="00EF65AC"/>
    <w:rsid w:val="00EF66DC"/>
    <w:rsid w:val="00EF678A"/>
    <w:rsid w:val="00EF6CF4"/>
    <w:rsid w:val="00EF6EBF"/>
    <w:rsid w:val="00EF7056"/>
    <w:rsid w:val="00EF7310"/>
    <w:rsid w:val="00EF7D3C"/>
    <w:rsid w:val="00F00065"/>
    <w:rsid w:val="00F003C6"/>
    <w:rsid w:val="00F005EC"/>
    <w:rsid w:val="00F00B1F"/>
    <w:rsid w:val="00F00F77"/>
    <w:rsid w:val="00F010B2"/>
    <w:rsid w:val="00F010C1"/>
    <w:rsid w:val="00F01656"/>
    <w:rsid w:val="00F017BF"/>
    <w:rsid w:val="00F01A0B"/>
    <w:rsid w:val="00F022A5"/>
    <w:rsid w:val="00F0256E"/>
    <w:rsid w:val="00F027D6"/>
    <w:rsid w:val="00F02B4A"/>
    <w:rsid w:val="00F0324C"/>
    <w:rsid w:val="00F03A15"/>
    <w:rsid w:val="00F03E54"/>
    <w:rsid w:val="00F04535"/>
    <w:rsid w:val="00F046B0"/>
    <w:rsid w:val="00F04E83"/>
    <w:rsid w:val="00F054A2"/>
    <w:rsid w:val="00F054EA"/>
    <w:rsid w:val="00F055AA"/>
    <w:rsid w:val="00F056EC"/>
    <w:rsid w:val="00F0578C"/>
    <w:rsid w:val="00F0583B"/>
    <w:rsid w:val="00F05AEC"/>
    <w:rsid w:val="00F05B30"/>
    <w:rsid w:val="00F05BF2"/>
    <w:rsid w:val="00F05E39"/>
    <w:rsid w:val="00F061F5"/>
    <w:rsid w:val="00F0634B"/>
    <w:rsid w:val="00F06CC0"/>
    <w:rsid w:val="00F071AB"/>
    <w:rsid w:val="00F0730A"/>
    <w:rsid w:val="00F07A31"/>
    <w:rsid w:val="00F07DCE"/>
    <w:rsid w:val="00F1018F"/>
    <w:rsid w:val="00F110C5"/>
    <w:rsid w:val="00F11D64"/>
    <w:rsid w:val="00F11E31"/>
    <w:rsid w:val="00F11EBD"/>
    <w:rsid w:val="00F1226E"/>
    <w:rsid w:val="00F12899"/>
    <w:rsid w:val="00F12A03"/>
    <w:rsid w:val="00F12E55"/>
    <w:rsid w:val="00F13176"/>
    <w:rsid w:val="00F1360F"/>
    <w:rsid w:val="00F13FFD"/>
    <w:rsid w:val="00F140FB"/>
    <w:rsid w:val="00F14417"/>
    <w:rsid w:val="00F14FAC"/>
    <w:rsid w:val="00F150A8"/>
    <w:rsid w:val="00F162A4"/>
    <w:rsid w:val="00F1652F"/>
    <w:rsid w:val="00F1675C"/>
    <w:rsid w:val="00F16A8B"/>
    <w:rsid w:val="00F16B3E"/>
    <w:rsid w:val="00F16E49"/>
    <w:rsid w:val="00F175FE"/>
    <w:rsid w:val="00F17932"/>
    <w:rsid w:val="00F179F0"/>
    <w:rsid w:val="00F17A6C"/>
    <w:rsid w:val="00F17E98"/>
    <w:rsid w:val="00F20057"/>
    <w:rsid w:val="00F20103"/>
    <w:rsid w:val="00F2014C"/>
    <w:rsid w:val="00F201CF"/>
    <w:rsid w:val="00F207D1"/>
    <w:rsid w:val="00F20964"/>
    <w:rsid w:val="00F20A52"/>
    <w:rsid w:val="00F20A80"/>
    <w:rsid w:val="00F20FF4"/>
    <w:rsid w:val="00F216B9"/>
    <w:rsid w:val="00F21791"/>
    <w:rsid w:val="00F2181D"/>
    <w:rsid w:val="00F219A0"/>
    <w:rsid w:val="00F21E3E"/>
    <w:rsid w:val="00F22026"/>
    <w:rsid w:val="00F221C2"/>
    <w:rsid w:val="00F22308"/>
    <w:rsid w:val="00F2264E"/>
    <w:rsid w:val="00F22703"/>
    <w:rsid w:val="00F228B9"/>
    <w:rsid w:val="00F22A05"/>
    <w:rsid w:val="00F22BD0"/>
    <w:rsid w:val="00F22FBE"/>
    <w:rsid w:val="00F2325C"/>
    <w:rsid w:val="00F233D0"/>
    <w:rsid w:val="00F23CA2"/>
    <w:rsid w:val="00F2422C"/>
    <w:rsid w:val="00F247CD"/>
    <w:rsid w:val="00F249E9"/>
    <w:rsid w:val="00F24CD8"/>
    <w:rsid w:val="00F24CFA"/>
    <w:rsid w:val="00F25221"/>
    <w:rsid w:val="00F257AA"/>
    <w:rsid w:val="00F2595B"/>
    <w:rsid w:val="00F260BD"/>
    <w:rsid w:val="00F2616E"/>
    <w:rsid w:val="00F26EED"/>
    <w:rsid w:val="00F277BE"/>
    <w:rsid w:val="00F305D7"/>
    <w:rsid w:val="00F306CE"/>
    <w:rsid w:val="00F3071B"/>
    <w:rsid w:val="00F30824"/>
    <w:rsid w:val="00F30E3F"/>
    <w:rsid w:val="00F310E9"/>
    <w:rsid w:val="00F32146"/>
    <w:rsid w:val="00F323BE"/>
    <w:rsid w:val="00F323C3"/>
    <w:rsid w:val="00F329BE"/>
    <w:rsid w:val="00F32A7D"/>
    <w:rsid w:val="00F337AA"/>
    <w:rsid w:val="00F33842"/>
    <w:rsid w:val="00F33A20"/>
    <w:rsid w:val="00F33EAE"/>
    <w:rsid w:val="00F3448D"/>
    <w:rsid w:val="00F3464B"/>
    <w:rsid w:val="00F34C26"/>
    <w:rsid w:val="00F34CD0"/>
    <w:rsid w:val="00F34E19"/>
    <w:rsid w:val="00F34EAA"/>
    <w:rsid w:val="00F34F09"/>
    <w:rsid w:val="00F34F41"/>
    <w:rsid w:val="00F35CD8"/>
    <w:rsid w:val="00F36548"/>
    <w:rsid w:val="00F365E2"/>
    <w:rsid w:val="00F36713"/>
    <w:rsid w:val="00F36824"/>
    <w:rsid w:val="00F36B20"/>
    <w:rsid w:val="00F36BB8"/>
    <w:rsid w:val="00F36CFB"/>
    <w:rsid w:val="00F371B7"/>
    <w:rsid w:val="00F37223"/>
    <w:rsid w:val="00F3736D"/>
    <w:rsid w:val="00F3759E"/>
    <w:rsid w:val="00F37796"/>
    <w:rsid w:val="00F40676"/>
    <w:rsid w:val="00F409B7"/>
    <w:rsid w:val="00F40BC1"/>
    <w:rsid w:val="00F4118D"/>
    <w:rsid w:val="00F4148B"/>
    <w:rsid w:val="00F415D7"/>
    <w:rsid w:val="00F41AAE"/>
    <w:rsid w:val="00F41D79"/>
    <w:rsid w:val="00F41E09"/>
    <w:rsid w:val="00F41F58"/>
    <w:rsid w:val="00F42856"/>
    <w:rsid w:val="00F42BAB"/>
    <w:rsid w:val="00F42DA6"/>
    <w:rsid w:val="00F42E2D"/>
    <w:rsid w:val="00F42F9D"/>
    <w:rsid w:val="00F434A3"/>
    <w:rsid w:val="00F43535"/>
    <w:rsid w:val="00F43966"/>
    <w:rsid w:val="00F43995"/>
    <w:rsid w:val="00F43A7B"/>
    <w:rsid w:val="00F43B9E"/>
    <w:rsid w:val="00F44368"/>
    <w:rsid w:val="00F4449F"/>
    <w:rsid w:val="00F4450B"/>
    <w:rsid w:val="00F445D4"/>
    <w:rsid w:val="00F4507C"/>
    <w:rsid w:val="00F4587B"/>
    <w:rsid w:val="00F458C0"/>
    <w:rsid w:val="00F45A6A"/>
    <w:rsid w:val="00F45FB6"/>
    <w:rsid w:val="00F461A2"/>
    <w:rsid w:val="00F464FA"/>
    <w:rsid w:val="00F46636"/>
    <w:rsid w:val="00F46B86"/>
    <w:rsid w:val="00F46E2C"/>
    <w:rsid w:val="00F46FD2"/>
    <w:rsid w:val="00F47058"/>
    <w:rsid w:val="00F47428"/>
    <w:rsid w:val="00F47EBA"/>
    <w:rsid w:val="00F50132"/>
    <w:rsid w:val="00F50E88"/>
    <w:rsid w:val="00F51453"/>
    <w:rsid w:val="00F51459"/>
    <w:rsid w:val="00F523D5"/>
    <w:rsid w:val="00F5242E"/>
    <w:rsid w:val="00F52B28"/>
    <w:rsid w:val="00F5321B"/>
    <w:rsid w:val="00F53245"/>
    <w:rsid w:val="00F5345B"/>
    <w:rsid w:val="00F5350E"/>
    <w:rsid w:val="00F53576"/>
    <w:rsid w:val="00F53987"/>
    <w:rsid w:val="00F53C51"/>
    <w:rsid w:val="00F543C3"/>
    <w:rsid w:val="00F547E9"/>
    <w:rsid w:val="00F54CDA"/>
    <w:rsid w:val="00F5511B"/>
    <w:rsid w:val="00F551A0"/>
    <w:rsid w:val="00F55668"/>
    <w:rsid w:val="00F55DEF"/>
    <w:rsid w:val="00F55FDC"/>
    <w:rsid w:val="00F561CA"/>
    <w:rsid w:val="00F562CD"/>
    <w:rsid w:val="00F5645E"/>
    <w:rsid w:val="00F56DEC"/>
    <w:rsid w:val="00F57743"/>
    <w:rsid w:val="00F57BB5"/>
    <w:rsid w:val="00F6005A"/>
    <w:rsid w:val="00F60C72"/>
    <w:rsid w:val="00F60FCA"/>
    <w:rsid w:val="00F61607"/>
    <w:rsid w:val="00F61D1C"/>
    <w:rsid w:val="00F61EF6"/>
    <w:rsid w:val="00F621D8"/>
    <w:rsid w:val="00F622E4"/>
    <w:rsid w:val="00F62867"/>
    <w:rsid w:val="00F62AA6"/>
    <w:rsid w:val="00F63352"/>
    <w:rsid w:val="00F63415"/>
    <w:rsid w:val="00F635DF"/>
    <w:rsid w:val="00F636CA"/>
    <w:rsid w:val="00F63AA2"/>
    <w:rsid w:val="00F63B62"/>
    <w:rsid w:val="00F6452E"/>
    <w:rsid w:val="00F64891"/>
    <w:rsid w:val="00F64FFF"/>
    <w:rsid w:val="00F65574"/>
    <w:rsid w:val="00F65BDD"/>
    <w:rsid w:val="00F65D88"/>
    <w:rsid w:val="00F65DCB"/>
    <w:rsid w:val="00F65E08"/>
    <w:rsid w:val="00F66A33"/>
    <w:rsid w:val="00F66EC8"/>
    <w:rsid w:val="00F670C9"/>
    <w:rsid w:val="00F67371"/>
    <w:rsid w:val="00F67393"/>
    <w:rsid w:val="00F679CA"/>
    <w:rsid w:val="00F67F42"/>
    <w:rsid w:val="00F70042"/>
    <w:rsid w:val="00F701FA"/>
    <w:rsid w:val="00F70563"/>
    <w:rsid w:val="00F706D4"/>
    <w:rsid w:val="00F707C9"/>
    <w:rsid w:val="00F70B0B"/>
    <w:rsid w:val="00F7118C"/>
    <w:rsid w:val="00F71316"/>
    <w:rsid w:val="00F7151B"/>
    <w:rsid w:val="00F71A35"/>
    <w:rsid w:val="00F71EF6"/>
    <w:rsid w:val="00F721B8"/>
    <w:rsid w:val="00F72CE5"/>
    <w:rsid w:val="00F72D98"/>
    <w:rsid w:val="00F7319D"/>
    <w:rsid w:val="00F7393B"/>
    <w:rsid w:val="00F7396B"/>
    <w:rsid w:val="00F746A9"/>
    <w:rsid w:val="00F74ECF"/>
    <w:rsid w:val="00F7545F"/>
    <w:rsid w:val="00F75637"/>
    <w:rsid w:val="00F75692"/>
    <w:rsid w:val="00F757C1"/>
    <w:rsid w:val="00F76047"/>
    <w:rsid w:val="00F760F4"/>
    <w:rsid w:val="00F76661"/>
    <w:rsid w:val="00F76726"/>
    <w:rsid w:val="00F76B41"/>
    <w:rsid w:val="00F76C58"/>
    <w:rsid w:val="00F7706A"/>
    <w:rsid w:val="00F770F5"/>
    <w:rsid w:val="00F772F8"/>
    <w:rsid w:val="00F7766C"/>
    <w:rsid w:val="00F77A0C"/>
    <w:rsid w:val="00F77F46"/>
    <w:rsid w:val="00F8066D"/>
    <w:rsid w:val="00F80BE6"/>
    <w:rsid w:val="00F80EA9"/>
    <w:rsid w:val="00F816D0"/>
    <w:rsid w:val="00F81706"/>
    <w:rsid w:val="00F81732"/>
    <w:rsid w:val="00F8175F"/>
    <w:rsid w:val="00F8187A"/>
    <w:rsid w:val="00F81D94"/>
    <w:rsid w:val="00F82010"/>
    <w:rsid w:val="00F822D6"/>
    <w:rsid w:val="00F8232A"/>
    <w:rsid w:val="00F825FE"/>
    <w:rsid w:val="00F828DC"/>
    <w:rsid w:val="00F82A26"/>
    <w:rsid w:val="00F82B37"/>
    <w:rsid w:val="00F837C2"/>
    <w:rsid w:val="00F8490A"/>
    <w:rsid w:val="00F84BBD"/>
    <w:rsid w:val="00F84E36"/>
    <w:rsid w:val="00F850C7"/>
    <w:rsid w:val="00F852CF"/>
    <w:rsid w:val="00F8566C"/>
    <w:rsid w:val="00F85735"/>
    <w:rsid w:val="00F857E0"/>
    <w:rsid w:val="00F85D95"/>
    <w:rsid w:val="00F863EA"/>
    <w:rsid w:val="00F86437"/>
    <w:rsid w:val="00F864C8"/>
    <w:rsid w:val="00F8657D"/>
    <w:rsid w:val="00F86713"/>
    <w:rsid w:val="00F86BA9"/>
    <w:rsid w:val="00F86EF1"/>
    <w:rsid w:val="00F86F6C"/>
    <w:rsid w:val="00F8700B"/>
    <w:rsid w:val="00F873E3"/>
    <w:rsid w:val="00F87A1B"/>
    <w:rsid w:val="00F87D65"/>
    <w:rsid w:val="00F90268"/>
    <w:rsid w:val="00F902E6"/>
    <w:rsid w:val="00F904BC"/>
    <w:rsid w:val="00F90CDD"/>
    <w:rsid w:val="00F90E6F"/>
    <w:rsid w:val="00F90F16"/>
    <w:rsid w:val="00F90F3D"/>
    <w:rsid w:val="00F910F9"/>
    <w:rsid w:val="00F911FF"/>
    <w:rsid w:val="00F9122E"/>
    <w:rsid w:val="00F91427"/>
    <w:rsid w:val="00F91504"/>
    <w:rsid w:val="00F91815"/>
    <w:rsid w:val="00F91A84"/>
    <w:rsid w:val="00F91DE5"/>
    <w:rsid w:val="00F91EE5"/>
    <w:rsid w:val="00F91F26"/>
    <w:rsid w:val="00F920E3"/>
    <w:rsid w:val="00F92171"/>
    <w:rsid w:val="00F924EA"/>
    <w:rsid w:val="00F9263F"/>
    <w:rsid w:val="00F92BCA"/>
    <w:rsid w:val="00F930A2"/>
    <w:rsid w:val="00F93226"/>
    <w:rsid w:val="00F94151"/>
    <w:rsid w:val="00F94229"/>
    <w:rsid w:val="00F94503"/>
    <w:rsid w:val="00F95008"/>
    <w:rsid w:val="00F9549A"/>
    <w:rsid w:val="00F95D86"/>
    <w:rsid w:val="00F963E5"/>
    <w:rsid w:val="00F9653F"/>
    <w:rsid w:val="00F9654F"/>
    <w:rsid w:val="00F96D0E"/>
    <w:rsid w:val="00F971AE"/>
    <w:rsid w:val="00F972FE"/>
    <w:rsid w:val="00F9744E"/>
    <w:rsid w:val="00F97520"/>
    <w:rsid w:val="00FA0615"/>
    <w:rsid w:val="00FA080B"/>
    <w:rsid w:val="00FA08E1"/>
    <w:rsid w:val="00FA0C65"/>
    <w:rsid w:val="00FA0C6A"/>
    <w:rsid w:val="00FA1AFD"/>
    <w:rsid w:val="00FA1C3D"/>
    <w:rsid w:val="00FA217E"/>
    <w:rsid w:val="00FA298A"/>
    <w:rsid w:val="00FA2C0E"/>
    <w:rsid w:val="00FA38A0"/>
    <w:rsid w:val="00FA39EB"/>
    <w:rsid w:val="00FA3BC4"/>
    <w:rsid w:val="00FA3FDE"/>
    <w:rsid w:val="00FA4147"/>
    <w:rsid w:val="00FA4334"/>
    <w:rsid w:val="00FA4340"/>
    <w:rsid w:val="00FA45AB"/>
    <w:rsid w:val="00FA46F9"/>
    <w:rsid w:val="00FA4BCF"/>
    <w:rsid w:val="00FA4C49"/>
    <w:rsid w:val="00FA4CA1"/>
    <w:rsid w:val="00FA4D60"/>
    <w:rsid w:val="00FA4DF8"/>
    <w:rsid w:val="00FA5D83"/>
    <w:rsid w:val="00FA5DCC"/>
    <w:rsid w:val="00FA5F44"/>
    <w:rsid w:val="00FA6023"/>
    <w:rsid w:val="00FA61F4"/>
    <w:rsid w:val="00FA644B"/>
    <w:rsid w:val="00FA6541"/>
    <w:rsid w:val="00FA69E8"/>
    <w:rsid w:val="00FA6A4A"/>
    <w:rsid w:val="00FA6C73"/>
    <w:rsid w:val="00FA6C7A"/>
    <w:rsid w:val="00FA6CFC"/>
    <w:rsid w:val="00FA7004"/>
    <w:rsid w:val="00FA72F3"/>
    <w:rsid w:val="00FA73EF"/>
    <w:rsid w:val="00FA76FB"/>
    <w:rsid w:val="00FA79F1"/>
    <w:rsid w:val="00FB01A1"/>
    <w:rsid w:val="00FB04E2"/>
    <w:rsid w:val="00FB0C85"/>
    <w:rsid w:val="00FB0E22"/>
    <w:rsid w:val="00FB117A"/>
    <w:rsid w:val="00FB1F29"/>
    <w:rsid w:val="00FB1FB6"/>
    <w:rsid w:val="00FB222B"/>
    <w:rsid w:val="00FB2285"/>
    <w:rsid w:val="00FB241A"/>
    <w:rsid w:val="00FB2444"/>
    <w:rsid w:val="00FB2502"/>
    <w:rsid w:val="00FB2870"/>
    <w:rsid w:val="00FB290D"/>
    <w:rsid w:val="00FB2D17"/>
    <w:rsid w:val="00FB2FA3"/>
    <w:rsid w:val="00FB3478"/>
    <w:rsid w:val="00FB47CC"/>
    <w:rsid w:val="00FB58CC"/>
    <w:rsid w:val="00FB5951"/>
    <w:rsid w:val="00FB5D17"/>
    <w:rsid w:val="00FB627B"/>
    <w:rsid w:val="00FB667F"/>
    <w:rsid w:val="00FB6A70"/>
    <w:rsid w:val="00FB6A94"/>
    <w:rsid w:val="00FB6B6E"/>
    <w:rsid w:val="00FB6D98"/>
    <w:rsid w:val="00FB720E"/>
    <w:rsid w:val="00FB768F"/>
    <w:rsid w:val="00FB7861"/>
    <w:rsid w:val="00FB7A38"/>
    <w:rsid w:val="00FB7CF8"/>
    <w:rsid w:val="00FC0249"/>
    <w:rsid w:val="00FC06B8"/>
    <w:rsid w:val="00FC0B53"/>
    <w:rsid w:val="00FC0F96"/>
    <w:rsid w:val="00FC1028"/>
    <w:rsid w:val="00FC120F"/>
    <w:rsid w:val="00FC158B"/>
    <w:rsid w:val="00FC2359"/>
    <w:rsid w:val="00FC243B"/>
    <w:rsid w:val="00FC2703"/>
    <w:rsid w:val="00FC2896"/>
    <w:rsid w:val="00FC3785"/>
    <w:rsid w:val="00FC3BDA"/>
    <w:rsid w:val="00FC3EAB"/>
    <w:rsid w:val="00FC3EFB"/>
    <w:rsid w:val="00FC3F48"/>
    <w:rsid w:val="00FC4307"/>
    <w:rsid w:val="00FC436B"/>
    <w:rsid w:val="00FC461F"/>
    <w:rsid w:val="00FC48B3"/>
    <w:rsid w:val="00FC5472"/>
    <w:rsid w:val="00FC5A66"/>
    <w:rsid w:val="00FC5E57"/>
    <w:rsid w:val="00FC6465"/>
    <w:rsid w:val="00FC64ED"/>
    <w:rsid w:val="00FC654D"/>
    <w:rsid w:val="00FC6640"/>
    <w:rsid w:val="00FC6CC7"/>
    <w:rsid w:val="00FC6D8B"/>
    <w:rsid w:val="00FC7057"/>
    <w:rsid w:val="00FC7174"/>
    <w:rsid w:val="00FC7A71"/>
    <w:rsid w:val="00FC7F79"/>
    <w:rsid w:val="00FD00B2"/>
    <w:rsid w:val="00FD0115"/>
    <w:rsid w:val="00FD020C"/>
    <w:rsid w:val="00FD086A"/>
    <w:rsid w:val="00FD08A3"/>
    <w:rsid w:val="00FD0B63"/>
    <w:rsid w:val="00FD0E57"/>
    <w:rsid w:val="00FD1054"/>
    <w:rsid w:val="00FD1193"/>
    <w:rsid w:val="00FD11F5"/>
    <w:rsid w:val="00FD19C9"/>
    <w:rsid w:val="00FD25A4"/>
    <w:rsid w:val="00FD26DD"/>
    <w:rsid w:val="00FD27EA"/>
    <w:rsid w:val="00FD314E"/>
    <w:rsid w:val="00FD3364"/>
    <w:rsid w:val="00FD35B6"/>
    <w:rsid w:val="00FD466C"/>
    <w:rsid w:val="00FD47DF"/>
    <w:rsid w:val="00FD48DF"/>
    <w:rsid w:val="00FD4C21"/>
    <w:rsid w:val="00FD4CAD"/>
    <w:rsid w:val="00FD4F5E"/>
    <w:rsid w:val="00FD505D"/>
    <w:rsid w:val="00FD55BF"/>
    <w:rsid w:val="00FD56DD"/>
    <w:rsid w:val="00FD5970"/>
    <w:rsid w:val="00FD5C33"/>
    <w:rsid w:val="00FD5DC9"/>
    <w:rsid w:val="00FD6A46"/>
    <w:rsid w:val="00FD6BA5"/>
    <w:rsid w:val="00FD7617"/>
    <w:rsid w:val="00FD7CB4"/>
    <w:rsid w:val="00FD7F9D"/>
    <w:rsid w:val="00FD7FC3"/>
    <w:rsid w:val="00FD7FD7"/>
    <w:rsid w:val="00FE010A"/>
    <w:rsid w:val="00FE0253"/>
    <w:rsid w:val="00FE0592"/>
    <w:rsid w:val="00FE06E1"/>
    <w:rsid w:val="00FE0AFD"/>
    <w:rsid w:val="00FE123D"/>
    <w:rsid w:val="00FE1D1D"/>
    <w:rsid w:val="00FE1D5E"/>
    <w:rsid w:val="00FE20B7"/>
    <w:rsid w:val="00FE2740"/>
    <w:rsid w:val="00FE2854"/>
    <w:rsid w:val="00FE2C0F"/>
    <w:rsid w:val="00FE3070"/>
    <w:rsid w:val="00FE387A"/>
    <w:rsid w:val="00FE3D69"/>
    <w:rsid w:val="00FE4512"/>
    <w:rsid w:val="00FE467B"/>
    <w:rsid w:val="00FE4C22"/>
    <w:rsid w:val="00FE4CA6"/>
    <w:rsid w:val="00FE4D0F"/>
    <w:rsid w:val="00FE5040"/>
    <w:rsid w:val="00FE512C"/>
    <w:rsid w:val="00FE533F"/>
    <w:rsid w:val="00FE57B5"/>
    <w:rsid w:val="00FE5D25"/>
    <w:rsid w:val="00FE6085"/>
    <w:rsid w:val="00FE6384"/>
    <w:rsid w:val="00FE68D1"/>
    <w:rsid w:val="00FE6D35"/>
    <w:rsid w:val="00FE6F20"/>
    <w:rsid w:val="00FE6F62"/>
    <w:rsid w:val="00FE7F65"/>
    <w:rsid w:val="00FF03D3"/>
    <w:rsid w:val="00FF0798"/>
    <w:rsid w:val="00FF15DB"/>
    <w:rsid w:val="00FF1736"/>
    <w:rsid w:val="00FF19EF"/>
    <w:rsid w:val="00FF1EC9"/>
    <w:rsid w:val="00FF27CE"/>
    <w:rsid w:val="00FF2FE7"/>
    <w:rsid w:val="00FF33A4"/>
    <w:rsid w:val="00FF3797"/>
    <w:rsid w:val="00FF411C"/>
    <w:rsid w:val="00FF45A8"/>
    <w:rsid w:val="00FF52AA"/>
    <w:rsid w:val="00FF57E1"/>
    <w:rsid w:val="00FF59B8"/>
    <w:rsid w:val="00FF66ED"/>
    <w:rsid w:val="00FF670B"/>
    <w:rsid w:val="00FF68DE"/>
    <w:rsid w:val="00FF7EEE"/>
    <w:rsid w:val="0217419B"/>
    <w:rsid w:val="027BEE95"/>
    <w:rsid w:val="0442B2F8"/>
    <w:rsid w:val="049448BD"/>
    <w:rsid w:val="05A5AE7F"/>
    <w:rsid w:val="06DD9E18"/>
    <w:rsid w:val="0AD8921F"/>
    <w:rsid w:val="0AE30CD1"/>
    <w:rsid w:val="0C40551F"/>
    <w:rsid w:val="0E606DD0"/>
    <w:rsid w:val="0F033074"/>
    <w:rsid w:val="11DAF3C4"/>
    <w:rsid w:val="14725A51"/>
    <w:rsid w:val="169280DA"/>
    <w:rsid w:val="17D19BC0"/>
    <w:rsid w:val="18F8EA12"/>
    <w:rsid w:val="1A67EDAA"/>
    <w:rsid w:val="1BE920BF"/>
    <w:rsid w:val="1C443163"/>
    <w:rsid w:val="1C81C6E0"/>
    <w:rsid w:val="1D2FBE03"/>
    <w:rsid w:val="20F7AC9E"/>
    <w:rsid w:val="21C5627B"/>
    <w:rsid w:val="228D173F"/>
    <w:rsid w:val="22C811B9"/>
    <w:rsid w:val="24192093"/>
    <w:rsid w:val="248E3826"/>
    <w:rsid w:val="24F37E70"/>
    <w:rsid w:val="274A5D51"/>
    <w:rsid w:val="28CA14D5"/>
    <w:rsid w:val="2C29EDBC"/>
    <w:rsid w:val="33BF2549"/>
    <w:rsid w:val="369A2BA1"/>
    <w:rsid w:val="372E680A"/>
    <w:rsid w:val="3909C408"/>
    <w:rsid w:val="393734AE"/>
    <w:rsid w:val="3B3824E4"/>
    <w:rsid w:val="3CC387AC"/>
    <w:rsid w:val="41E55138"/>
    <w:rsid w:val="43F7C839"/>
    <w:rsid w:val="44CE4531"/>
    <w:rsid w:val="4543DE8C"/>
    <w:rsid w:val="50A0CCFA"/>
    <w:rsid w:val="515B583C"/>
    <w:rsid w:val="54D4F48C"/>
    <w:rsid w:val="55206A61"/>
    <w:rsid w:val="5607A291"/>
    <w:rsid w:val="59A1CAC3"/>
    <w:rsid w:val="5CF849CE"/>
    <w:rsid w:val="5D5538AB"/>
    <w:rsid w:val="5D7E1DD4"/>
    <w:rsid w:val="608C7645"/>
    <w:rsid w:val="630D2BA7"/>
    <w:rsid w:val="639AE022"/>
    <w:rsid w:val="65B5E6E0"/>
    <w:rsid w:val="680FC55B"/>
    <w:rsid w:val="72E51718"/>
    <w:rsid w:val="7600CCF6"/>
    <w:rsid w:val="788E2534"/>
    <w:rsid w:val="78BEA678"/>
    <w:rsid w:val="79A3168B"/>
    <w:rsid w:val="7CC76F30"/>
    <w:rsid w:val="7E1F12EB"/>
    <w:rsid w:val="7E4F5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7377"/>
  <w15:docId w15:val="{7352A538-B6D8-574E-B5B4-0BD8D391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8138C2"/>
    <w:pPr>
      <w:keepNext/>
      <w:keepLines/>
      <w:spacing w:before="40"/>
      <w:ind w:left="720"/>
      <w:outlineLvl w:val="1"/>
    </w:pPr>
    <w:rPr>
      <w:b/>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qFormat/>
    <w:rsid w:val="009A272B"/>
    <w:pPr>
      <w:keepNext/>
      <w:numPr>
        <w:ilvl w:val="3"/>
        <w:numId w:val="9"/>
      </w:numPr>
      <w:outlineLvl w:val="3"/>
    </w:pPr>
    <w:rPr>
      <w:rFonts w:ascii="Arial" w:hAnsi="Arial"/>
      <w:b/>
      <w:bCs/>
      <w:sz w:val="22"/>
    </w:rPr>
  </w:style>
  <w:style w:type="paragraph" w:styleId="Heading5">
    <w:name w:val="heading 5"/>
    <w:basedOn w:val="Normal"/>
    <w:next w:val="Normal"/>
    <w:link w:val="Heading5Char"/>
    <w:autoRedefine/>
    <w:qFormat/>
    <w:rsid w:val="009A272B"/>
    <w:pPr>
      <w:keepNext/>
      <w:numPr>
        <w:ilvl w:val="4"/>
        <w:numId w:val="9"/>
      </w:numPr>
      <w:spacing w:before="120" w:line="288" w:lineRule="auto"/>
      <w:ind w:right="3427"/>
      <w:outlineLvl w:val="4"/>
    </w:pPr>
    <w:rPr>
      <w:rFonts w:ascii="Arial" w:hAnsi="Arial"/>
      <w:b/>
      <w:bCs/>
      <w:sz w:val="22"/>
    </w:rPr>
  </w:style>
  <w:style w:type="paragraph" w:styleId="Heading6">
    <w:name w:val="heading 6"/>
    <w:basedOn w:val="Normal"/>
    <w:next w:val="Normal"/>
    <w:link w:val="Heading6Char"/>
    <w:qFormat/>
    <w:rsid w:val="009A272B"/>
    <w:pPr>
      <w:numPr>
        <w:ilvl w:val="5"/>
        <w:numId w:val="9"/>
      </w:numPr>
      <w:spacing w:before="240" w:after="60"/>
      <w:outlineLvl w:val="5"/>
    </w:pPr>
    <w:rPr>
      <w:rFonts w:ascii="Arial" w:hAnsi="Arial"/>
      <w:b/>
      <w:bCs/>
      <w:sz w:val="22"/>
      <w:szCs w:val="22"/>
    </w:rPr>
  </w:style>
  <w:style w:type="paragraph" w:styleId="Heading7">
    <w:name w:val="heading 7"/>
    <w:basedOn w:val="Normal"/>
    <w:next w:val="Normal"/>
    <w:link w:val="Heading7Char"/>
    <w:uiPriority w:val="9"/>
    <w:qFormat/>
    <w:rsid w:val="009A272B"/>
    <w:pPr>
      <w:numPr>
        <w:ilvl w:val="6"/>
        <w:numId w:val="9"/>
      </w:numPr>
      <w:spacing w:before="240" w:after="60"/>
      <w:outlineLvl w:val="6"/>
    </w:pPr>
    <w:rPr>
      <w:rFonts w:ascii="Arial" w:hAnsi="Arial"/>
      <w:b/>
      <w:sz w:val="22"/>
    </w:rPr>
  </w:style>
  <w:style w:type="paragraph" w:styleId="Heading8">
    <w:name w:val="heading 8"/>
    <w:basedOn w:val="Normal"/>
    <w:next w:val="Normal"/>
    <w:link w:val="Heading8Char"/>
    <w:uiPriority w:val="99"/>
    <w:qFormat/>
    <w:rsid w:val="009A272B"/>
    <w:pPr>
      <w:numPr>
        <w:ilvl w:val="7"/>
        <w:numId w:val="9"/>
      </w:numPr>
      <w:spacing w:before="240" w:after="60"/>
      <w:outlineLvl w:val="7"/>
    </w:pPr>
    <w:rPr>
      <w:rFonts w:ascii="Arial" w:hAnsi="Arial"/>
      <w:b/>
      <w:iCs/>
      <w:sz w:val="22"/>
    </w:rPr>
  </w:style>
  <w:style w:type="paragraph" w:styleId="Heading9">
    <w:name w:val="heading 9"/>
    <w:basedOn w:val="Normal"/>
    <w:next w:val="Normal"/>
    <w:link w:val="Heading9Char"/>
    <w:uiPriority w:val="99"/>
    <w:qFormat/>
    <w:rsid w:val="009A272B"/>
    <w:pPr>
      <w:numPr>
        <w:ilvl w:val="8"/>
        <w:numId w:val="9"/>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8138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qFormat/>
    <w:rsid w:val="00B72795"/>
    <w:pPr>
      <w:tabs>
        <w:tab w:val="left" w:pos="475"/>
        <w:tab w:val="right" w:leader="dot" w:pos="9360"/>
      </w:tabs>
    </w:pPr>
  </w:style>
  <w:style w:type="paragraph" w:styleId="TOC2">
    <w:name w:val="toc 2"/>
    <w:basedOn w:val="Normal"/>
    <w:next w:val="Normal"/>
    <w:autoRedefine/>
    <w:uiPriority w:val="39"/>
    <w:qFormat/>
    <w:rsid w:val="003E51C2"/>
    <w:pPr>
      <w:tabs>
        <w:tab w:val="left" w:pos="900"/>
        <w:tab w:val="right" w:leader="dot" w:pos="9000"/>
      </w:tabs>
      <w:ind w:left="360"/>
    </w:pPr>
  </w:style>
  <w:style w:type="paragraph" w:styleId="TOC3">
    <w:name w:val="toc 3"/>
    <w:basedOn w:val="Normal"/>
    <w:next w:val="Normal"/>
    <w:autoRedefine/>
    <w:uiPriority w:val="39"/>
    <w:qFormat/>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1"/>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qFormat/>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2"/>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3"/>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3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4"/>
      </w:numPr>
    </w:pPr>
  </w:style>
  <w:style w:type="numbering" w:customStyle="1" w:styleId="RESNETstd">
    <w:name w:val="RESNET_std"/>
    <w:uiPriority w:val="99"/>
    <w:rsid w:val="008F1DC1"/>
    <w:pPr>
      <w:numPr>
        <w:numId w:val="5"/>
      </w:numPr>
    </w:pPr>
  </w:style>
  <w:style w:type="paragraph" w:styleId="TOCHeading">
    <w:name w:val="TOC Heading"/>
    <w:basedOn w:val="Normal"/>
    <w:next w:val="Normal"/>
    <w:uiPriority w:val="39"/>
    <w:unhideWhenUsed/>
    <w:qFormat/>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uiPriority w:val="99"/>
    <w:qFormat/>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qFormat/>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paragraph" w:customStyle="1" w:styleId="BodyText1">
    <w:name w:val="Body Text1"/>
    <w:basedOn w:val="Normal"/>
    <w:next w:val="BodyText"/>
    <w:uiPriority w:val="99"/>
    <w:qFormat/>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qFormat/>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qFormat/>
    <w:rsid w:val="00B870F2"/>
    <w:pPr>
      <w:numPr>
        <w:numId w:val="7"/>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uiPriority w:val="99"/>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uiPriority w:val="99"/>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uiPriority w:val="99"/>
    <w:qFormat/>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uiPriority w:val="99"/>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12"/>
      </w:numPr>
      <w:tabs>
        <w:tab w:val="clear" w:pos="720"/>
      </w:tabs>
      <w:spacing w:before="0" w:after="12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12"/>
      </w:numPr>
      <w:spacing w:before="0" w:after="12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12"/>
      </w:numPr>
      <w:tabs>
        <w:tab w:val="clear" w:pos="1800"/>
      </w:tabs>
      <w:spacing w:before="0" w:after="12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11"/>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12"/>
      </w:numPr>
      <w:tabs>
        <w:tab w:val="left" w:pos="748"/>
      </w:tabs>
      <w:spacing w:before="12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12"/>
      </w:numPr>
      <w:spacing w:before="0" w:after="60"/>
      <w:ind w:left="225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12"/>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12"/>
      </w:numPr>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character" w:customStyle="1" w:styleId="UnresolvedMention4">
    <w:name w:val="Unresolved Mention4"/>
    <w:basedOn w:val="DefaultParagraphFont"/>
    <w:uiPriority w:val="99"/>
    <w:semiHidden/>
    <w:unhideWhenUsed/>
    <w:rsid w:val="00F8490A"/>
    <w:rPr>
      <w:color w:val="605E5C"/>
      <w:shd w:val="clear" w:color="auto" w:fill="E1DFDD"/>
    </w:rPr>
  </w:style>
  <w:style w:type="paragraph" w:customStyle="1" w:styleId="msonormal0">
    <w:name w:val="msonormal"/>
    <w:basedOn w:val="Normal"/>
    <w:uiPriority w:val="99"/>
    <w:rsid w:val="00F461A2"/>
    <w:pPr>
      <w:spacing w:before="100" w:beforeAutospacing="1" w:after="100" w:afterAutospacing="1"/>
    </w:pPr>
  </w:style>
  <w:style w:type="character" w:customStyle="1" w:styleId="normaltextrun">
    <w:name w:val="normaltextrun"/>
    <w:basedOn w:val="DefaultParagraphFont"/>
    <w:rsid w:val="008D31AA"/>
  </w:style>
  <w:style w:type="paragraph" w:customStyle="1" w:styleId="paragraph">
    <w:name w:val="paragraph"/>
    <w:basedOn w:val="Normal"/>
    <w:rsid w:val="00B8548A"/>
    <w:pPr>
      <w:spacing w:before="100" w:beforeAutospacing="1" w:after="100" w:afterAutospacing="1"/>
    </w:pPr>
  </w:style>
  <w:style w:type="character" w:customStyle="1" w:styleId="eop">
    <w:name w:val="eop"/>
    <w:basedOn w:val="DefaultParagraphFont"/>
    <w:rsid w:val="00B8548A"/>
  </w:style>
  <w:style w:type="character" w:customStyle="1" w:styleId="spellingerror">
    <w:name w:val="spellingerror"/>
    <w:basedOn w:val="DefaultParagraphFont"/>
    <w:rsid w:val="00453A0A"/>
  </w:style>
  <w:style w:type="paragraph" w:customStyle="1" w:styleId="inputboxtextarea">
    <w:name w:val="inputboxtextarea"/>
    <w:basedOn w:val="Normal"/>
    <w:rsid w:val="00303535"/>
    <w:pPr>
      <w:pBdr>
        <w:top w:val="single" w:sz="6" w:space="0" w:color="000000"/>
        <w:left w:val="single" w:sz="6" w:space="0" w:color="000000"/>
        <w:bottom w:val="single" w:sz="6" w:space="0" w:color="000000"/>
        <w:right w:val="single" w:sz="6" w:space="0" w:color="000000"/>
      </w:pBdr>
      <w:shd w:val="clear" w:color="auto" w:fill="FDFDFD"/>
      <w:spacing w:before="100" w:beforeAutospacing="1" w:after="100" w:afterAutospacing="1"/>
    </w:pPr>
    <w:rPr>
      <w:rFonts w:ascii="Verdana" w:eastAsiaTheme="minorEastAsia" w:hAnsi="Verdana"/>
      <w:color w:val="000000"/>
      <w:sz w:val="15"/>
      <w:szCs w:val="15"/>
    </w:rPr>
  </w:style>
  <w:style w:type="numbering" w:customStyle="1" w:styleId="Appendix">
    <w:name w:val="Appendix"/>
    <w:uiPriority w:val="99"/>
    <w:rsid w:val="001D1415"/>
    <w:pPr>
      <w:numPr>
        <w:numId w:val="13"/>
      </w:numPr>
    </w:pPr>
  </w:style>
  <w:style w:type="paragraph" w:customStyle="1" w:styleId="AppendixC2">
    <w:name w:val="Appendix C2"/>
    <w:basedOn w:val="two"/>
    <w:rsid w:val="009A4DB6"/>
    <w:pPr>
      <w:numPr>
        <w:ilvl w:val="0"/>
        <w:numId w:val="14"/>
      </w:numPr>
      <w:tabs>
        <w:tab w:val="left" w:pos="1440"/>
      </w:tabs>
      <w:ind w:left="360"/>
    </w:pPr>
    <w:rPr>
      <w:b/>
    </w:rPr>
  </w:style>
  <w:style w:type="numbering" w:customStyle="1" w:styleId="AppendixC">
    <w:name w:val="Appendix C"/>
    <w:uiPriority w:val="99"/>
    <w:rsid w:val="009A4DB6"/>
    <w:pPr>
      <w:numPr>
        <w:numId w:val="19"/>
      </w:numPr>
    </w:pPr>
  </w:style>
  <w:style w:type="character" w:customStyle="1" w:styleId="findhit">
    <w:name w:val="findhit"/>
    <w:basedOn w:val="DefaultParagraphFont"/>
    <w:rsid w:val="00016B54"/>
  </w:style>
  <w:style w:type="character" w:customStyle="1" w:styleId="scxw48409520">
    <w:name w:val="scxw48409520"/>
    <w:basedOn w:val="DefaultParagraphFont"/>
    <w:rsid w:val="009C053F"/>
  </w:style>
  <w:style w:type="character" w:customStyle="1" w:styleId="superscript">
    <w:name w:val="superscript"/>
    <w:basedOn w:val="DefaultParagraphFont"/>
    <w:rsid w:val="00EB296C"/>
  </w:style>
  <w:style w:type="character" w:customStyle="1" w:styleId="scxw64685278">
    <w:name w:val="scxw64685278"/>
    <w:basedOn w:val="DefaultParagraphFont"/>
    <w:rsid w:val="000A762C"/>
  </w:style>
  <w:style w:type="character" w:customStyle="1" w:styleId="tabchar">
    <w:name w:val="tabchar"/>
    <w:basedOn w:val="DefaultParagraphFont"/>
    <w:rsid w:val="000A762C"/>
  </w:style>
  <w:style w:type="character" w:customStyle="1" w:styleId="scxw197914162">
    <w:name w:val="scxw197914162"/>
    <w:basedOn w:val="DefaultParagraphFont"/>
    <w:rsid w:val="00130561"/>
  </w:style>
  <w:style w:type="character" w:customStyle="1" w:styleId="scxw219189285">
    <w:name w:val="scxw219189285"/>
    <w:basedOn w:val="DefaultParagraphFont"/>
    <w:rsid w:val="000A64F7"/>
  </w:style>
  <w:style w:type="character" w:customStyle="1" w:styleId="pagebreaktextspan">
    <w:name w:val="pagebreaktextspan"/>
    <w:basedOn w:val="DefaultParagraphFont"/>
    <w:rsid w:val="003A08A0"/>
  </w:style>
  <w:style w:type="character" w:customStyle="1" w:styleId="scxw91112423">
    <w:name w:val="scxw91112423"/>
    <w:basedOn w:val="DefaultParagraphFont"/>
    <w:rsid w:val="0040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01">
      <w:bodyDiv w:val="1"/>
      <w:marLeft w:val="0"/>
      <w:marRight w:val="0"/>
      <w:marTop w:val="0"/>
      <w:marBottom w:val="0"/>
      <w:divBdr>
        <w:top w:val="none" w:sz="0" w:space="0" w:color="auto"/>
        <w:left w:val="none" w:sz="0" w:space="0" w:color="auto"/>
        <w:bottom w:val="none" w:sz="0" w:space="0" w:color="auto"/>
        <w:right w:val="none" w:sz="0" w:space="0" w:color="auto"/>
      </w:divBdr>
      <w:divsChild>
        <w:div w:id="583563619">
          <w:marLeft w:val="0"/>
          <w:marRight w:val="0"/>
          <w:marTop w:val="0"/>
          <w:marBottom w:val="0"/>
          <w:divBdr>
            <w:top w:val="none" w:sz="0" w:space="0" w:color="auto"/>
            <w:left w:val="none" w:sz="0" w:space="0" w:color="auto"/>
            <w:bottom w:val="none" w:sz="0" w:space="0" w:color="auto"/>
            <w:right w:val="none" w:sz="0" w:space="0" w:color="auto"/>
          </w:divBdr>
        </w:div>
      </w:divsChild>
    </w:div>
    <w:div w:id="8069343">
      <w:bodyDiv w:val="1"/>
      <w:marLeft w:val="0"/>
      <w:marRight w:val="0"/>
      <w:marTop w:val="0"/>
      <w:marBottom w:val="0"/>
      <w:divBdr>
        <w:top w:val="none" w:sz="0" w:space="0" w:color="auto"/>
        <w:left w:val="none" w:sz="0" w:space="0" w:color="auto"/>
        <w:bottom w:val="none" w:sz="0" w:space="0" w:color="auto"/>
        <w:right w:val="none" w:sz="0" w:space="0" w:color="auto"/>
      </w:divBdr>
    </w:div>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264582630">
      <w:bodyDiv w:val="1"/>
      <w:marLeft w:val="0"/>
      <w:marRight w:val="0"/>
      <w:marTop w:val="0"/>
      <w:marBottom w:val="0"/>
      <w:divBdr>
        <w:top w:val="none" w:sz="0" w:space="0" w:color="auto"/>
        <w:left w:val="none" w:sz="0" w:space="0" w:color="auto"/>
        <w:bottom w:val="none" w:sz="0" w:space="0" w:color="auto"/>
        <w:right w:val="none" w:sz="0" w:space="0" w:color="auto"/>
      </w:divBdr>
      <w:divsChild>
        <w:div w:id="132255225">
          <w:marLeft w:val="0"/>
          <w:marRight w:val="0"/>
          <w:marTop w:val="0"/>
          <w:marBottom w:val="0"/>
          <w:divBdr>
            <w:top w:val="none" w:sz="0" w:space="0" w:color="auto"/>
            <w:left w:val="none" w:sz="0" w:space="0" w:color="auto"/>
            <w:bottom w:val="none" w:sz="0" w:space="0" w:color="auto"/>
            <w:right w:val="none" w:sz="0" w:space="0" w:color="auto"/>
          </w:divBdr>
          <w:divsChild>
            <w:div w:id="137722472">
              <w:marLeft w:val="0"/>
              <w:marRight w:val="0"/>
              <w:marTop w:val="0"/>
              <w:marBottom w:val="0"/>
              <w:divBdr>
                <w:top w:val="none" w:sz="0" w:space="0" w:color="auto"/>
                <w:left w:val="none" w:sz="0" w:space="0" w:color="auto"/>
                <w:bottom w:val="none" w:sz="0" w:space="0" w:color="auto"/>
                <w:right w:val="none" w:sz="0" w:space="0" w:color="auto"/>
              </w:divBdr>
              <w:divsChild>
                <w:div w:id="557977791">
                  <w:marLeft w:val="0"/>
                  <w:marRight w:val="0"/>
                  <w:marTop w:val="0"/>
                  <w:marBottom w:val="0"/>
                  <w:divBdr>
                    <w:top w:val="none" w:sz="0" w:space="0" w:color="auto"/>
                    <w:left w:val="none" w:sz="0" w:space="0" w:color="auto"/>
                    <w:bottom w:val="none" w:sz="0" w:space="0" w:color="auto"/>
                    <w:right w:val="none" w:sz="0" w:space="0" w:color="auto"/>
                  </w:divBdr>
                  <w:divsChild>
                    <w:div w:id="1280181670">
                      <w:marLeft w:val="0"/>
                      <w:marRight w:val="0"/>
                      <w:marTop w:val="0"/>
                      <w:marBottom w:val="0"/>
                      <w:divBdr>
                        <w:top w:val="none" w:sz="0" w:space="0" w:color="auto"/>
                        <w:left w:val="none" w:sz="0" w:space="0" w:color="auto"/>
                        <w:bottom w:val="none" w:sz="0" w:space="0" w:color="auto"/>
                        <w:right w:val="none" w:sz="0" w:space="0" w:color="auto"/>
                      </w:divBdr>
                      <w:divsChild>
                        <w:div w:id="1848523362">
                          <w:marLeft w:val="0"/>
                          <w:marRight w:val="0"/>
                          <w:marTop w:val="0"/>
                          <w:marBottom w:val="0"/>
                          <w:divBdr>
                            <w:top w:val="none" w:sz="0" w:space="0" w:color="auto"/>
                            <w:left w:val="none" w:sz="0" w:space="0" w:color="auto"/>
                            <w:bottom w:val="none" w:sz="0" w:space="0" w:color="auto"/>
                            <w:right w:val="none" w:sz="0" w:space="0" w:color="auto"/>
                          </w:divBdr>
                        </w:div>
                      </w:divsChild>
                    </w:div>
                    <w:div w:id="1274287589">
                      <w:marLeft w:val="0"/>
                      <w:marRight w:val="0"/>
                      <w:marTop w:val="0"/>
                      <w:marBottom w:val="0"/>
                      <w:divBdr>
                        <w:top w:val="none" w:sz="0" w:space="0" w:color="auto"/>
                        <w:left w:val="none" w:sz="0" w:space="0" w:color="auto"/>
                        <w:bottom w:val="none" w:sz="0" w:space="0" w:color="auto"/>
                        <w:right w:val="none" w:sz="0" w:space="0" w:color="auto"/>
                      </w:divBdr>
                      <w:divsChild>
                        <w:div w:id="1307859362">
                          <w:marLeft w:val="0"/>
                          <w:marRight w:val="0"/>
                          <w:marTop w:val="0"/>
                          <w:marBottom w:val="0"/>
                          <w:divBdr>
                            <w:top w:val="none" w:sz="0" w:space="0" w:color="auto"/>
                            <w:left w:val="none" w:sz="0" w:space="0" w:color="auto"/>
                            <w:bottom w:val="none" w:sz="0" w:space="0" w:color="auto"/>
                            <w:right w:val="none" w:sz="0" w:space="0" w:color="auto"/>
                          </w:divBdr>
                        </w:div>
                      </w:divsChild>
                    </w:div>
                    <w:div w:id="1075974263">
                      <w:marLeft w:val="0"/>
                      <w:marRight w:val="0"/>
                      <w:marTop w:val="0"/>
                      <w:marBottom w:val="0"/>
                      <w:divBdr>
                        <w:top w:val="none" w:sz="0" w:space="0" w:color="auto"/>
                        <w:left w:val="none" w:sz="0" w:space="0" w:color="auto"/>
                        <w:bottom w:val="none" w:sz="0" w:space="0" w:color="auto"/>
                        <w:right w:val="none" w:sz="0" w:space="0" w:color="auto"/>
                      </w:divBdr>
                      <w:divsChild>
                        <w:div w:id="1906522761">
                          <w:marLeft w:val="0"/>
                          <w:marRight w:val="0"/>
                          <w:marTop w:val="0"/>
                          <w:marBottom w:val="0"/>
                          <w:divBdr>
                            <w:top w:val="none" w:sz="0" w:space="0" w:color="auto"/>
                            <w:left w:val="none" w:sz="0" w:space="0" w:color="auto"/>
                            <w:bottom w:val="none" w:sz="0" w:space="0" w:color="auto"/>
                            <w:right w:val="none" w:sz="0" w:space="0" w:color="auto"/>
                          </w:divBdr>
                        </w:div>
                      </w:divsChild>
                    </w:div>
                    <w:div w:id="1631857442">
                      <w:marLeft w:val="0"/>
                      <w:marRight w:val="0"/>
                      <w:marTop w:val="0"/>
                      <w:marBottom w:val="0"/>
                      <w:divBdr>
                        <w:top w:val="none" w:sz="0" w:space="0" w:color="auto"/>
                        <w:left w:val="none" w:sz="0" w:space="0" w:color="auto"/>
                        <w:bottom w:val="none" w:sz="0" w:space="0" w:color="auto"/>
                        <w:right w:val="none" w:sz="0" w:space="0" w:color="auto"/>
                      </w:divBdr>
                      <w:divsChild>
                        <w:div w:id="642732794">
                          <w:marLeft w:val="0"/>
                          <w:marRight w:val="0"/>
                          <w:marTop w:val="0"/>
                          <w:marBottom w:val="0"/>
                          <w:divBdr>
                            <w:top w:val="none" w:sz="0" w:space="0" w:color="auto"/>
                            <w:left w:val="none" w:sz="0" w:space="0" w:color="auto"/>
                            <w:bottom w:val="none" w:sz="0" w:space="0" w:color="auto"/>
                            <w:right w:val="none" w:sz="0" w:space="0" w:color="auto"/>
                          </w:divBdr>
                        </w:div>
                      </w:divsChild>
                    </w:div>
                    <w:div w:id="1161385470">
                      <w:marLeft w:val="0"/>
                      <w:marRight w:val="0"/>
                      <w:marTop w:val="0"/>
                      <w:marBottom w:val="0"/>
                      <w:divBdr>
                        <w:top w:val="none" w:sz="0" w:space="0" w:color="auto"/>
                        <w:left w:val="none" w:sz="0" w:space="0" w:color="auto"/>
                        <w:bottom w:val="none" w:sz="0" w:space="0" w:color="auto"/>
                        <w:right w:val="none" w:sz="0" w:space="0" w:color="auto"/>
                      </w:divBdr>
                      <w:divsChild>
                        <w:div w:id="1039235952">
                          <w:marLeft w:val="0"/>
                          <w:marRight w:val="0"/>
                          <w:marTop w:val="0"/>
                          <w:marBottom w:val="0"/>
                          <w:divBdr>
                            <w:top w:val="none" w:sz="0" w:space="0" w:color="auto"/>
                            <w:left w:val="none" w:sz="0" w:space="0" w:color="auto"/>
                            <w:bottom w:val="none" w:sz="0" w:space="0" w:color="auto"/>
                            <w:right w:val="none" w:sz="0" w:space="0" w:color="auto"/>
                          </w:divBdr>
                        </w:div>
                        <w:div w:id="934703834">
                          <w:marLeft w:val="0"/>
                          <w:marRight w:val="0"/>
                          <w:marTop w:val="0"/>
                          <w:marBottom w:val="0"/>
                          <w:divBdr>
                            <w:top w:val="none" w:sz="0" w:space="0" w:color="auto"/>
                            <w:left w:val="none" w:sz="0" w:space="0" w:color="auto"/>
                            <w:bottom w:val="none" w:sz="0" w:space="0" w:color="auto"/>
                            <w:right w:val="none" w:sz="0" w:space="0" w:color="auto"/>
                          </w:divBdr>
                        </w:div>
                      </w:divsChild>
                    </w:div>
                    <w:div w:id="1654486917">
                      <w:marLeft w:val="0"/>
                      <w:marRight w:val="0"/>
                      <w:marTop w:val="0"/>
                      <w:marBottom w:val="0"/>
                      <w:divBdr>
                        <w:top w:val="none" w:sz="0" w:space="0" w:color="auto"/>
                        <w:left w:val="none" w:sz="0" w:space="0" w:color="auto"/>
                        <w:bottom w:val="none" w:sz="0" w:space="0" w:color="auto"/>
                        <w:right w:val="none" w:sz="0" w:space="0" w:color="auto"/>
                      </w:divBdr>
                      <w:divsChild>
                        <w:div w:id="360131059">
                          <w:marLeft w:val="0"/>
                          <w:marRight w:val="0"/>
                          <w:marTop w:val="0"/>
                          <w:marBottom w:val="0"/>
                          <w:divBdr>
                            <w:top w:val="none" w:sz="0" w:space="0" w:color="auto"/>
                            <w:left w:val="none" w:sz="0" w:space="0" w:color="auto"/>
                            <w:bottom w:val="none" w:sz="0" w:space="0" w:color="auto"/>
                            <w:right w:val="none" w:sz="0" w:space="0" w:color="auto"/>
                          </w:divBdr>
                        </w:div>
                      </w:divsChild>
                    </w:div>
                    <w:div w:id="1096946862">
                      <w:marLeft w:val="0"/>
                      <w:marRight w:val="0"/>
                      <w:marTop w:val="0"/>
                      <w:marBottom w:val="0"/>
                      <w:divBdr>
                        <w:top w:val="none" w:sz="0" w:space="0" w:color="auto"/>
                        <w:left w:val="none" w:sz="0" w:space="0" w:color="auto"/>
                        <w:bottom w:val="none" w:sz="0" w:space="0" w:color="auto"/>
                        <w:right w:val="none" w:sz="0" w:space="0" w:color="auto"/>
                      </w:divBdr>
                      <w:divsChild>
                        <w:div w:id="1568226864">
                          <w:marLeft w:val="0"/>
                          <w:marRight w:val="0"/>
                          <w:marTop w:val="0"/>
                          <w:marBottom w:val="0"/>
                          <w:divBdr>
                            <w:top w:val="none" w:sz="0" w:space="0" w:color="auto"/>
                            <w:left w:val="none" w:sz="0" w:space="0" w:color="auto"/>
                            <w:bottom w:val="none" w:sz="0" w:space="0" w:color="auto"/>
                            <w:right w:val="none" w:sz="0" w:space="0" w:color="auto"/>
                          </w:divBdr>
                        </w:div>
                        <w:div w:id="1215895252">
                          <w:marLeft w:val="0"/>
                          <w:marRight w:val="0"/>
                          <w:marTop w:val="0"/>
                          <w:marBottom w:val="0"/>
                          <w:divBdr>
                            <w:top w:val="none" w:sz="0" w:space="0" w:color="auto"/>
                            <w:left w:val="none" w:sz="0" w:space="0" w:color="auto"/>
                            <w:bottom w:val="none" w:sz="0" w:space="0" w:color="auto"/>
                            <w:right w:val="none" w:sz="0" w:space="0" w:color="auto"/>
                          </w:divBdr>
                        </w:div>
                        <w:div w:id="1544907354">
                          <w:marLeft w:val="0"/>
                          <w:marRight w:val="0"/>
                          <w:marTop w:val="0"/>
                          <w:marBottom w:val="0"/>
                          <w:divBdr>
                            <w:top w:val="none" w:sz="0" w:space="0" w:color="auto"/>
                            <w:left w:val="none" w:sz="0" w:space="0" w:color="auto"/>
                            <w:bottom w:val="none" w:sz="0" w:space="0" w:color="auto"/>
                            <w:right w:val="none" w:sz="0" w:space="0" w:color="auto"/>
                          </w:divBdr>
                        </w:div>
                        <w:div w:id="765806843">
                          <w:marLeft w:val="0"/>
                          <w:marRight w:val="0"/>
                          <w:marTop w:val="0"/>
                          <w:marBottom w:val="0"/>
                          <w:divBdr>
                            <w:top w:val="none" w:sz="0" w:space="0" w:color="auto"/>
                            <w:left w:val="none" w:sz="0" w:space="0" w:color="auto"/>
                            <w:bottom w:val="none" w:sz="0" w:space="0" w:color="auto"/>
                            <w:right w:val="none" w:sz="0" w:space="0" w:color="auto"/>
                          </w:divBdr>
                        </w:div>
                        <w:div w:id="1488084587">
                          <w:marLeft w:val="0"/>
                          <w:marRight w:val="0"/>
                          <w:marTop w:val="0"/>
                          <w:marBottom w:val="0"/>
                          <w:divBdr>
                            <w:top w:val="none" w:sz="0" w:space="0" w:color="auto"/>
                            <w:left w:val="none" w:sz="0" w:space="0" w:color="auto"/>
                            <w:bottom w:val="none" w:sz="0" w:space="0" w:color="auto"/>
                            <w:right w:val="none" w:sz="0" w:space="0" w:color="auto"/>
                          </w:divBdr>
                        </w:div>
                      </w:divsChild>
                    </w:div>
                    <w:div w:id="856846700">
                      <w:marLeft w:val="0"/>
                      <w:marRight w:val="0"/>
                      <w:marTop w:val="0"/>
                      <w:marBottom w:val="0"/>
                      <w:divBdr>
                        <w:top w:val="none" w:sz="0" w:space="0" w:color="auto"/>
                        <w:left w:val="none" w:sz="0" w:space="0" w:color="auto"/>
                        <w:bottom w:val="none" w:sz="0" w:space="0" w:color="auto"/>
                        <w:right w:val="none" w:sz="0" w:space="0" w:color="auto"/>
                      </w:divBdr>
                      <w:divsChild>
                        <w:div w:id="1748192097">
                          <w:marLeft w:val="0"/>
                          <w:marRight w:val="0"/>
                          <w:marTop w:val="0"/>
                          <w:marBottom w:val="0"/>
                          <w:divBdr>
                            <w:top w:val="none" w:sz="0" w:space="0" w:color="auto"/>
                            <w:left w:val="none" w:sz="0" w:space="0" w:color="auto"/>
                            <w:bottom w:val="none" w:sz="0" w:space="0" w:color="auto"/>
                            <w:right w:val="none" w:sz="0" w:space="0" w:color="auto"/>
                          </w:divBdr>
                        </w:div>
                        <w:div w:id="1409230522">
                          <w:marLeft w:val="0"/>
                          <w:marRight w:val="0"/>
                          <w:marTop w:val="0"/>
                          <w:marBottom w:val="0"/>
                          <w:divBdr>
                            <w:top w:val="none" w:sz="0" w:space="0" w:color="auto"/>
                            <w:left w:val="none" w:sz="0" w:space="0" w:color="auto"/>
                            <w:bottom w:val="none" w:sz="0" w:space="0" w:color="auto"/>
                            <w:right w:val="none" w:sz="0" w:space="0" w:color="auto"/>
                          </w:divBdr>
                        </w:div>
                      </w:divsChild>
                    </w:div>
                    <w:div w:id="1679847482">
                      <w:marLeft w:val="0"/>
                      <w:marRight w:val="0"/>
                      <w:marTop w:val="0"/>
                      <w:marBottom w:val="0"/>
                      <w:divBdr>
                        <w:top w:val="none" w:sz="0" w:space="0" w:color="auto"/>
                        <w:left w:val="none" w:sz="0" w:space="0" w:color="auto"/>
                        <w:bottom w:val="none" w:sz="0" w:space="0" w:color="auto"/>
                        <w:right w:val="none" w:sz="0" w:space="0" w:color="auto"/>
                      </w:divBdr>
                      <w:divsChild>
                        <w:div w:id="1468745018">
                          <w:marLeft w:val="0"/>
                          <w:marRight w:val="0"/>
                          <w:marTop w:val="0"/>
                          <w:marBottom w:val="0"/>
                          <w:divBdr>
                            <w:top w:val="none" w:sz="0" w:space="0" w:color="auto"/>
                            <w:left w:val="none" w:sz="0" w:space="0" w:color="auto"/>
                            <w:bottom w:val="none" w:sz="0" w:space="0" w:color="auto"/>
                            <w:right w:val="none" w:sz="0" w:space="0" w:color="auto"/>
                          </w:divBdr>
                        </w:div>
                      </w:divsChild>
                    </w:div>
                    <w:div w:id="1805540087">
                      <w:marLeft w:val="0"/>
                      <w:marRight w:val="0"/>
                      <w:marTop w:val="0"/>
                      <w:marBottom w:val="0"/>
                      <w:divBdr>
                        <w:top w:val="none" w:sz="0" w:space="0" w:color="auto"/>
                        <w:left w:val="none" w:sz="0" w:space="0" w:color="auto"/>
                        <w:bottom w:val="none" w:sz="0" w:space="0" w:color="auto"/>
                        <w:right w:val="none" w:sz="0" w:space="0" w:color="auto"/>
                      </w:divBdr>
                      <w:divsChild>
                        <w:div w:id="980109898">
                          <w:marLeft w:val="0"/>
                          <w:marRight w:val="0"/>
                          <w:marTop w:val="0"/>
                          <w:marBottom w:val="0"/>
                          <w:divBdr>
                            <w:top w:val="none" w:sz="0" w:space="0" w:color="auto"/>
                            <w:left w:val="none" w:sz="0" w:space="0" w:color="auto"/>
                            <w:bottom w:val="none" w:sz="0" w:space="0" w:color="auto"/>
                            <w:right w:val="none" w:sz="0" w:space="0" w:color="auto"/>
                          </w:divBdr>
                        </w:div>
                        <w:div w:id="413818243">
                          <w:marLeft w:val="0"/>
                          <w:marRight w:val="0"/>
                          <w:marTop w:val="0"/>
                          <w:marBottom w:val="0"/>
                          <w:divBdr>
                            <w:top w:val="none" w:sz="0" w:space="0" w:color="auto"/>
                            <w:left w:val="none" w:sz="0" w:space="0" w:color="auto"/>
                            <w:bottom w:val="none" w:sz="0" w:space="0" w:color="auto"/>
                            <w:right w:val="none" w:sz="0" w:space="0" w:color="auto"/>
                          </w:divBdr>
                        </w:div>
                        <w:div w:id="211121205">
                          <w:marLeft w:val="0"/>
                          <w:marRight w:val="0"/>
                          <w:marTop w:val="0"/>
                          <w:marBottom w:val="0"/>
                          <w:divBdr>
                            <w:top w:val="none" w:sz="0" w:space="0" w:color="auto"/>
                            <w:left w:val="none" w:sz="0" w:space="0" w:color="auto"/>
                            <w:bottom w:val="none" w:sz="0" w:space="0" w:color="auto"/>
                            <w:right w:val="none" w:sz="0" w:space="0" w:color="auto"/>
                          </w:divBdr>
                        </w:div>
                        <w:div w:id="1577202407">
                          <w:marLeft w:val="0"/>
                          <w:marRight w:val="0"/>
                          <w:marTop w:val="0"/>
                          <w:marBottom w:val="0"/>
                          <w:divBdr>
                            <w:top w:val="none" w:sz="0" w:space="0" w:color="auto"/>
                            <w:left w:val="none" w:sz="0" w:space="0" w:color="auto"/>
                            <w:bottom w:val="none" w:sz="0" w:space="0" w:color="auto"/>
                            <w:right w:val="none" w:sz="0" w:space="0" w:color="auto"/>
                          </w:divBdr>
                        </w:div>
                        <w:div w:id="1750225838">
                          <w:marLeft w:val="0"/>
                          <w:marRight w:val="0"/>
                          <w:marTop w:val="0"/>
                          <w:marBottom w:val="0"/>
                          <w:divBdr>
                            <w:top w:val="none" w:sz="0" w:space="0" w:color="auto"/>
                            <w:left w:val="none" w:sz="0" w:space="0" w:color="auto"/>
                            <w:bottom w:val="none" w:sz="0" w:space="0" w:color="auto"/>
                            <w:right w:val="none" w:sz="0" w:space="0" w:color="auto"/>
                          </w:divBdr>
                        </w:div>
                        <w:div w:id="1672877857">
                          <w:marLeft w:val="0"/>
                          <w:marRight w:val="0"/>
                          <w:marTop w:val="0"/>
                          <w:marBottom w:val="0"/>
                          <w:divBdr>
                            <w:top w:val="none" w:sz="0" w:space="0" w:color="auto"/>
                            <w:left w:val="none" w:sz="0" w:space="0" w:color="auto"/>
                            <w:bottom w:val="none" w:sz="0" w:space="0" w:color="auto"/>
                            <w:right w:val="none" w:sz="0" w:space="0" w:color="auto"/>
                          </w:divBdr>
                        </w:div>
                        <w:div w:id="1229656867">
                          <w:marLeft w:val="0"/>
                          <w:marRight w:val="0"/>
                          <w:marTop w:val="0"/>
                          <w:marBottom w:val="0"/>
                          <w:divBdr>
                            <w:top w:val="none" w:sz="0" w:space="0" w:color="auto"/>
                            <w:left w:val="none" w:sz="0" w:space="0" w:color="auto"/>
                            <w:bottom w:val="none" w:sz="0" w:space="0" w:color="auto"/>
                            <w:right w:val="none" w:sz="0" w:space="0" w:color="auto"/>
                          </w:divBdr>
                        </w:div>
                        <w:div w:id="1166820312">
                          <w:marLeft w:val="0"/>
                          <w:marRight w:val="0"/>
                          <w:marTop w:val="0"/>
                          <w:marBottom w:val="0"/>
                          <w:divBdr>
                            <w:top w:val="none" w:sz="0" w:space="0" w:color="auto"/>
                            <w:left w:val="none" w:sz="0" w:space="0" w:color="auto"/>
                            <w:bottom w:val="none" w:sz="0" w:space="0" w:color="auto"/>
                            <w:right w:val="none" w:sz="0" w:space="0" w:color="auto"/>
                          </w:divBdr>
                        </w:div>
                        <w:div w:id="1394506842">
                          <w:marLeft w:val="0"/>
                          <w:marRight w:val="0"/>
                          <w:marTop w:val="0"/>
                          <w:marBottom w:val="0"/>
                          <w:divBdr>
                            <w:top w:val="none" w:sz="0" w:space="0" w:color="auto"/>
                            <w:left w:val="none" w:sz="0" w:space="0" w:color="auto"/>
                            <w:bottom w:val="none" w:sz="0" w:space="0" w:color="auto"/>
                            <w:right w:val="none" w:sz="0" w:space="0" w:color="auto"/>
                          </w:divBdr>
                        </w:div>
                        <w:div w:id="778841403">
                          <w:marLeft w:val="0"/>
                          <w:marRight w:val="0"/>
                          <w:marTop w:val="0"/>
                          <w:marBottom w:val="0"/>
                          <w:divBdr>
                            <w:top w:val="none" w:sz="0" w:space="0" w:color="auto"/>
                            <w:left w:val="none" w:sz="0" w:space="0" w:color="auto"/>
                            <w:bottom w:val="none" w:sz="0" w:space="0" w:color="auto"/>
                            <w:right w:val="none" w:sz="0" w:space="0" w:color="auto"/>
                          </w:divBdr>
                        </w:div>
                        <w:div w:id="1472669032">
                          <w:marLeft w:val="0"/>
                          <w:marRight w:val="0"/>
                          <w:marTop w:val="0"/>
                          <w:marBottom w:val="0"/>
                          <w:divBdr>
                            <w:top w:val="none" w:sz="0" w:space="0" w:color="auto"/>
                            <w:left w:val="none" w:sz="0" w:space="0" w:color="auto"/>
                            <w:bottom w:val="none" w:sz="0" w:space="0" w:color="auto"/>
                            <w:right w:val="none" w:sz="0" w:space="0" w:color="auto"/>
                          </w:divBdr>
                        </w:div>
                        <w:div w:id="1808013896">
                          <w:marLeft w:val="0"/>
                          <w:marRight w:val="0"/>
                          <w:marTop w:val="0"/>
                          <w:marBottom w:val="0"/>
                          <w:divBdr>
                            <w:top w:val="none" w:sz="0" w:space="0" w:color="auto"/>
                            <w:left w:val="none" w:sz="0" w:space="0" w:color="auto"/>
                            <w:bottom w:val="none" w:sz="0" w:space="0" w:color="auto"/>
                            <w:right w:val="none" w:sz="0" w:space="0" w:color="auto"/>
                          </w:divBdr>
                        </w:div>
                        <w:div w:id="1342971738">
                          <w:marLeft w:val="0"/>
                          <w:marRight w:val="0"/>
                          <w:marTop w:val="0"/>
                          <w:marBottom w:val="0"/>
                          <w:divBdr>
                            <w:top w:val="none" w:sz="0" w:space="0" w:color="auto"/>
                            <w:left w:val="none" w:sz="0" w:space="0" w:color="auto"/>
                            <w:bottom w:val="none" w:sz="0" w:space="0" w:color="auto"/>
                            <w:right w:val="none" w:sz="0" w:space="0" w:color="auto"/>
                          </w:divBdr>
                        </w:div>
                        <w:div w:id="1725636489">
                          <w:marLeft w:val="0"/>
                          <w:marRight w:val="0"/>
                          <w:marTop w:val="0"/>
                          <w:marBottom w:val="0"/>
                          <w:divBdr>
                            <w:top w:val="none" w:sz="0" w:space="0" w:color="auto"/>
                            <w:left w:val="none" w:sz="0" w:space="0" w:color="auto"/>
                            <w:bottom w:val="none" w:sz="0" w:space="0" w:color="auto"/>
                            <w:right w:val="none" w:sz="0" w:space="0" w:color="auto"/>
                          </w:divBdr>
                        </w:div>
                        <w:div w:id="1810782571">
                          <w:marLeft w:val="0"/>
                          <w:marRight w:val="0"/>
                          <w:marTop w:val="0"/>
                          <w:marBottom w:val="0"/>
                          <w:divBdr>
                            <w:top w:val="none" w:sz="0" w:space="0" w:color="auto"/>
                            <w:left w:val="none" w:sz="0" w:space="0" w:color="auto"/>
                            <w:bottom w:val="none" w:sz="0" w:space="0" w:color="auto"/>
                            <w:right w:val="none" w:sz="0" w:space="0" w:color="auto"/>
                          </w:divBdr>
                        </w:div>
                        <w:div w:id="1030187099">
                          <w:marLeft w:val="0"/>
                          <w:marRight w:val="0"/>
                          <w:marTop w:val="0"/>
                          <w:marBottom w:val="0"/>
                          <w:divBdr>
                            <w:top w:val="none" w:sz="0" w:space="0" w:color="auto"/>
                            <w:left w:val="none" w:sz="0" w:space="0" w:color="auto"/>
                            <w:bottom w:val="none" w:sz="0" w:space="0" w:color="auto"/>
                            <w:right w:val="none" w:sz="0" w:space="0" w:color="auto"/>
                          </w:divBdr>
                        </w:div>
                        <w:div w:id="459956439">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 w:id="616910740">
                          <w:marLeft w:val="0"/>
                          <w:marRight w:val="0"/>
                          <w:marTop w:val="0"/>
                          <w:marBottom w:val="0"/>
                          <w:divBdr>
                            <w:top w:val="none" w:sz="0" w:space="0" w:color="auto"/>
                            <w:left w:val="none" w:sz="0" w:space="0" w:color="auto"/>
                            <w:bottom w:val="none" w:sz="0" w:space="0" w:color="auto"/>
                            <w:right w:val="none" w:sz="0" w:space="0" w:color="auto"/>
                          </w:divBdr>
                        </w:div>
                        <w:div w:id="4699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24363483">
      <w:bodyDiv w:val="1"/>
      <w:marLeft w:val="0"/>
      <w:marRight w:val="0"/>
      <w:marTop w:val="0"/>
      <w:marBottom w:val="0"/>
      <w:divBdr>
        <w:top w:val="none" w:sz="0" w:space="0" w:color="auto"/>
        <w:left w:val="none" w:sz="0" w:space="0" w:color="auto"/>
        <w:bottom w:val="none" w:sz="0" w:space="0" w:color="auto"/>
        <w:right w:val="none" w:sz="0" w:space="0" w:color="auto"/>
      </w:divBdr>
      <w:divsChild>
        <w:div w:id="370692979">
          <w:marLeft w:val="0"/>
          <w:marRight w:val="0"/>
          <w:marTop w:val="0"/>
          <w:marBottom w:val="0"/>
          <w:divBdr>
            <w:top w:val="none" w:sz="0" w:space="0" w:color="auto"/>
            <w:left w:val="none" w:sz="0" w:space="0" w:color="auto"/>
            <w:bottom w:val="none" w:sz="0" w:space="0" w:color="auto"/>
            <w:right w:val="none" w:sz="0" w:space="0" w:color="auto"/>
          </w:divBdr>
          <w:divsChild>
            <w:div w:id="1406337230">
              <w:marLeft w:val="0"/>
              <w:marRight w:val="0"/>
              <w:marTop w:val="0"/>
              <w:marBottom w:val="0"/>
              <w:divBdr>
                <w:top w:val="none" w:sz="0" w:space="0" w:color="auto"/>
                <w:left w:val="none" w:sz="0" w:space="0" w:color="auto"/>
                <w:bottom w:val="none" w:sz="0" w:space="0" w:color="auto"/>
                <w:right w:val="none" w:sz="0" w:space="0" w:color="auto"/>
              </w:divBdr>
              <w:divsChild>
                <w:div w:id="1258102238">
                  <w:marLeft w:val="0"/>
                  <w:marRight w:val="0"/>
                  <w:marTop w:val="0"/>
                  <w:marBottom w:val="0"/>
                  <w:divBdr>
                    <w:top w:val="none" w:sz="0" w:space="0" w:color="auto"/>
                    <w:left w:val="none" w:sz="0" w:space="0" w:color="auto"/>
                    <w:bottom w:val="none" w:sz="0" w:space="0" w:color="auto"/>
                    <w:right w:val="none" w:sz="0" w:space="0" w:color="auto"/>
                  </w:divBdr>
                  <w:divsChild>
                    <w:div w:id="1162501215">
                      <w:marLeft w:val="0"/>
                      <w:marRight w:val="0"/>
                      <w:marTop w:val="0"/>
                      <w:marBottom w:val="0"/>
                      <w:divBdr>
                        <w:top w:val="none" w:sz="0" w:space="0" w:color="auto"/>
                        <w:left w:val="none" w:sz="0" w:space="0" w:color="auto"/>
                        <w:bottom w:val="none" w:sz="0" w:space="0" w:color="auto"/>
                        <w:right w:val="none" w:sz="0" w:space="0" w:color="auto"/>
                      </w:divBdr>
                      <w:divsChild>
                        <w:div w:id="392317857">
                          <w:marLeft w:val="0"/>
                          <w:marRight w:val="0"/>
                          <w:marTop w:val="0"/>
                          <w:marBottom w:val="0"/>
                          <w:divBdr>
                            <w:top w:val="none" w:sz="0" w:space="0" w:color="auto"/>
                            <w:left w:val="none" w:sz="0" w:space="0" w:color="auto"/>
                            <w:bottom w:val="none" w:sz="0" w:space="0" w:color="auto"/>
                            <w:right w:val="none" w:sz="0" w:space="0" w:color="auto"/>
                          </w:divBdr>
                        </w:div>
                        <w:div w:id="2091004336">
                          <w:marLeft w:val="0"/>
                          <w:marRight w:val="0"/>
                          <w:marTop w:val="0"/>
                          <w:marBottom w:val="0"/>
                          <w:divBdr>
                            <w:top w:val="none" w:sz="0" w:space="0" w:color="auto"/>
                            <w:left w:val="none" w:sz="0" w:space="0" w:color="auto"/>
                            <w:bottom w:val="none" w:sz="0" w:space="0" w:color="auto"/>
                            <w:right w:val="none" w:sz="0" w:space="0" w:color="auto"/>
                          </w:divBdr>
                        </w:div>
                      </w:divsChild>
                    </w:div>
                    <w:div w:id="946884677">
                      <w:marLeft w:val="0"/>
                      <w:marRight w:val="0"/>
                      <w:marTop w:val="0"/>
                      <w:marBottom w:val="0"/>
                      <w:divBdr>
                        <w:top w:val="none" w:sz="0" w:space="0" w:color="auto"/>
                        <w:left w:val="none" w:sz="0" w:space="0" w:color="auto"/>
                        <w:bottom w:val="none" w:sz="0" w:space="0" w:color="auto"/>
                        <w:right w:val="none" w:sz="0" w:space="0" w:color="auto"/>
                      </w:divBdr>
                      <w:divsChild>
                        <w:div w:id="1217861358">
                          <w:marLeft w:val="0"/>
                          <w:marRight w:val="0"/>
                          <w:marTop w:val="0"/>
                          <w:marBottom w:val="0"/>
                          <w:divBdr>
                            <w:top w:val="none" w:sz="0" w:space="0" w:color="auto"/>
                            <w:left w:val="none" w:sz="0" w:space="0" w:color="auto"/>
                            <w:bottom w:val="none" w:sz="0" w:space="0" w:color="auto"/>
                            <w:right w:val="none" w:sz="0" w:space="0" w:color="auto"/>
                          </w:divBdr>
                        </w:div>
                      </w:divsChild>
                    </w:div>
                    <w:div w:id="503977614">
                      <w:marLeft w:val="0"/>
                      <w:marRight w:val="0"/>
                      <w:marTop w:val="0"/>
                      <w:marBottom w:val="0"/>
                      <w:divBdr>
                        <w:top w:val="none" w:sz="0" w:space="0" w:color="auto"/>
                        <w:left w:val="none" w:sz="0" w:space="0" w:color="auto"/>
                        <w:bottom w:val="none" w:sz="0" w:space="0" w:color="auto"/>
                        <w:right w:val="none" w:sz="0" w:space="0" w:color="auto"/>
                      </w:divBdr>
                      <w:divsChild>
                        <w:div w:id="283847591">
                          <w:marLeft w:val="0"/>
                          <w:marRight w:val="0"/>
                          <w:marTop w:val="0"/>
                          <w:marBottom w:val="0"/>
                          <w:divBdr>
                            <w:top w:val="none" w:sz="0" w:space="0" w:color="auto"/>
                            <w:left w:val="none" w:sz="0" w:space="0" w:color="auto"/>
                            <w:bottom w:val="none" w:sz="0" w:space="0" w:color="auto"/>
                            <w:right w:val="none" w:sz="0" w:space="0" w:color="auto"/>
                          </w:divBdr>
                        </w:div>
                        <w:div w:id="861431706">
                          <w:marLeft w:val="0"/>
                          <w:marRight w:val="0"/>
                          <w:marTop w:val="0"/>
                          <w:marBottom w:val="0"/>
                          <w:divBdr>
                            <w:top w:val="none" w:sz="0" w:space="0" w:color="auto"/>
                            <w:left w:val="none" w:sz="0" w:space="0" w:color="auto"/>
                            <w:bottom w:val="none" w:sz="0" w:space="0" w:color="auto"/>
                            <w:right w:val="none" w:sz="0" w:space="0" w:color="auto"/>
                          </w:divBdr>
                        </w:div>
                        <w:div w:id="725573183">
                          <w:marLeft w:val="0"/>
                          <w:marRight w:val="0"/>
                          <w:marTop w:val="0"/>
                          <w:marBottom w:val="0"/>
                          <w:divBdr>
                            <w:top w:val="none" w:sz="0" w:space="0" w:color="auto"/>
                            <w:left w:val="none" w:sz="0" w:space="0" w:color="auto"/>
                            <w:bottom w:val="none" w:sz="0" w:space="0" w:color="auto"/>
                            <w:right w:val="none" w:sz="0" w:space="0" w:color="auto"/>
                          </w:divBdr>
                        </w:div>
                        <w:div w:id="875851238">
                          <w:marLeft w:val="0"/>
                          <w:marRight w:val="0"/>
                          <w:marTop w:val="0"/>
                          <w:marBottom w:val="0"/>
                          <w:divBdr>
                            <w:top w:val="none" w:sz="0" w:space="0" w:color="auto"/>
                            <w:left w:val="none" w:sz="0" w:space="0" w:color="auto"/>
                            <w:bottom w:val="none" w:sz="0" w:space="0" w:color="auto"/>
                            <w:right w:val="none" w:sz="0" w:space="0" w:color="auto"/>
                          </w:divBdr>
                        </w:div>
                        <w:div w:id="1000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3592">
              <w:marLeft w:val="0"/>
              <w:marRight w:val="0"/>
              <w:marTop w:val="0"/>
              <w:marBottom w:val="0"/>
              <w:divBdr>
                <w:top w:val="none" w:sz="0" w:space="0" w:color="auto"/>
                <w:left w:val="none" w:sz="0" w:space="0" w:color="auto"/>
                <w:bottom w:val="none" w:sz="0" w:space="0" w:color="auto"/>
                <w:right w:val="none" w:sz="0" w:space="0" w:color="auto"/>
              </w:divBdr>
            </w:div>
            <w:div w:id="1236015320">
              <w:marLeft w:val="0"/>
              <w:marRight w:val="0"/>
              <w:marTop w:val="0"/>
              <w:marBottom w:val="0"/>
              <w:divBdr>
                <w:top w:val="none" w:sz="0" w:space="0" w:color="auto"/>
                <w:left w:val="none" w:sz="0" w:space="0" w:color="auto"/>
                <w:bottom w:val="none" w:sz="0" w:space="0" w:color="auto"/>
                <w:right w:val="none" w:sz="0" w:space="0" w:color="auto"/>
              </w:divBdr>
              <w:divsChild>
                <w:div w:id="1979458447">
                  <w:marLeft w:val="0"/>
                  <w:marRight w:val="0"/>
                  <w:marTop w:val="0"/>
                  <w:marBottom w:val="0"/>
                  <w:divBdr>
                    <w:top w:val="none" w:sz="0" w:space="0" w:color="auto"/>
                    <w:left w:val="none" w:sz="0" w:space="0" w:color="auto"/>
                    <w:bottom w:val="none" w:sz="0" w:space="0" w:color="auto"/>
                    <w:right w:val="none" w:sz="0" w:space="0" w:color="auto"/>
                  </w:divBdr>
                  <w:divsChild>
                    <w:div w:id="1636333356">
                      <w:marLeft w:val="0"/>
                      <w:marRight w:val="0"/>
                      <w:marTop w:val="0"/>
                      <w:marBottom w:val="0"/>
                      <w:divBdr>
                        <w:top w:val="none" w:sz="0" w:space="0" w:color="auto"/>
                        <w:left w:val="none" w:sz="0" w:space="0" w:color="auto"/>
                        <w:bottom w:val="none" w:sz="0" w:space="0" w:color="auto"/>
                        <w:right w:val="none" w:sz="0" w:space="0" w:color="auto"/>
                      </w:divBdr>
                      <w:divsChild>
                        <w:div w:id="196088025">
                          <w:marLeft w:val="0"/>
                          <w:marRight w:val="0"/>
                          <w:marTop w:val="0"/>
                          <w:marBottom w:val="0"/>
                          <w:divBdr>
                            <w:top w:val="none" w:sz="0" w:space="0" w:color="auto"/>
                            <w:left w:val="none" w:sz="0" w:space="0" w:color="auto"/>
                            <w:bottom w:val="none" w:sz="0" w:space="0" w:color="auto"/>
                            <w:right w:val="none" w:sz="0" w:space="0" w:color="auto"/>
                          </w:divBdr>
                        </w:div>
                      </w:divsChild>
                    </w:div>
                    <w:div w:id="910697557">
                      <w:marLeft w:val="0"/>
                      <w:marRight w:val="0"/>
                      <w:marTop w:val="0"/>
                      <w:marBottom w:val="0"/>
                      <w:divBdr>
                        <w:top w:val="none" w:sz="0" w:space="0" w:color="auto"/>
                        <w:left w:val="none" w:sz="0" w:space="0" w:color="auto"/>
                        <w:bottom w:val="none" w:sz="0" w:space="0" w:color="auto"/>
                        <w:right w:val="none" w:sz="0" w:space="0" w:color="auto"/>
                      </w:divBdr>
                      <w:divsChild>
                        <w:div w:id="1938126434">
                          <w:marLeft w:val="0"/>
                          <w:marRight w:val="0"/>
                          <w:marTop w:val="0"/>
                          <w:marBottom w:val="0"/>
                          <w:divBdr>
                            <w:top w:val="none" w:sz="0" w:space="0" w:color="auto"/>
                            <w:left w:val="none" w:sz="0" w:space="0" w:color="auto"/>
                            <w:bottom w:val="none" w:sz="0" w:space="0" w:color="auto"/>
                            <w:right w:val="none" w:sz="0" w:space="0" w:color="auto"/>
                          </w:divBdr>
                        </w:div>
                      </w:divsChild>
                    </w:div>
                    <w:div w:id="1468400352">
                      <w:marLeft w:val="0"/>
                      <w:marRight w:val="0"/>
                      <w:marTop w:val="0"/>
                      <w:marBottom w:val="0"/>
                      <w:divBdr>
                        <w:top w:val="none" w:sz="0" w:space="0" w:color="auto"/>
                        <w:left w:val="none" w:sz="0" w:space="0" w:color="auto"/>
                        <w:bottom w:val="none" w:sz="0" w:space="0" w:color="auto"/>
                        <w:right w:val="none" w:sz="0" w:space="0" w:color="auto"/>
                      </w:divBdr>
                      <w:divsChild>
                        <w:div w:id="1730347931">
                          <w:marLeft w:val="0"/>
                          <w:marRight w:val="0"/>
                          <w:marTop w:val="0"/>
                          <w:marBottom w:val="0"/>
                          <w:divBdr>
                            <w:top w:val="none" w:sz="0" w:space="0" w:color="auto"/>
                            <w:left w:val="none" w:sz="0" w:space="0" w:color="auto"/>
                            <w:bottom w:val="none" w:sz="0" w:space="0" w:color="auto"/>
                            <w:right w:val="none" w:sz="0" w:space="0" w:color="auto"/>
                          </w:divBdr>
                        </w:div>
                      </w:divsChild>
                    </w:div>
                    <w:div w:id="349835561">
                      <w:marLeft w:val="0"/>
                      <w:marRight w:val="0"/>
                      <w:marTop w:val="0"/>
                      <w:marBottom w:val="0"/>
                      <w:divBdr>
                        <w:top w:val="none" w:sz="0" w:space="0" w:color="auto"/>
                        <w:left w:val="none" w:sz="0" w:space="0" w:color="auto"/>
                        <w:bottom w:val="none" w:sz="0" w:space="0" w:color="auto"/>
                        <w:right w:val="none" w:sz="0" w:space="0" w:color="auto"/>
                      </w:divBdr>
                      <w:divsChild>
                        <w:div w:id="1184826776">
                          <w:marLeft w:val="0"/>
                          <w:marRight w:val="0"/>
                          <w:marTop w:val="0"/>
                          <w:marBottom w:val="0"/>
                          <w:divBdr>
                            <w:top w:val="none" w:sz="0" w:space="0" w:color="auto"/>
                            <w:left w:val="none" w:sz="0" w:space="0" w:color="auto"/>
                            <w:bottom w:val="none" w:sz="0" w:space="0" w:color="auto"/>
                            <w:right w:val="none" w:sz="0" w:space="0" w:color="auto"/>
                          </w:divBdr>
                        </w:div>
                      </w:divsChild>
                    </w:div>
                    <w:div w:id="236092109">
                      <w:marLeft w:val="0"/>
                      <w:marRight w:val="0"/>
                      <w:marTop w:val="0"/>
                      <w:marBottom w:val="0"/>
                      <w:divBdr>
                        <w:top w:val="none" w:sz="0" w:space="0" w:color="auto"/>
                        <w:left w:val="none" w:sz="0" w:space="0" w:color="auto"/>
                        <w:bottom w:val="none" w:sz="0" w:space="0" w:color="auto"/>
                        <w:right w:val="none" w:sz="0" w:space="0" w:color="auto"/>
                      </w:divBdr>
                      <w:divsChild>
                        <w:div w:id="1427071950">
                          <w:marLeft w:val="0"/>
                          <w:marRight w:val="0"/>
                          <w:marTop w:val="0"/>
                          <w:marBottom w:val="0"/>
                          <w:divBdr>
                            <w:top w:val="none" w:sz="0" w:space="0" w:color="auto"/>
                            <w:left w:val="none" w:sz="0" w:space="0" w:color="auto"/>
                            <w:bottom w:val="none" w:sz="0" w:space="0" w:color="auto"/>
                            <w:right w:val="none" w:sz="0" w:space="0" w:color="auto"/>
                          </w:divBdr>
                        </w:div>
                      </w:divsChild>
                    </w:div>
                    <w:div w:id="1010137672">
                      <w:marLeft w:val="0"/>
                      <w:marRight w:val="0"/>
                      <w:marTop w:val="0"/>
                      <w:marBottom w:val="0"/>
                      <w:divBdr>
                        <w:top w:val="none" w:sz="0" w:space="0" w:color="auto"/>
                        <w:left w:val="none" w:sz="0" w:space="0" w:color="auto"/>
                        <w:bottom w:val="none" w:sz="0" w:space="0" w:color="auto"/>
                        <w:right w:val="none" w:sz="0" w:space="0" w:color="auto"/>
                      </w:divBdr>
                      <w:divsChild>
                        <w:div w:id="1213540480">
                          <w:marLeft w:val="0"/>
                          <w:marRight w:val="0"/>
                          <w:marTop w:val="0"/>
                          <w:marBottom w:val="0"/>
                          <w:divBdr>
                            <w:top w:val="none" w:sz="0" w:space="0" w:color="auto"/>
                            <w:left w:val="none" w:sz="0" w:space="0" w:color="auto"/>
                            <w:bottom w:val="none" w:sz="0" w:space="0" w:color="auto"/>
                            <w:right w:val="none" w:sz="0" w:space="0" w:color="auto"/>
                          </w:divBdr>
                        </w:div>
                      </w:divsChild>
                    </w:div>
                    <w:div w:id="986208551">
                      <w:marLeft w:val="0"/>
                      <w:marRight w:val="0"/>
                      <w:marTop w:val="0"/>
                      <w:marBottom w:val="0"/>
                      <w:divBdr>
                        <w:top w:val="none" w:sz="0" w:space="0" w:color="auto"/>
                        <w:left w:val="none" w:sz="0" w:space="0" w:color="auto"/>
                        <w:bottom w:val="none" w:sz="0" w:space="0" w:color="auto"/>
                        <w:right w:val="none" w:sz="0" w:space="0" w:color="auto"/>
                      </w:divBdr>
                      <w:divsChild>
                        <w:div w:id="956836899">
                          <w:marLeft w:val="0"/>
                          <w:marRight w:val="0"/>
                          <w:marTop w:val="0"/>
                          <w:marBottom w:val="0"/>
                          <w:divBdr>
                            <w:top w:val="none" w:sz="0" w:space="0" w:color="auto"/>
                            <w:left w:val="none" w:sz="0" w:space="0" w:color="auto"/>
                            <w:bottom w:val="none" w:sz="0" w:space="0" w:color="auto"/>
                            <w:right w:val="none" w:sz="0" w:space="0" w:color="auto"/>
                          </w:divBdr>
                        </w:div>
                        <w:div w:id="1178498276">
                          <w:marLeft w:val="0"/>
                          <w:marRight w:val="0"/>
                          <w:marTop w:val="0"/>
                          <w:marBottom w:val="0"/>
                          <w:divBdr>
                            <w:top w:val="none" w:sz="0" w:space="0" w:color="auto"/>
                            <w:left w:val="none" w:sz="0" w:space="0" w:color="auto"/>
                            <w:bottom w:val="none" w:sz="0" w:space="0" w:color="auto"/>
                            <w:right w:val="none" w:sz="0" w:space="0" w:color="auto"/>
                          </w:divBdr>
                        </w:div>
                        <w:div w:id="172190106">
                          <w:marLeft w:val="0"/>
                          <w:marRight w:val="0"/>
                          <w:marTop w:val="0"/>
                          <w:marBottom w:val="0"/>
                          <w:divBdr>
                            <w:top w:val="none" w:sz="0" w:space="0" w:color="auto"/>
                            <w:left w:val="none" w:sz="0" w:space="0" w:color="auto"/>
                            <w:bottom w:val="none" w:sz="0" w:space="0" w:color="auto"/>
                            <w:right w:val="none" w:sz="0" w:space="0" w:color="auto"/>
                          </w:divBdr>
                        </w:div>
                        <w:div w:id="1375422761">
                          <w:marLeft w:val="0"/>
                          <w:marRight w:val="0"/>
                          <w:marTop w:val="0"/>
                          <w:marBottom w:val="0"/>
                          <w:divBdr>
                            <w:top w:val="none" w:sz="0" w:space="0" w:color="auto"/>
                            <w:left w:val="none" w:sz="0" w:space="0" w:color="auto"/>
                            <w:bottom w:val="none" w:sz="0" w:space="0" w:color="auto"/>
                            <w:right w:val="none" w:sz="0" w:space="0" w:color="auto"/>
                          </w:divBdr>
                        </w:div>
                      </w:divsChild>
                    </w:div>
                    <w:div w:id="1715150626">
                      <w:marLeft w:val="0"/>
                      <w:marRight w:val="0"/>
                      <w:marTop w:val="0"/>
                      <w:marBottom w:val="0"/>
                      <w:divBdr>
                        <w:top w:val="none" w:sz="0" w:space="0" w:color="auto"/>
                        <w:left w:val="none" w:sz="0" w:space="0" w:color="auto"/>
                        <w:bottom w:val="none" w:sz="0" w:space="0" w:color="auto"/>
                        <w:right w:val="none" w:sz="0" w:space="0" w:color="auto"/>
                      </w:divBdr>
                      <w:divsChild>
                        <w:div w:id="1348749670">
                          <w:marLeft w:val="0"/>
                          <w:marRight w:val="0"/>
                          <w:marTop w:val="0"/>
                          <w:marBottom w:val="0"/>
                          <w:divBdr>
                            <w:top w:val="none" w:sz="0" w:space="0" w:color="auto"/>
                            <w:left w:val="none" w:sz="0" w:space="0" w:color="auto"/>
                            <w:bottom w:val="none" w:sz="0" w:space="0" w:color="auto"/>
                            <w:right w:val="none" w:sz="0" w:space="0" w:color="auto"/>
                          </w:divBdr>
                        </w:div>
                      </w:divsChild>
                    </w:div>
                    <w:div w:id="2108038838">
                      <w:marLeft w:val="0"/>
                      <w:marRight w:val="0"/>
                      <w:marTop w:val="0"/>
                      <w:marBottom w:val="0"/>
                      <w:divBdr>
                        <w:top w:val="none" w:sz="0" w:space="0" w:color="auto"/>
                        <w:left w:val="none" w:sz="0" w:space="0" w:color="auto"/>
                        <w:bottom w:val="none" w:sz="0" w:space="0" w:color="auto"/>
                        <w:right w:val="none" w:sz="0" w:space="0" w:color="auto"/>
                      </w:divBdr>
                      <w:divsChild>
                        <w:div w:id="1948804617">
                          <w:marLeft w:val="0"/>
                          <w:marRight w:val="0"/>
                          <w:marTop w:val="0"/>
                          <w:marBottom w:val="0"/>
                          <w:divBdr>
                            <w:top w:val="none" w:sz="0" w:space="0" w:color="auto"/>
                            <w:left w:val="none" w:sz="0" w:space="0" w:color="auto"/>
                            <w:bottom w:val="none" w:sz="0" w:space="0" w:color="auto"/>
                            <w:right w:val="none" w:sz="0" w:space="0" w:color="auto"/>
                          </w:divBdr>
                        </w:div>
                        <w:div w:id="273906399">
                          <w:marLeft w:val="0"/>
                          <w:marRight w:val="0"/>
                          <w:marTop w:val="0"/>
                          <w:marBottom w:val="0"/>
                          <w:divBdr>
                            <w:top w:val="none" w:sz="0" w:space="0" w:color="auto"/>
                            <w:left w:val="none" w:sz="0" w:space="0" w:color="auto"/>
                            <w:bottom w:val="none" w:sz="0" w:space="0" w:color="auto"/>
                            <w:right w:val="none" w:sz="0" w:space="0" w:color="auto"/>
                          </w:divBdr>
                        </w:div>
                        <w:div w:id="1635016072">
                          <w:marLeft w:val="0"/>
                          <w:marRight w:val="0"/>
                          <w:marTop w:val="0"/>
                          <w:marBottom w:val="0"/>
                          <w:divBdr>
                            <w:top w:val="none" w:sz="0" w:space="0" w:color="auto"/>
                            <w:left w:val="none" w:sz="0" w:space="0" w:color="auto"/>
                            <w:bottom w:val="none" w:sz="0" w:space="0" w:color="auto"/>
                            <w:right w:val="none" w:sz="0" w:space="0" w:color="auto"/>
                          </w:divBdr>
                        </w:div>
                        <w:div w:id="774598734">
                          <w:marLeft w:val="0"/>
                          <w:marRight w:val="0"/>
                          <w:marTop w:val="0"/>
                          <w:marBottom w:val="0"/>
                          <w:divBdr>
                            <w:top w:val="none" w:sz="0" w:space="0" w:color="auto"/>
                            <w:left w:val="none" w:sz="0" w:space="0" w:color="auto"/>
                            <w:bottom w:val="none" w:sz="0" w:space="0" w:color="auto"/>
                            <w:right w:val="none" w:sz="0" w:space="0" w:color="auto"/>
                          </w:divBdr>
                        </w:div>
                        <w:div w:id="2065912443">
                          <w:marLeft w:val="0"/>
                          <w:marRight w:val="0"/>
                          <w:marTop w:val="0"/>
                          <w:marBottom w:val="0"/>
                          <w:divBdr>
                            <w:top w:val="none" w:sz="0" w:space="0" w:color="auto"/>
                            <w:left w:val="none" w:sz="0" w:space="0" w:color="auto"/>
                            <w:bottom w:val="none" w:sz="0" w:space="0" w:color="auto"/>
                            <w:right w:val="none" w:sz="0" w:space="0" w:color="auto"/>
                          </w:divBdr>
                        </w:div>
                        <w:div w:id="747270035">
                          <w:marLeft w:val="0"/>
                          <w:marRight w:val="0"/>
                          <w:marTop w:val="0"/>
                          <w:marBottom w:val="0"/>
                          <w:divBdr>
                            <w:top w:val="none" w:sz="0" w:space="0" w:color="auto"/>
                            <w:left w:val="none" w:sz="0" w:space="0" w:color="auto"/>
                            <w:bottom w:val="none" w:sz="0" w:space="0" w:color="auto"/>
                            <w:right w:val="none" w:sz="0" w:space="0" w:color="auto"/>
                          </w:divBdr>
                        </w:div>
                        <w:div w:id="179971929">
                          <w:marLeft w:val="0"/>
                          <w:marRight w:val="0"/>
                          <w:marTop w:val="0"/>
                          <w:marBottom w:val="0"/>
                          <w:divBdr>
                            <w:top w:val="none" w:sz="0" w:space="0" w:color="auto"/>
                            <w:left w:val="none" w:sz="0" w:space="0" w:color="auto"/>
                            <w:bottom w:val="none" w:sz="0" w:space="0" w:color="auto"/>
                            <w:right w:val="none" w:sz="0" w:space="0" w:color="auto"/>
                          </w:divBdr>
                        </w:div>
                        <w:div w:id="225262339">
                          <w:marLeft w:val="0"/>
                          <w:marRight w:val="0"/>
                          <w:marTop w:val="0"/>
                          <w:marBottom w:val="0"/>
                          <w:divBdr>
                            <w:top w:val="none" w:sz="0" w:space="0" w:color="auto"/>
                            <w:left w:val="none" w:sz="0" w:space="0" w:color="auto"/>
                            <w:bottom w:val="none" w:sz="0" w:space="0" w:color="auto"/>
                            <w:right w:val="none" w:sz="0" w:space="0" w:color="auto"/>
                          </w:divBdr>
                        </w:div>
                        <w:div w:id="2126928210">
                          <w:marLeft w:val="0"/>
                          <w:marRight w:val="0"/>
                          <w:marTop w:val="0"/>
                          <w:marBottom w:val="0"/>
                          <w:divBdr>
                            <w:top w:val="none" w:sz="0" w:space="0" w:color="auto"/>
                            <w:left w:val="none" w:sz="0" w:space="0" w:color="auto"/>
                            <w:bottom w:val="none" w:sz="0" w:space="0" w:color="auto"/>
                            <w:right w:val="none" w:sz="0" w:space="0" w:color="auto"/>
                          </w:divBdr>
                        </w:div>
                        <w:div w:id="865603663">
                          <w:marLeft w:val="0"/>
                          <w:marRight w:val="0"/>
                          <w:marTop w:val="0"/>
                          <w:marBottom w:val="0"/>
                          <w:divBdr>
                            <w:top w:val="none" w:sz="0" w:space="0" w:color="auto"/>
                            <w:left w:val="none" w:sz="0" w:space="0" w:color="auto"/>
                            <w:bottom w:val="none" w:sz="0" w:space="0" w:color="auto"/>
                            <w:right w:val="none" w:sz="0" w:space="0" w:color="auto"/>
                          </w:divBdr>
                        </w:div>
                        <w:div w:id="763889494">
                          <w:marLeft w:val="0"/>
                          <w:marRight w:val="0"/>
                          <w:marTop w:val="0"/>
                          <w:marBottom w:val="0"/>
                          <w:divBdr>
                            <w:top w:val="none" w:sz="0" w:space="0" w:color="auto"/>
                            <w:left w:val="none" w:sz="0" w:space="0" w:color="auto"/>
                            <w:bottom w:val="none" w:sz="0" w:space="0" w:color="auto"/>
                            <w:right w:val="none" w:sz="0" w:space="0" w:color="auto"/>
                          </w:divBdr>
                        </w:div>
                        <w:div w:id="2059158987">
                          <w:marLeft w:val="0"/>
                          <w:marRight w:val="0"/>
                          <w:marTop w:val="0"/>
                          <w:marBottom w:val="0"/>
                          <w:divBdr>
                            <w:top w:val="none" w:sz="0" w:space="0" w:color="auto"/>
                            <w:left w:val="none" w:sz="0" w:space="0" w:color="auto"/>
                            <w:bottom w:val="none" w:sz="0" w:space="0" w:color="auto"/>
                            <w:right w:val="none" w:sz="0" w:space="0" w:color="auto"/>
                          </w:divBdr>
                        </w:div>
                        <w:div w:id="172575035">
                          <w:marLeft w:val="0"/>
                          <w:marRight w:val="0"/>
                          <w:marTop w:val="0"/>
                          <w:marBottom w:val="0"/>
                          <w:divBdr>
                            <w:top w:val="none" w:sz="0" w:space="0" w:color="auto"/>
                            <w:left w:val="none" w:sz="0" w:space="0" w:color="auto"/>
                            <w:bottom w:val="none" w:sz="0" w:space="0" w:color="auto"/>
                            <w:right w:val="none" w:sz="0" w:space="0" w:color="auto"/>
                          </w:divBdr>
                        </w:div>
                        <w:div w:id="1738281973">
                          <w:marLeft w:val="0"/>
                          <w:marRight w:val="0"/>
                          <w:marTop w:val="0"/>
                          <w:marBottom w:val="0"/>
                          <w:divBdr>
                            <w:top w:val="none" w:sz="0" w:space="0" w:color="auto"/>
                            <w:left w:val="none" w:sz="0" w:space="0" w:color="auto"/>
                            <w:bottom w:val="none" w:sz="0" w:space="0" w:color="auto"/>
                            <w:right w:val="none" w:sz="0" w:space="0" w:color="auto"/>
                          </w:divBdr>
                        </w:div>
                        <w:div w:id="810908642">
                          <w:marLeft w:val="0"/>
                          <w:marRight w:val="0"/>
                          <w:marTop w:val="0"/>
                          <w:marBottom w:val="0"/>
                          <w:divBdr>
                            <w:top w:val="none" w:sz="0" w:space="0" w:color="auto"/>
                            <w:left w:val="none" w:sz="0" w:space="0" w:color="auto"/>
                            <w:bottom w:val="none" w:sz="0" w:space="0" w:color="auto"/>
                            <w:right w:val="none" w:sz="0" w:space="0" w:color="auto"/>
                          </w:divBdr>
                        </w:div>
                        <w:div w:id="1267544388">
                          <w:marLeft w:val="0"/>
                          <w:marRight w:val="0"/>
                          <w:marTop w:val="0"/>
                          <w:marBottom w:val="0"/>
                          <w:divBdr>
                            <w:top w:val="none" w:sz="0" w:space="0" w:color="auto"/>
                            <w:left w:val="none" w:sz="0" w:space="0" w:color="auto"/>
                            <w:bottom w:val="none" w:sz="0" w:space="0" w:color="auto"/>
                            <w:right w:val="none" w:sz="0" w:space="0" w:color="auto"/>
                          </w:divBdr>
                        </w:div>
                        <w:div w:id="70663401">
                          <w:marLeft w:val="0"/>
                          <w:marRight w:val="0"/>
                          <w:marTop w:val="0"/>
                          <w:marBottom w:val="0"/>
                          <w:divBdr>
                            <w:top w:val="none" w:sz="0" w:space="0" w:color="auto"/>
                            <w:left w:val="none" w:sz="0" w:space="0" w:color="auto"/>
                            <w:bottom w:val="none" w:sz="0" w:space="0" w:color="auto"/>
                            <w:right w:val="none" w:sz="0" w:space="0" w:color="auto"/>
                          </w:divBdr>
                        </w:div>
                        <w:div w:id="1368336366">
                          <w:marLeft w:val="0"/>
                          <w:marRight w:val="0"/>
                          <w:marTop w:val="0"/>
                          <w:marBottom w:val="0"/>
                          <w:divBdr>
                            <w:top w:val="none" w:sz="0" w:space="0" w:color="auto"/>
                            <w:left w:val="none" w:sz="0" w:space="0" w:color="auto"/>
                            <w:bottom w:val="none" w:sz="0" w:space="0" w:color="auto"/>
                            <w:right w:val="none" w:sz="0" w:space="0" w:color="auto"/>
                          </w:divBdr>
                        </w:div>
                        <w:div w:id="1824081016">
                          <w:marLeft w:val="0"/>
                          <w:marRight w:val="0"/>
                          <w:marTop w:val="0"/>
                          <w:marBottom w:val="0"/>
                          <w:divBdr>
                            <w:top w:val="none" w:sz="0" w:space="0" w:color="auto"/>
                            <w:left w:val="none" w:sz="0" w:space="0" w:color="auto"/>
                            <w:bottom w:val="none" w:sz="0" w:space="0" w:color="auto"/>
                            <w:right w:val="none" w:sz="0" w:space="0" w:color="auto"/>
                          </w:divBdr>
                        </w:div>
                        <w:div w:id="1480269366">
                          <w:marLeft w:val="0"/>
                          <w:marRight w:val="0"/>
                          <w:marTop w:val="0"/>
                          <w:marBottom w:val="0"/>
                          <w:divBdr>
                            <w:top w:val="none" w:sz="0" w:space="0" w:color="auto"/>
                            <w:left w:val="none" w:sz="0" w:space="0" w:color="auto"/>
                            <w:bottom w:val="none" w:sz="0" w:space="0" w:color="auto"/>
                            <w:right w:val="none" w:sz="0" w:space="0" w:color="auto"/>
                          </w:divBdr>
                        </w:div>
                        <w:div w:id="268392395">
                          <w:marLeft w:val="0"/>
                          <w:marRight w:val="0"/>
                          <w:marTop w:val="0"/>
                          <w:marBottom w:val="0"/>
                          <w:divBdr>
                            <w:top w:val="none" w:sz="0" w:space="0" w:color="auto"/>
                            <w:left w:val="none" w:sz="0" w:space="0" w:color="auto"/>
                            <w:bottom w:val="none" w:sz="0" w:space="0" w:color="auto"/>
                            <w:right w:val="none" w:sz="0" w:space="0" w:color="auto"/>
                          </w:divBdr>
                        </w:div>
                        <w:div w:id="382221683">
                          <w:marLeft w:val="0"/>
                          <w:marRight w:val="0"/>
                          <w:marTop w:val="0"/>
                          <w:marBottom w:val="0"/>
                          <w:divBdr>
                            <w:top w:val="none" w:sz="0" w:space="0" w:color="auto"/>
                            <w:left w:val="none" w:sz="0" w:space="0" w:color="auto"/>
                            <w:bottom w:val="none" w:sz="0" w:space="0" w:color="auto"/>
                            <w:right w:val="none" w:sz="0" w:space="0" w:color="auto"/>
                          </w:divBdr>
                        </w:div>
                        <w:div w:id="2113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5730">
      <w:bodyDiv w:val="1"/>
      <w:marLeft w:val="0"/>
      <w:marRight w:val="0"/>
      <w:marTop w:val="0"/>
      <w:marBottom w:val="0"/>
      <w:divBdr>
        <w:top w:val="none" w:sz="0" w:space="0" w:color="auto"/>
        <w:left w:val="none" w:sz="0" w:space="0" w:color="auto"/>
        <w:bottom w:val="none" w:sz="0" w:space="0" w:color="auto"/>
        <w:right w:val="none" w:sz="0" w:space="0" w:color="auto"/>
      </w:divBdr>
    </w:div>
    <w:div w:id="436218924">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50580855">
      <w:bodyDiv w:val="1"/>
      <w:marLeft w:val="0"/>
      <w:marRight w:val="0"/>
      <w:marTop w:val="0"/>
      <w:marBottom w:val="0"/>
      <w:divBdr>
        <w:top w:val="none" w:sz="0" w:space="0" w:color="auto"/>
        <w:left w:val="none" w:sz="0" w:space="0" w:color="auto"/>
        <w:bottom w:val="none" w:sz="0" w:space="0" w:color="auto"/>
        <w:right w:val="none" w:sz="0" w:space="0" w:color="auto"/>
      </w:divBdr>
      <w:divsChild>
        <w:div w:id="790511454">
          <w:marLeft w:val="0"/>
          <w:marRight w:val="0"/>
          <w:marTop w:val="0"/>
          <w:marBottom w:val="0"/>
          <w:divBdr>
            <w:top w:val="none" w:sz="0" w:space="0" w:color="auto"/>
            <w:left w:val="none" w:sz="0" w:space="0" w:color="auto"/>
            <w:bottom w:val="none" w:sz="0" w:space="0" w:color="auto"/>
            <w:right w:val="none" w:sz="0" w:space="0" w:color="auto"/>
          </w:divBdr>
        </w:div>
      </w:divsChild>
    </w:div>
    <w:div w:id="557136221">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623538169">
      <w:bodyDiv w:val="1"/>
      <w:marLeft w:val="0"/>
      <w:marRight w:val="0"/>
      <w:marTop w:val="0"/>
      <w:marBottom w:val="0"/>
      <w:divBdr>
        <w:top w:val="none" w:sz="0" w:space="0" w:color="auto"/>
        <w:left w:val="none" w:sz="0" w:space="0" w:color="auto"/>
        <w:bottom w:val="none" w:sz="0" w:space="0" w:color="auto"/>
        <w:right w:val="none" w:sz="0" w:space="0" w:color="auto"/>
      </w:divBdr>
      <w:divsChild>
        <w:div w:id="1928536934">
          <w:marLeft w:val="0"/>
          <w:marRight w:val="0"/>
          <w:marTop w:val="0"/>
          <w:marBottom w:val="0"/>
          <w:divBdr>
            <w:top w:val="none" w:sz="0" w:space="0" w:color="auto"/>
            <w:left w:val="none" w:sz="0" w:space="0" w:color="auto"/>
            <w:bottom w:val="none" w:sz="0" w:space="0" w:color="auto"/>
            <w:right w:val="none" w:sz="0" w:space="0" w:color="auto"/>
          </w:divBdr>
          <w:divsChild>
            <w:div w:id="1774007529">
              <w:marLeft w:val="0"/>
              <w:marRight w:val="0"/>
              <w:marTop w:val="0"/>
              <w:marBottom w:val="0"/>
              <w:divBdr>
                <w:top w:val="none" w:sz="0" w:space="0" w:color="auto"/>
                <w:left w:val="none" w:sz="0" w:space="0" w:color="auto"/>
                <w:bottom w:val="none" w:sz="0" w:space="0" w:color="auto"/>
                <w:right w:val="none" w:sz="0" w:space="0" w:color="auto"/>
              </w:divBdr>
              <w:divsChild>
                <w:div w:id="56173019">
                  <w:marLeft w:val="0"/>
                  <w:marRight w:val="0"/>
                  <w:marTop w:val="0"/>
                  <w:marBottom w:val="0"/>
                  <w:divBdr>
                    <w:top w:val="none" w:sz="0" w:space="0" w:color="auto"/>
                    <w:left w:val="none" w:sz="0" w:space="0" w:color="auto"/>
                    <w:bottom w:val="none" w:sz="0" w:space="0" w:color="auto"/>
                    <w:right w:val="none" w:sz="0" w:space="0" w:color="auto"/>
                  </w:divBdr>
                  <w:divsChild>
                    <w:div w:id="522399586">
                      <w:marLeft w:val="0"/>
                      <w:marRight w:val="0"/>
                      <w:marTop w:val="0"/>
                      <w:marBottom w:val="0"/>
                      <w:divBdr>
                        <w:top w:val="none" w:sz="0" w:space="0" w:color="auto"/>
                        <w:left w:val="none" w:sz="0" w:space="0" w:color="auto"/>
                        <w:bottom w:val="none" w:sz="0" w:space="0" w:color="auto"/>
                        <w:right w:val="none" w:sz="0" w:space="0" w:color="auto"/>
                      </w:divBdr>
                      <w:divsChild>
                        <w:div w:id="1812283951">
                          <w:marLeft w:val="0"/>
                          <w:marRight w:val="0"/>
                          <w:marTop w:val="0"/>
                          <w:marBottom w:val="0"/>
                          <w:divBdr>
                            <w:top w:val="none" w:sz="0" w:space="0" w:color="auto"/>
                            <w:left w:val="none" w:sz="0" w:space="0" w:color="auto"/>
                            <w:bottom w:val="none" w:sz="0" w:space="0" w:color="auto"/>
                            <w:right w:val="none" w:sz="0" w:space="0" w:color="auto"/>
                          </w:divBdr>
                        </w:div>
                        <w:div w:id="833228137">
                          <w:marLeft w:val="0"/>
                          <w:marRight w:val="0"/>
                          <w:marTop w:val="0"/>
                          <w:marBottom w:val="0"/>
                          <w:divBdr>
                            <w:top w:val="none" w:sz="0" w:space="0" w:color="auto"/>
                            <w:left w:val="none" w:sz="0" w:space="0" w:color="auto"/>
                            <w:bottom w:val="none" w:sz="0" w:space="0" w:color="auto"/>
                            <w:right w:val="none" w:sz="0" w:space="0" w:color="auto"/>
                          </w:divBdr>
                        </w:div>
                        <w:div w:id="228080070">
                          <w:marLeft w:val="0"/>
                          <w:marRight w:val="0"/>
                          <w:marTop w:val="0"/>
                          <w:marBottom w:val="0"/>
                          <w:divBdr>
                            <w:top w:val="none" w:sz="0" w:space="0" w:color="auto"/>
                            <w:left w:val="none" w:sz="0" w:space="0" w:color="auto"/>
                            <w:bottom w:val="none" w:sz="0" w:space="0" w:color="auto"/>
                            <w:right w:val="none" w:sz="0" w:space="0" w:color="auto"/>
                          </w:divBdr>
                        </w:div>
                        <w:div w:id="1760371332">
                          <w:marLeft w:val="0"/>
                          <w:marRight w:val="0"/>
                          <w:marTop w:val="0"/>
                          <w:marBottom w:val="0"/>
                          <w:divBdr>
                            <w:top w:val="none" w:sz="0" w:space="0" w:color="auto"/>
                            <w:left w:val="none" w:sz="0" w:space="0" w:color="auto"/>
                            <w:bottom w:val="none" w:sz="0" w:space="0" w:color="auto"/>
                            <w:right w:val="none" w:sz="0" w:space="0" w:color="auto"/>
                          </w:divBdr>
                        </w:div>
                        <w:div w:id="924999995">
                          <w:marLeft w:val="0"/>
                          <w:marRight w:val="0"/>
                          <w:marTop w:val="0"/>
                          <w:marBottom w:val="0"/>
                          <w:divBdr>
                            <w:top w:val="none" w:sz="0" w:space="0" w:color="auto"/>
                            <w:left w:val="none" w:sz="0" w:space="0" w:color="auto"/>
                            <w:bottom w:val="none" w:sz="0" w:space="0" w:color="auto"/>
                            <w:right w:val="none" w:sz="0" w:space="0" w:color="auto"/>
                          </w:divBdr>
                        </w:div>
                        <w:div w:id="1277299399">
                          <w:marLeft w:val="0"/>
                          <w:marRight w:val="0"/>
                          <w:marTop w:val="0"/>
                          <w:marBottom w:val="0"/>
                          <w:divBdr>
                            <w:top w:val="none" w:sz="0" w:space="0" w:color="auto"/>
                            <w:left w:val="none" w:sz="0" w:space="0" w:color="auto"/>
                            <w:bottom w:val="none" w:sz="0" w:space="0" w:color="auto"/>
                            <w:right w:val="none" w:sz="0" w:space="0" w:color="auto"/>
                          </w:divBdr>
                        </w:div>
                        <w:div w:id="2077891346">
                          <w:marLeft w:val="0"/>
                          <w:marRight w:val="0"/>
                          <w:marTop w:val="0"/>
                          <w:marBottom w:val="0"/>
                          <w:divBdr>
                            <w:top w:val="none" w:sz="0" w:space="0" w:color="auto"/>
                            <w:left w:val="none" w:sz="0" w:space="0" w:color="auto"/>
                            <w:bottom w:val="none" w:sz="0" w:space="0" w:color="auto"/>
                            <w:right w:val="none" w:sz="0" w:space="0" w:color="auto"/>
                          </w:divBdr>
                        </w:div>
                        <w:div w:id="79253967">
                          <w:marLeft w:val="0"/>
                          <w:marRight w:val="0"/>
                          <w:marTop w:val="0"/>
                          <w:marBottom w:val="0"/>
                          <w:divBdr>
                            <w:top w:val="none" w:sz="0" w:space="0" w:color="auto"/>
                            <w:left w:val="none" w:sz="0" w:space="0" w:color="auto"/>
                            <w:bottom w:val="none" w:sz="0" w:space="0" w:color="auto"/>
                            <w:right w:val="none" w:sz="0" w:space="0" w:color="auto"/>
                          </w:divBdr>
                        </w:div>
                        <w:div w:id="553393397">
                          <w:marLeft w:val="0"/>
                          <w:marRight w:val="0"/>
                          <w:marTop w:val="0"/>
                          <w:marBottom w:val="0"/>
                          <w:divBdr>
                            <w:top w:val="none" w:sz="0" w:space="0" w:color="auto"/>
                            <w:left w:val="none" w:sz="0" w:space="0" w:color="auto"/>
                            <w:bottom w:val="none" w:sz="0" w:space="0" w:color="auto"/>
                            <w:right w:val="none" w:sz="0" w:space="0" w:color="auto"/>
                          </w:divBdr>
                        </w:div>
                        <w:div w:id="1965888022">
                          <w:marLeft w:val="0"/>
                          <w:marRight w:val="0"/>
                          <w:marTop w:val="0"/>
                          <w:marBottom w:val="0"/>
                          <w:divBdr>
                            <w:top w:val="none" w:sz="0" w:space="0" w:color="auto"/>
                            <w:left w:val="none" w:sz="0" w:space="0" w:color="auto"/>
                            <w:bottom w:val="none" w:sz="0" w:space="0" w:color="auto"/>
                            <w:right w:val="none" w:sz="0" w:space="0" w:color="auto"/>
                          </w:divBdr>
                        </w:div>
                        <w:div w:id="1442653666">
                          <w:marLeft w:val="0"/>
                          <w:marRight w:val="0"/>
                          <w:marTop w:val="0"/>
                          <w:marBottom w:val="0"/>
                          <w:divBdr>
                            <w:top w:val="none" w:sz="0" w:space="0" w:color="auto"/>
                            <w:left w:val="none" w:sz="0" w:space="0" w:color="auto"/>
                            <w:bottom w:val="none" w:sz="0" w:space="0" w:color="auto"/>
                            <w:right w:val="none" w:sz="0" w:space="0" w:color="auto"/>
                          </w:divBdr>
                        </w:div>
                        <w:div w:id="1446583109">
                          <w:marLeft w:val="0"/>
                          <w:marRight w:val="0"/>
                          <w:marTop w:val="0"/>
                          <w:marBottom w:val="0"/>
                          <w:divBdr>
                            <w:top w:val="none" w:sz="0" w:space="0" w:color="auto"/>
                            <w:left w:val="none" w:sz="0" w:space="0" w:color="auto"/>
                            <w:bottom w:val="none" w:sz="0" w:space="0" w:color="auto"/>
                            <w:right w:val="none" w:sz="0" w:space="0" w:color="auto"/>
                          </w:divBdr>
                        </w:div>
                      </w:divsChild>
                    </w:div>
                    <w:div w:id="1653825785">
                      <w:marLeft w:val="0"/>
                      <w:marRight w:val="0"/>
                      <w:marTop w:val="0"/>
                      <w:marBottom w:val="0"/>
                      <w:divBdr>
                        <w:top w:val="none" w:sz="0" w:space="0" w:color="auto"/>
                        <w:left w:val="none" w:sz="0" w:space="0" w:color="auto"/>
                        <w:bottom w:val="none" w:sz="0" w:space="0" w:color="auto"/>
                        <w:right w:val="none" w:sz="0" w:space="0" w:color="auto"/>
                      </w:divBdr>
                      <w:divsChild>
                        <w:div w:id="1708723046">
                          <w:marLeft w:val="0"/>
                          <w:marRight w:val="0"/>
                          <w:marTop w:val="0"/>
                          <w:marBottom w:val="0"/>
                          <w:divBdr>
                            <w:top w:val="none" w:sz="0" w:space="0" w:color="auto"/>
                            <w:left w:val="none" w:sz="0" w:space="0" w:color="auto"/>
                            <w:bottom w:val="none" w:sz="0" w:space="0" w:color="auto"/>
                            <w:right w:val="none" w:sz="0" w:space="0" w:color="auto"/>
                          </w:divBdr>
                        </w:div>
                        <w:div w:id="1239250554">
                          <w:marLeft w:val="0"/>
                          <w:marRight w:val="0"/>
                          <w:marTop w:val="0"/>
                          <w:marBottom w:val="0"/>
                          <w:divBdr>
                            <w:top w:val="none" w:sz="0" w:space="0" w:color="auto"/>
                            <w:left w:val="none" w:sz="0" w:space="0" w:color="auto"/>
                            <w:bottom w:val="none" w:sz="0" w:space="0" w:color="auto"/>
                            <w:right w:val="none" w:sz="0" w:space="0" w:color="auto"/>
                          </w:divBdr>
                        </w:div>
                        <w:div w:id="1559244266">
                          <w:marLeft w:val="0"/>
                          <w:marRight w:val="0"/>
                          <w:marTop w:val="0"/>
                          <w:marBottom w:val="0"/>
                          <w:divBdr>
                            <w:top w:val="none" w:sz="0" w:space="0" w:color="auto"/>
                            <w:left w:val="none" w:sz="0" w:space="0" w:color="auto"/>
                            <w:bottom w:val="none" w:sz="0" w:space="0" w:color="auto"/>
                            <w:right w:val="none" w:sz="0" w:space="0" w:color="auto"/>
                          </w:divBdr>
                        </w:div>
                        <w:div w:id="161623054">
                          <w:marLeft w:val="0"/>
                          <w:marRight w:val="0"/>
                          <w:marTop w:val="0"/>
                          <w:marBottom w:val="0"/>
                          <w:divBdr>
                            <w:top w:val="none" w:sz="0" w:space="0" w:color="auto"/>
                            <w:left w:val="none" w:sz="0" w:space="0" w:color="auto"/>
                            <w:bottom w:val="none" w:sz="0" w:space="0" w:color="auto"/>
                            <w:right w:val="none" w:sz="0" w:space="0" w:color="auto"/>
                          </w:divBdr>
                        </w:div>
                        <w:div w:id="399326391">
                          <w:marLeft w:val="0"/>
                          <w:marRight w:val="0"/>
                          <w:marTop w:val="0"/>
                          <w:marBottom w:val="0"/>
                          <w:divBdr>
                            <w:top w:val="none" w:sz="0" w:space="0" w:color="auto"/>
                            <w:left w:val="none" w:sz="0" w:space="0" w:color="auto"/>
                            <w:bottom w:val="none" w:sz="0" w:space="0" w:color="auto"/>
                            <w:right w:val="none" w:sz="0" w:space="0" w:color="auto"/>
                          </w:divBdr>
                        </w:div>
                        <w:div w:id="1272786607">
                          <w:marLeft w:val="0"/>
                          <w:marRight w:val="0"/>
                          <w:marTop w:val="0"/>
                          <w:marBottom w:val="0"/>
                          <w:divBdr>
                            <w:top w:val="none" w:sz="0" w:space="0" w:color="auto"/>
                            <w:left w:val="none" w:sz="0" w:space="0" w:color="auto"/>
                            <w:bottom w:val="none" w:sz="0" w:space="0" w:color="auto"/>
                            <w:right w:val="none" w:sz="0" w:space="0" w:color="auto"/>
                          </w:divBdr>
                        </w:div>
                        <w:div w:id="127748330">
                          <w:marLeft w:val="0"/>
                          <w:marRight w:val="0"/>
                          <w:marTop w:val="0"/>
                          <w:marBottom w:val="0"/>
                          <w:divBdr>
                            <w:top w:val="none" w:sz="0" w:space="0" w:color="auto"/>
                            <w:left w:val="none" w:sz="0" w:space="0" w:color="auto"/>
                            <w:bottom w:val="none" w:sz="0" w:space="0" w:color="auto"/>
                            <w:right w:val="none" w:sz="0" w:space="0" w:color="auto"/>
                          </w:divBdr>
                        </w:div>
                        <w:div w:id="1717969884">
                          <w:marLeft w:val="0"/>
                          <w:marRight w:val="0"/>
                          <w:marTop w:val="0"/>
                          <w:marBottom w:val="0"/>
                          <w:divBdr>
                            <w:top w:val="none" w:sz="0" w:space="0" w:color="auto"/>
                            <w:left w:val="none" w:sz="0" w:space="0" w:color="auto"/>
                            <w:bottom w:val="none" w:sz="0" w:space="0" w:color="auto"/>
                            <w:right w:val="none" w:sz="0" w:space="0" w:color="auto"/>
                          </w:divBdr>
                        </w:div>
                        <w:div w:id="1209758486">
                          <w:marLeft w:val="0"/>
                          <w:marRight w:val="0"/>
                          <w:marTop w:val="0"/>
                          <w:marBottom w:val="0"/>
                          <w:divBdr>
                            <w:top w:val="none" w:sz="0" w:space="0" w:color="auto"/>
                            <w:left w:val="none" w:sz="0" w:space="0" w:color="auto"/>
                            <w:bottom w:val="none" w:sz="0" w:space="0" w:color="auto"/>
                            <w:right w:val="none" w:sz="0" w:space="0" w:color="auto"/>
                          </w:divBdr>
                        </w:div>
                        <w:div w:id="1341158284">
                          <w:marLeft w:val="0"/>
                          <w:marRight w:val="0"/>
                          <w:marTop w:val="0"/>
                          <w:marBottom w:val="0"/>
                          <w:divBdr>
                            <w:top w:val="none" w:sz="0" w:space="0" w:color="auto"/>
                            <w:left w:val="none" w:sz="0" w:space="0" w:color="auto"/>
                            <w:bottom w:val="none" w:sz="0" w:space="0" w:color="auto"/>
                            <w:right w:val="none" w:sz="0" w:space="0" w:color="auto"/>
                          </w:divBdr>
                        </w:div>
                        <w:div w:id="2005083972">
                          <w:marLeft w:val="0"/>
                          <w:marRight w:val="0"/>
                          <w:marTop w:val="0"/>
                          <w:marBottom w:val="0"/>
                          <w:divBdr>
                            <w:top w:val="none" w:sz="0" w:space="0" w:color="auto"/>
                            <w:left w:val="none" w:sz="0" w:space="0" w:color="auto"/>
                            <w:bottom w:val="none" w:sz="0" w:space="0" w:color="auto"/>
                            <w:right w:val="none" w:sz="0" w:space="0" w:color="auto"/>
                          </w:divBdr>
                        </w:div>
                        <w:div w:id="1714110968">
                          <w:marLeft w:val="0"/>
                          <w:marRight w:val="0"/>
                          <w:marTop w:val="0"/>
                          <w:marBottom w:val="0"/>
                          <w:divBdr>
                            <w:top w:val="none" w:sz="0" w:space="0" w:color="auto"/>
                            <w:left w:val="none" w:sz="0" w:space="0" w:color="auto"/>
                            <w:bottom w:val="none" w:sz="0" w:space="0" w:color="auto"/>
                            <w:right w:val="none" w:sz="0" w:space="0" w:color="auto"/>
                          </w:divBdr>
                        </w:div>
                        <w:div w:id="1595671667">
                          <w:marLeft w:val="0"/>
                          <w:marRight w:val="0"/>
                          <w:marTop w:val="0"/>
                          <w:marBottom w:val="0"/>
                          <w:divBdr>
                            <w:top w:val="none" w:sz="0" w:space="0" w:color="auto"/>
                            <w:left w:val="none" w:sz="0" w:space="0" w:color="auto"/>
                            <w:bottom w:val="none" w:sz="0" w:space="0" w:color="auto"/>
                            <w:right w:val="none" w:sz="0" w:space="0" w:color="auto"/>
                          </w:divBdr>
                        </w:div>
                        <w:div w:id="1005397299">
                          <w:marLeft w:val="0"/>
                          <w:marRight w:val="0"/>
                          <w:marTop w:val="0"/>
                          <w:marBottom w:val="0"/>
                          <w:divBdr>
                            <w:top w:val="none" w:sz="0" w:space="0" w:color="auto"/>
                            <w:left w:val="none" w:sz="0" w:space="0" w:color="auto"/>
                            <w:bottom w:val="none" w:sz="0" w:space="0" w:color="auto"/>
                            <w:right w:val="none" w:sz="0" w:space="0" w:color="auto"/>
                          </w:divBdr>
                        </w:div>
                        <w:div w:id="974525528">
                          <w:marLeft w:val="0"/>
                          <w:marRight w:val="0"/>
                          <w:marTop w:val="0"/>
                          <w:marBottom w:val="0"/>
                          <w:divBdr>
                            <w:top w:val="none" w:sz="0" w:space="0" w:color="auto"/>
                            <w:left w:val="none" w:sz="0" w:space="0" w:color="auto"/>
                            <w:bottom w:val="none" w:sz="0" w:space="0" w:color="auto"/>
                            <w:right w:val="none" w:sz="0" w:space="0" w:color="auto"/>
                          </w:divBdr>
                        </w:div>
                        <w:div w:id="291835202">
                          <w:marLeft w:val="0"/>
                          <w:marRight w:val="0"/>
                          <w:marTop w:val="0"/>
                          <w:marBottom w:val="0"/>
                          <w:divBdr>
                            <w:top w:val="none" w:sz="0" w:space="0" w:color="auto"/>
                            <w:left w:val="none" w:sz="0" w:space="0" w:color="auto"/>
                            <w:bottom w:val="none" w:sz="0" w:space="0" w:color="auto"/>
                            <w:right w:val="none" w:sz="0" w:space="0" w:color="auto"/>
                          </w:divBdr>
                        </w:div>
                        <w:div w:id="396124748">
                          <w:marLeft w:val="0"/>
                          <w:marRight w:val="0"/>
                          <w:marTop w:val="0"/>
                          <w:marBottom w:val="0"/>
                          <w:divBdr>
                            <w:top w:val="none" w:sz="0" w:space="0" w:color="auto"/>
                            <w:left w:val="none" w:sz="0" w:space="0" w:color="auto"/>
                            <w:bottom w:val="none" w:sz="0" w:space="0" w:color="auto"/>
                            <w:right w:val="none" w:sz="0" w:space="0" w:color="auto"/>
                          </w:divBdr>
                        </w:div>
                        <w:div w:id="656495457">
                          <w:marLeft w:val="0"/>
                          <w:marRight w:val="0"/>
                          <w:marTop w:val="0"/>
                          <w:marBottom w:val="0"/>
                          <w:divBdr>
                            <w:top w:val="none" w:sz="0" w:space="0" w:color="auto"/>
                            <w:left w:val="none" w:sz="0" w:space="0" w:color="auto"/>
                            <w:bottom w:val="none" w:sz="0" w:space="0" w:color="auto"/>
                            <w:right w:val="none" w:sz="0" w:space="0" w:color="auto"/>
                          </w:divBdr>
                        </w:div>
                        <w:div w:id="1453673467">
                          <w:marLeft w:val="0"/>
                          <w:marRight w:val="0"/>
                          <w:marTop w:val="0"/>
                          <w:marBottom w:val="0"/>
                          <w:divBdr>
                            <w:top w:val="none" w:sz="0" w:space="0" w:color="auto"/>
                            <w:left w:val="none" w:sz="0" w:space="0" w:color="auto"/>
                            <w:bottom w:val="none" w:sz="0" w:space="0" w:color="auto"/>
                            <w:right w:val="none" w:sz="0" w:space="0" w:color="auto"/>
                          </w:divBdr>
                        </w:div>
                        <w:div w:id="65617444">
                          <w:marLeft w:val="0"/>
                          <w:marRight w:val="0"/>
                          <w:marTop w:val="0"/>
                          <w:marBottom w:val="0"/>
                          <w:divBdr>
                            <w:top w:val="none" w:sz="0" w:space="0" w:color="auto"/>
                            <w:left w:val="none" w:sz="0" w:space="0" w:color="auto"/>
                            <w:bottom w:val="none" w:sz="0" w:space="0" w:color="auto"/>
                            <w:right w:val="none" w:sz="0" w:space="0" w:color="auto"/>
                          </w:divBdr>
                        </w:div>
                        <w:div w:id="2091536006">
                          <w:marLeft w:val="0"/>
                          <w:marRight w:val="0"/>
                          <w:marTop w:val="0"/>
                          <w:marBottom w:val="0"/>
                          <w:divBdr>
                            <w:top w:val="none" w:sz="0" w:space="0" w:color="auto"/>
                            <w:left w:val="none" w:sz="0" w:space="0" w:color="auto"/>
                            <w:bottom w:val="none" w:sz="0" w:space="0" w:color="auto"/>
                            <w:right w:val="none" w:sz="0" w:space="0" w:color="auto"/>
                          </w:divBdr>
                        </w:div>
                        <w:div w:id="27144926">
                          <w:marLeft w:val="0"/>
                          <w:marRight w:val="0"/>
                          <w:marTop w:val="0"/>
                          <w:marBottom w:val="0"/>
                          <w:divBdr>
                            <w:top w:val="none" w:sz="0" w:space="0" w:color="auto"/>
                            <w:left w:val="none" w:sz="0" w:space="0" w:color="auto"/>
                            <w:bottom w:val="none" w:sz="0" w:space="0" w:color="auto"/>
                            <w:right w:val="none" w:sz="0" w:space="0" w:color="auto"/>
                          </w:divBdr>
                        </w:div>
                        <w:div w:id="1976983834">
                          <w:marLeft w:val="0"/>
                          <w:marRight w:val="0"/>
                          <w:marTop w:val="0"/>
                          <w:marBottom w:val="0"/>
                          <w:divBdr>
                            <w:top w:val="none" w:sz="0" w:space="0" w:color="auto"/>
                            <w:left w:val="none" w:sz="0" w:space="0" w:color="auto"/>
                            <w:bottom w:val="none" w:sz="0" w:space="0" w:color="auto"/>
                            <w:right w:val="none" w:sz="0" w:space="0" w:color="auto"/>
                          </w:divBdr>
                        </w:div>
                        <w:div w:id="893734609">
                          <w:marLeft w:val="0"/>
                          <w:marRight w:val="0"/>
                          <w:marTop w:val="0"/>
                          <w:marBottom w:val="0"/>
                          <w:divBdr>
                            <w:top w:val="none" w:sz="0" w:space="0" w:color="auto"/>
                            <w:left w:val="none" w:sz="0" w:space="0" w:color="auto"/>
                            <w:bottom w:val="none" w:sz="0" w:space="0" w:color="auto"/>
                            <w:right w:val="none" w:sz="0" w:space="0" w:color="auto"/>
                          </w:divBdr>
                        </w:div>
                        <w:div w:id="1324964615">
                          <w:marLeft w:val="0"/>
                          <w:marRight w:val="0"/>
                          <w:marTop w:val="0"/>
                          <w:marBottom w:val="0"/>
                          <w:divBdr>
                            <w:top w:val="none" w:sz="0" w:space="0" w:color="auto"/>
                            <w:left w:val="none" w:sz="0" w:space="0" w:color="auto"/>
                            <w:bottom w:val="none" w:sz="0" w:space="0" w:color="auto"/>
                            <w:right w:val="none" w:sz="0" w:space="0" w:color="auto"/>
                          </w:divBdr>
                        </w:div>
                        <w:div w:id="1355495582">
                          <w:marLeft w:val="0"/>
                          <w:marRight w:val="0"/>
                          <w:marTop w:val="0"/>
                          <w:marBottom w:val="0"/>
                          <w:divBdr>
                            <w:top w:val="none" w:sz="0" w:space="0" w:color="auto"/>
                            <w:left w:val="none" w:sz="0" w:space="0" w:color="auto"/>
                            <w:bottom w:val="none" w:sz="0" w:space="0" w:color="auto"/>
                            <w:right w:val="none" w:sz="0" w:space="0" w:color="auto"/>
                          </w:divBdr>
                        </w:div>
                        <w:div w:id="763645571">
                          <w:marLeft w:val="0"/>
                          <w:marRight w:val="0"/>
                          <w:marTop w:val="0"/>
                          <w:marBottom w:val="0"/>
                          <w:divBdr>
                            <w:top w:val="none" w:sz="0" w:space="0" w:color="auto"/>
                            <w:left w:val="none" w:sz="0" w:space="0" w:color="auto"/>
                            <w:bottom w:val="none" w:sz="0" w:space="0" w:color="auto"/>
                            <w:right w:val="none" w:sz="0" w:space="0" w:color="auto"/>
                          </w:divBdr>
                        </w:div>
                        <w:div w:id="683286160">
                          <w:marLeft w:val="0"/>
                          <w:marRight w:val="0"/>
                          <w:marTop w:val="0"/>
                          <w:marBottom w:val="0"/>
                          <w:divBdr>
                            <w:top w:val="none" w:sz="0" w:space="0" w:color="auto"/>
                            <w:left w:val="none" w:sz="0" w:space="0" w:color="auto"/>
                            <w:bottom w:val="none" w:sz="0" w:space="0" w:color="auto"/>
                            <w:right w:val="none" w:sz="0" w:space="0" w:color="auto"/>
                          </w:divBdr>
                        </w:div>
                        <w:div w:id="86973047">
                          <w:marLeft w:val="0"/>
                          <w:marRight w:val="0"/>
                          <w:marTop w:val="0"/>
                          <w:marBottom w:val="0"/>
                          <w:divBdr>
                            <w:top w:val="none" w:sz="0" w:space="0" w:color="auto"/>
                            <w:left w:val="none" w:sz="0" w:space="0" w:color="auto"/>
                            <w:bottom w:val="none" w:sz="0" w:space="0" w:color="auto"/>
                            <w:right w:val="none" w:sz="0" w:space="0" w:color="auto"/>
                          </w:divBdr>
                        </w:div>
                      </w:divsChild>
                    </w:div>
                    <w:div w:id="339628056">
                      <w:marLeft w:val="0"/>
                      <w:marRight w:val="0"/>
                      <w:marTop w:val="0"/>
                      <w:marBottom w:val="0"/>
                      <w:divBdr>
                        <w:top w:val="none" w:sz="0" w:space="0" w:color="auto"/>
                        <w:left w:val="none" w:sz="0" w:space="0" w:color="auto"/>
                        <w:bottom w:val="none" w:sz="0" w:space="0" w:color="auto"/>
                        <w:right w:val="none" w:sz="0" w:space="0" w:color="auto"/>
                      </w:divBdr>
                      <w:divsChild>
                        <w:div w:id="1182166280">
                          <w:marLeft w:val="0"/>
                          <w:marRight w:val="0"/>
                          <w:marTop w:val="0"/>
                          <w:marBottom w:val="0"/>
                          <w:divBdr>
                            <w:top w:val="none" w:sz="0" w:space="0" w:color="auto"/>
                            <w:left w:val="none" w:sz="0" w:space="0" w:color="auto"/>
                            <w:bottom w:val="none" w:sz="0" w:space="0" w:color="auto"/>
                            <w:right w:val="none" w:sz="0" w:space="0" w:color="auto"/>
                          </w:divBdr>
                        </w:div>
                        <w:div w:id="1861894688">
                          <w:marLeft w:val="0"/>
                          <w:marRight w:val="0"/>
                          <w:marTop w:val="0"/>
                          <w:marBottom w:val="0"/>
                          <w:divBdr>
                            <w:top w:val="none" w:sz="0" w:space="0" w:color="auto"/>
                            <w:left w:val="none" w:sz="0" w:space="0" w:color="auto"/>
                            <w:bottom w:val="none" w:sz="0" w:space="0" w:color="auto"/>
                            <w:right w:val="none" w:sz="0" w:space="0" w:color="auto"/>
                          </w:divBdr>
                        </w:div>
                        <w:div w:id="1798141603">
                          <w:marLeft w:val="0"/>
                          <w:marRight w:val="0"/>
                          <w:marTop w:val="0"/>
                          <w:marBottom w:val="0"/>
                          <w:divBdr>
                            <w:top w:val="none" w:sz="0" w:space="0" w:color="auto"/>
                            <w:left w:val="none" w:sz="0" w:space="0" w:color="auto"/>
                            <w:bottom w:val="none" w:sz="0" w:space="0" w:color="auto"/>
                            <w:right w:val="none" w:sz="0" w:space="0" w:color="auto"/>
                          </w:divBdr>
                        </w:div>
                        <w:div w:id="1771854933">
                          <w:marLeft w:val="0"/>
                          <w:marRight w:val="0"/>
                          <w:marTop w:val="0"/>
                          <w:marBottom w:val="0"/>
                          <w:divBdr>
                            <w:top w:val="none" w:sz="0" w:space="0" w:color="auto"/>
                            <w:left w:val="none" w:sz="0" w:space="0" w:color="auto"/>
                            <w:bottom w:val="none" w:sz="0" w:space="0" w:color="auto"/>
                            <w:right w:val="none" w:sz="0" w:space="0" w:color="auto"/>
                          </w:divBdr>
                        </w:div>
                        <w:div w:id="1126313788">
                          <w:marLeft w:val="0"/>
                          <w:marRight w:val="0"/>
                          <w:marTop w:val="0"/>
                          <w:marBottom w:val="0"/>
                          <w:divBdr>
                            <w:top w:val="none" w:sz="0" w:space="0" w:color="auto"/>
                            <w:left w:val="none" w:sz="0" w:space="0" w:color="auto"/>
                            <w:bottom w:val="none" w:sz="0" w:space="0" w:color="auto"/>
                            <w:right w:val="none" w:sz="0" w:space="0" w:color="auto"/>
                          </w:divBdr>
                        </w:div>
                        <w:div w:id="532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69194">
      <w:bodyDiv w:val="1"/>
      <w:marLeft w:val="0"/>
      <w:marRight w:val="0"/>
      <w:marTop w:val="0"/>
      <w:marBottom w:val="0"/>
      <w:divBdr>
        <w:top w:val="none" w:sz="0" w:space="0" w:color="auto"/>
        <w:left w:val="none" w:sz="0" w:space="0" w:color="auto"/>
        <w:bottom w:val="none" w:sz="0" w:space="0" w:color="auto"/>
        <w:right w:val="none" w:sz="0" w:space="0" w:color="auto"/>
      </w:divBdr>
      <w:divsChild>
        <w:div w:id="320621668">
          <w:marLeft w:val="0"/>
          <w:marRight w:val="0"/>
          <w:marTop w:val="0"/>
          <w:marBottom w:val="0"/>
          <w:divBdr>
            <w:top w:val="none" w:sz="0" w:space="0" w:color="auto"/>
            <w:left w:val="none" w:sz="0" w:space="0" w:color="auto"/>
            <w:bottom w:val="none" w:sz="0" w:space="0" w:color="auto"/>
            <w:right w:val="none" w:sz="0" w:space="0" w:color="auto"/>
          </w:divBdr>
          <w:divsChild>
            <w:div w:id="949969911">
              <w:marLeft w:val="0"/>
              <w:marRight w:val="0"/>
              <w:marTop w:val="0"/>
              <w:marBottom w:val="0"/>
              <w:divBdr>
                <w:top w:val="none" w:sz="0" w:space="0" w:color="auto"/>
                <w:left w:val="none" w:sz="0" w:space="0" w:color="auto"/>
                <w:bottom w:val="none" w:sz="0" w:space="0" w:color="auto"/>
                <w:right w:val="none" w:sz="0" w:space="0" w:color="auto"/>
              </w:divBdr>
              <w:divsChild>
                <w:div w:id="1046832233">
                  <w:marLeft w:val="0"/>
                  <w:marRight w:val="0"/>
                  <w:marTop w:val="0"/>
                  <w:marBottom w:val="0"/>
                  <w:divBdr>
                    <w:top w:val="none" w:sz="0" w:space="0" w:color="auto"/>
                    <w:left w:val="none" w:sz="0" w:space="0" w:color="auto"/>
                    <w:bottom w:val="none" w:sz="0" w:space="0" w:color="auto"/>
                    <w:right w:val="none" w:sz="0" w:space="0" w:color="auto"/>
                  </w:divBdr>
                  <w:divsChild>
                    <w:div w:id="588318205">
                      <w:marLeft w:val="0"/>
                      <w:marRight w:val="0"/>
                      <w:marTop w:val="0"/>
                      <w:marBottom w:val="0"/>
                      <w:divBdr>
                        <w:top w:val="none" w:sz="0" w:space="0" w:color="auto"/>
                        <w:left w:val="none" w:sz="0" w:space="0" w:color="auto"/>
                        <w:bottom w:val="none" w:sz="0" w:space="0" w:color="auto"/>
                        <w:right w:val="none" w:sz="0" w:space="0" w:color="auto"/>
                      </w:divBdr>
                      <w:divsChild>
                        <w:div w:id="1743333777">
                          <w:marLeft w:val="0"/>
                          <w:marRight w:val="0"/>
                          <w:marTop w:val="0"/>
                          <w:marBottom w:val="0"/>
                          <w:divBdr>
                            <w:top w:val="none" w:sz="0" w:space="0" w:color="auto"/>
                            <w:left w:val="none" w:sz="0" w:space="0" w:color="auto"/>
                            <w:bottom w:val="none" w:sz="0" w:space="0" w:color="auto"/>
                            <w:right w:val="none" w:sz="0" w:space="0" w:color="auto"/>
                          </w:divBdr>
                        </w:div>
                      </w:divsChild>
                    </w:div>
                    <w:div w:id="1156267253">
                      <w:marLeft w:val="0"/>
                      <w:marRight w:val="0"/>
                      <w:marTop w:val="0"/>
                      <w:marBottom w:val="0"/>
                      <w:divBdr>
                        <w:top w:val="none" w:sz="0" w:space="0" w:color="auto"/>
                        <w:left w:val="none" w:sz="0" w:space="0" w:color="auto"/>
                        <w:bottom w:val="none" w:sz="0" w:space="0" w:color="auto"/>
                        <w:right w:val="none" w:sz="0" w:space="0" w:color="auto"/>
                      </w:divBdr>
                      <w:divsChild>
                        <w:div w:id="10738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2176">
      <w:bodyDiv w:val="1"/>
      <w:marLeft w:val="0"/>
      <w:marRight w:val="0"/>
      <w:marTop w:val="0"/>
      <w:marBottom w:val="0"/>
      <w:divBdr>
        <w:top w:val="none" w:sz="0" w:space="0" w:color="auto"/>
        <w:left w:val="none" w:sz="0" w:space="0" w:color="auto"/>
        <w:bottom w:val="none" w:sz="0" w:space="0" w:color="auto"/>
        <w:right w:val="none" w:sz="0" w:space="0" w:color="auto"/>
      </w:divBdr>
    </w:div>
    <w:div w:id="760222355">
      <w:bodyDiv w:val="1"/>
      <w:marLeft w:val="0"/>
      <w:marRight w:val="0"/>
      <w:marTop w:val="0"/>
      <w:marBottom w:val="0"/>
      <w:divBdr>
        <w:top w:val="none" w:sz="0" w:space="0" w:color="auto"/>
        <w:left w:val="none" w:sz="0" w:space="0" w:color="auto"/>
        <w:bottom w:val="none" w:sz="0" w:space="0" w:color="auto"/>
        <w:right w:val="none" w:sz="0" w:space="0" w:color="auto"/>
      </w:divBdr>
      <w:divsChild>
        <w:div w:id="1294168113">
          <w:marLeft w:val="0"/>
          <w:marRight w:val="0"/>
          <w:marTop w:val="0"/>
          <w:marBottom w:val="0"/>
          <w:divBdr>
            <w:top w:val="none" w:sz="0" w:space="0" w:color="auto"/>
            <w:left w:val="none" w:sz="0" w:space="0" w:color="auto"/>
            <w:bottom w:val="none" w:sz="0" w:space="0" w:color="auto"/>
            <w:right w:val="none" w:sz="0" w:space="0" w:color="auto"/>
          </w:divBdr>
          <w:divsChild>
            <w:div w:id="2103866749">
              <w:marLeft w:val="0"/>
              <w:marRight w:val="0"/>
              <w:marTop w:val="0"/>
              <w:marBottom w:val="0"/>
              <w:divBdr>
                <w:top w:val="none" w:sz="0" w:space="0" w:color="auto"/>
                <w:left w:val="none" w:sz="0" w:space="0" w:color="auto"/>
                <w:bottom w:val="none" w:sz="0" w:space="0" w:color="auto"/>
                <w:right w:val="none" w:sz="0" w:space="0" w:color="auto"/>
              </w:divBdr>
            </w:div>
            <w:div w:id="1642536548">
              <w:marLeft w:val="0"/>
              <w:marRight w:val="0"/>
              <w:marTop w:val="0"/>
              <w:marBottom w:val="0"/>
              <w:divBdr>
                <w:top w:val="none" w:sz="0" w:space="0" w:color="auto"/>
                <w:left w:val="none" w:sz="0" w:space="0" w:color="auto"/>
                <w:bottom w:val="none" w:sz="0" w:space="0" w:color="auto"/>
                <w:right w:val="none" w:sz="0" w:space="0" w:color="auto"/>
              </w:divBdr>
            </w:div>
            <w:div w:id="2077121552">
              <w:marLeft w:val="0"/>
              <w:marRight w:val="0"/>
              <w:marTop w:val="0"/>
              <w:marBottom w:val="0"/>
              <w:divBdr>
                <w:top w:val="none" w:sz="0" w:space="0" w:color="auto"/>
                <w:left w:val="none" w:sz="0" w:space="0" w:color="auto"/>
                <w:bottom w:val="none" w:sz="0" w:space="0" w:color="auto"/>
                <w:right w:val="none" w:sz="0" w:space="0" w:color="auto"/>
              </w:divBdr>
            </w:div>
            <w:div w:id="1672879024">
              <w:marLeft w:val="0"/>
              <w:marRight w:val="0"/>
              <w:marTop w:val="0"/>
              <w:marBottom w:val="0"/>
              <w:divBdr>
                <w:top w:val="none" w:sz="0" w:space="0" w:color="auto"/>
                <w:left w:val="none" w:sz="0" w:space="0" w:color="auto"/>
                <w:bottom w:val="none" w:sz="0" w:space="0" w:color="auto"/>
                <w:right w:val="none" w:sz="0" w:space="0" w:color="auto"/>
              </w:divBdr>
            </w:div>
          </w:divsChild>
        </w:div>
        <w:div w:id="2117945950">
          <w:marLeft w:val="0"/>
          <w:marRight w:val="0"/>
          <w:marTop w:val="0"/>
          <w:marBottom w:val="0"/>
          <w:divBdr>
            <w:top w:val="none" w:sz="0" w:space="0" w:color="auto"/>
            <w:left w:val="none" w:sz="0" w:space="0" w:color="auto"/>
            <w:bottom w:val="none" w:sz="0" w:space="0" w:color="auto"/>
            <w:right w:val="none" w:sz="0" w:space="0" w:color="auto"/>
          </w:divBdr>
          <w:divsChild>
            <w:div w:id="1928807415">
              <w:marLeft w:val="0"/>
              <w:marRight w:val="0"/>
              <w:marTop w:val="0"/>
              <w:marBottom w:val="0"/>
              <w:divBdr>
                <w:top w:val="none" w:sz="0" w:space="0" w:color="auto"/>
                <w:left w:val="none" w:sz="0" w:space="0" w:color="auto"/>
                <w:bottom w:val="none" w:sz="0" w:space="0" w:color="auto"/>
                <w:right w:val="none" w:sz="0" w:space="0" w:color="auto"/>
              </w:divBdr>
              <w:divsChild>
                <w:div w:id="1182623927">
                  <w:marLeft w:val="0"/>
                  <w:marRight w:val="0"/>
                  <w:marTop w:val="0"/>
                  <w:marBottom w:val="0"/>
                  <w:divBdr>
                    <w:top w:val="none" w:sz="0" w:space="0" w:color="auto"/>
                    <w:left w:val="none" w:sz="0" w:space="0" w:color="auto"/>
                    <w:bottom w:val="none" w:sz="0" w:space="0" w:color="auto"/>
                    <w:right w:val="none" w:sz="0" w:space="0" w:color="auto"/>
                  </w:divBdr>
                  <w:divsChild>
                    <w:div w:id="833569808">
                      <w:marLeft w:val="0"/>
                      <w:marRight w:val="0"/>
                      <w:marTop w:val="0"/>
                      <w:marBottom w:val="0"/>
                      <w:divBdr>
                        <w:top w:val="none" w:sz="0" w:space="0" w:color="auto"/>
                        <w:left w:val="none" w:sz="0" w:space="0" w:color="auto"/>
                        <w:bottom w:val="none" w:sz="0" w:space="0" w:color="auto"/>
                        <w:right w:val="none" w:sz="0" w:space="0" w:color="auto"/>
                      </w:divBdr>
                    </w:div>
                  </w:divsChild>
                </w:div>
                <w:div w:id="444079497">
                  <w:marLeft w:val="0"/>
                  <w:marRight w:val="0"/>
                  <w:marTop w:val="0"/>
                  <w:marBottom w:val="0"/>
                  <w:divBdr>
                    <w:top w:val="none" w:sz="0" w:space="0" w:color="auto"/>
                    <w:left w:val="none" w:sz="0" w:space="0" w:color="auto"/>
                    <w:bottom w:val="none" w:sz="0" w:space="0" w:color="auto"/>
                    <w:right w:val="none" w:sz="0" w:space="0" w:color="auto"/>
                  </w:divBdr>
                  <w:divsChild>
                    <w:div w:id="1601911322">
                      <w:marLeft w:val="0"/>
                      <w:marRight w:val="0"/>
                      <w:marTop w:val="0"/>
                      <w:marBottom w:val="0"/>
                      <w:divBdr>
                        <w:top w:val="none" w:sz="0" w:space="0" w:color="auto"/>
                        <w:left w:val="none" w:sz="0" w:space="0" w:color="auto"/>
                        <w:bottom w:val="none" w:sz="0" w:space="0" w:color="auto"/>
                        <w:right w:val="none" w:sz="0" w:space="0" w:color="auto"/>
                      </w:divBdr>
                    </w:div>
                  </w:divsChild>
                </w:div>
                <w:div w:id="1437095519">
                  <w:marLeft w:val="0"/>
                  <w:marRight w:val="0"/>
                  <w:marTop w:val="0"/>
                  <w:marBottom w:val="0"/>
                  <w:divBdr>
                    <w:top w:val="none" w:sz="0" w:space="0" w:color="auto"/>
                    <w:left w:val="none" w:sz="0" w:space="0" w:color="auto"/>
                    <w:bottom w:val="none" w:sz="0" w:space="0" w:color="auto"/>
                    <w:right w:val="none" w:sz="0" w:space="0" w:color="auto"/>
                  </w:divBdr>
                  <w:divsChild>
                    <w:div w:id="440147769">
                      <w:marLeft w:val="0"/>
                      <w:marRight w:val="0"/>
                      <w:marTop w:val="0"/>
                      <w:marBottom w:val="0"/>
                      <w:divBdr>
                        <w:top w:val="none" w:sz="0" w:space="0" w:color="auto"/>
                        <w:left w:val="none" w:sz="0" w:space="0" w:color="auto"/>
                        <w:bottom w:val="none" w:sz="0" w:space="0" w:color="auto"/>
                        <w:right w:val="none" w:sz="0" w:space="0" w:color="auto"/>
                      </w:divBdr>
                    </w:div>
                  </w:divsChild>
                </w:div>
                <w:div w:id="715082928">
                  <w:marLeft w:val="0"/>
                  <w:marRight w:val="0"/>
                  <w:marTop w:val="0"/>
                  <w:marBottom w:val="0"/>
                  <w:divBdr>
                    <w:top w:val="none" w:sz="0" w:space="0" w:color="auto"/>
                    <w:left w:val="none" w:sz="0" w:space="0" w:color="auto"/>
                    <w:bottom w:val="none" w:sz="0" w:space="0" w:color="auto"/>
                    <w:right w:val="none" w:sz="0" w:space="0" w:color="auto"/>
                  </w:divBdr>
                  <w:divsChild>
                    <w:div w:id="244194957">
                      <w:marLeft w:val="0"/>
                      <w:marRight w:val="0"/>
                      <w:marTop w:val="0"/>
                      <w:marBottom w:val="0"/>
                      <w:divBdr>
                        <w:top w:val="none" w:sz="0" w:space="0" w:color="auto"/>
                        <w:left w:val="none" w:sz="0" w:space="0" w:color="auto"/>
                        <w:bottom w:val="none" w:sz="0" w:space="0" w:color="auto"/>
                        <w:right w:val="none" w:sz="0" w:space="0" w:color="auto"/>
                      </w:divBdr>
                    </w:div>
                  </w:divsChild>
                </w:div>
                <w:div w:id="957028871">
                  <w:marLeft w:val="0"/>
                  <w:marRight w:val="0"/>
                  <w:marTop w:val="0"/>
                  <w:marBottom w:val="0"/>
                  <w:divBdr>
                    <w:top w:val="none" w:sz="0" w:space="0" w:color="auto"/>
                    <w:left w:val="none" w:sz="0" w:space="0" w:color="auto"/>
                    <w:bottom w:val="none" w:sz="0" w:space="0" w:color="auto"/>
                    <w:right w:val="none" w:sz="0" w:space="0" w:color="auto"/>
                  </w:divBdr>
                  <w:divsChild>
                    <w:div w:id="727844389">
                      <w:marLeft w:val="0"/>
                      <w:marRight w:val="0"/>
                      <w:marTop w:val="0"/>
                      <w:marBottom w:val="0"/>
                      <w:divBdr>
                        <w:top w:val="none" w:sz="0" w:space="0" w:color="auto"/>
                        <w:left w:val="none" w:sz="0" w:space="0" w:color="auto"/>
                        <w:bottom w:val="none" w:sz="0" w:space="0" w:color="auto"/>
                        <w:right w:val="none" w:sz="0" w:space="0" w:color="auto"/>
                      </w:divBdr>
                    </w:div>
                  </w:divsChild>
                </w:div>
                <w:div w:id="258753248">
                  <w:marLeft w:val="0"/>
                  <w:marRight w:val="0"/>
                  <w:marTop w:val="0"/>
                  <w:marBottom w:val="0"/>
                  <w:divBdr>
                    <w:top w:val="none" w:sz="0" w:space="0" w:color="auto"/>
                    <w:left w:val="none" w:sz="0" w:space="0" w:color="auto"/>
                    <w:bottom w:val="none" w:sz="0" w:space="0" w:color="auto"/>
                    <w:right w:val="none" w:sz="0" w:space="0" w:color="auto"/>
                  </w:divBdr>
                  <w:divsChild>
                    <w:div w:id="228730062">
                      <w:marLeft w:val="0"/>
                      <w:marRight w:val="0"/>
                      <w:marTop w:val="0"/>
                      <w:marBottom w:val="0"/>
                      <w:divBdr>
                        <w:top w:val="none" w:sz="0" w:space="0" w:color="auto"/>
                        <w:left w:val="none" w:sz="0" w:space="0" w:color="auto"/>
                        <w:bottom w:val="none" w:sz="0" w:space="0" w:color="auto"/>
                        <w:right w:val="none" w:sz="0" w:space="0" w:color="auto"/>
                      </w:divBdr>
                    </w:div>
                  </w:divsChild>
                </w:div>
                <w:div w:id="340397090">
                  <w:marLeft w:val="0"/>
                  <w:marRight w:val="0"/>
                  <w:marTop w:val="0"/>
                  <w:marBottom w:val="0"/>
                  <w:divBdr>
                    <w:top w:val="none" w:sz="0" w:space="0" w:color="auto"/>
                    <w:left w:val="none" w:sz="0" w:space="0" w:color="auto"/>
                    <w:bottom w:val="none" w:sz="0" w:space="0" w:color="auto"/>
                    <w:right w:val="none" w:sz="0" w:space="0" w:color="auto"/>
                  </w:divBdr>
                  <w:divsChild>
                    <w:div w:id="432407449">
                      <w:marLeft w:val="0"/>
                      <w:marRight w:val="0"/>
                      <w:marTop w:val="0"/>
                      <w:marBottom w:val="0"/>
                      <w:divBdr>
                        <w:top w:val="none" w:sz="0" w:space="0" w:color="auto"/>
                        <w:left w:val="none" w:sz="0" w:space="0" w:color="auto"/>
                        <w:bottom w:val="none" w:sz="0" w:space="0" w:color="auto"/>
                        <w:right w:val="none" w:sz="0" w:space="0" w:color="auto"/>
                      </w:divBdr>
                    </w:div>
                  </w:divsChild>
                </w:div>
                <w:div w:id="1565142298">
                  <w:marLeft w:val="0"/>
                  <w:marRight w:val="0"/>
                  <w:marTop w:val="0"/>
                  <w:marBottom w:val="0"/>
                  <w:divBdr>
                    <w:top w:val="none" w:sz="0" w:space="0" w:color="auto"/>
                    <w:left w:val="none" w:sz="0" w:space="0" w:color="auto"/>
                    <w:bottom w:val="none" w:sz="0" w:space="0" w:color="auto"/>
                    <w:right w:val="none" w:sz="0" w:space="0" w:color="auto"/>
                  </w:divBdr>
                  <w:divsChild>
                    <w:div w:id="277377555">
                      <w:marLeft w:val="0"/>
                      <w:marRight w:val="0"/>
                      <w:marTop w:val="0"/>
                      <w:marBottom w:val="0"/>
                      <w:divBdr>
                        <w:top w:val="none" w:sz="0" w:space="0" w:color="auto"/>
                        <w:left w:val="none" w:sz="0" w:space="0" w:color="auto"/>
                        <w:bottom w:val="none" w:sz="0" w:space="0" w:color="auto"/>
                        <w:right w:val="none" w:sz="0" w:space="0" w:color="auto"/>
                      </w:divBdr>
                    </w:div>
                  </w:divsChild>
                </w:div>
                <w:div w:id="612707929">
                  <w:marLeft w:val="0"/>
                  <w:marRight w:val="0"/>
                  <w:marTop w:val="0"/>
                  <w:marBottom w:val="0"/>
                  <w:divBdr>
                    <w:top w:val="none" w:sz="0" w:space="0" w:color="auto"/>
                    <w:left w:val="none" w:sz="0" w:space="0" w:color="auto"/>
                    <w:bottom w:val="none" w:sz="0" w:space="0" w:color="auto"/>
                    <w:right w:val="none" w:sz="0" w:space="0" w:color="auto"/>
                  </w:divBdr>
                  <w:divsChild>
                    <w:div w:id="1115713838">
                      <w:marLeft w:val="0"/>
                      <w:marRight w:val="0"/>
                      <w:marTop w:val="0"/>
                      <w:marBottom w:val="0"/>
                      <w:divBdr>
                        <w:top w:val="none" w:sz="0" w:space="0" w:color="auto"/>
                        <w:left w:val="none" w:sz="0" w:space="0" w:color="auto"/>
                        <w:bottom w:val="none" w:sz="0" w:space="0" w:color="auto"/>
                        <w:right w:val="none" w:sz="0" w:space="0" w:color="auto"/>
                      </w:divBdr>
                    </w:div>
                  </w:divsChild>
                </w:div>
                <w:div w:id="1671104430">
                  <w:marLeft w:val="0"/>
                  <w:marRight w:val="0"/>
                  <w:marTop w:val="0"/>
                  <w:marBottom w:val="0"/>
                  <w:divBdr>
                    <w:top w:val="none" w:sz="0" w:space="0" w:color="auto"/>
                    <w:left w:val="none" w:sz="0" w:space="0" w:color="auto"/>
                    <w:bottom w:val="none" w:sz="0" w:space="0" w:color="auto"/>
                    <w:right w:val="none" w:sz="0" w:space="0" w:color="auto"/>
                  </w:divBdr>
                  <w:divsChild>
                    <w:div w:id="802507901">
                      <w:marLeft w:val="0"/>
                      <w:marRight w:val="0"/>
                      <w:marTop w:val="0"/>
                      <w:marBottom w:val="0"/>
                      <w:divBdr>
                        <w:top w:val="none" w:sz="0" w:space="0" w:color="auto"/>
                        <w:left w:val="none" w:sz="0" w:space="0" w:color="auto"/>
                        <w:bottom w:val="none" w:sz="0" w:space="0" w:color="auto"/>
                        <w:right w:val="none" w:sz="0" w:space="0" w:color="auto"/>
                      </w:divBdr>
                    </w:div>
                  </w:divsChild>
                </w:div>
                <w:div w:id="1159733729">
                  <w:marLeft w:val="0"/>
                  <w:marRight w:val="0"/>
                  <w:marTop w:val="0"/>
                  <w:marBottom w:val="0"/>
                  <w:divBdr>
                    <w:top w:val="none" w:sz="0" w:space="0" w:color="auto"/>
                    <w:left w:val="none" w:sz="0" w:space="0" w:color="auto"/>
                    <w:bottom w:val="none" w:sz="0" w:space="0" w:color="auto"/>
                    <w:right w:val="none" w:sz="0" w:space="0" w:color="auto"/>
                  </w:divBdr>
                  <w:divsChild>
                    <w:div w:id="496843295">
                      <w:marLeft w:val="0"/>
                      <w:marRight w:val="0"/>
                      <w:marTop w:val="0"/>
                      <w:marBottom w:val="0"/>
                      <w:divBdr>
                        <w:top w:val="none" w:sz="0" w:space="0" w:color="auto"/>
                        <w:left w:val="none" w:sz="0" w:space="0" w:color="auto"/>
                        <w:bottom w:val="none" w:sz="0" w:space="0" w:color="auto"/>
                        <w:right w:val="none" w:sz="0" w:space="0" w:color="auto"/>
                      </w:divBdr>
                    </w:div>
                  </w:divsChild>
                </w:div>
                <w:div w:id="1843667714">
                  <w:marLeft w:val="0"/>
                  <w:marRight w:val="0"/>
                  <w:marTop w:val="0"/>
                  <w:marBottom w:val="0"/>
                  <w:divBdr>
                    <w:top w:val="none" w:sz="0" w:space="0" w:color="auto"/>
                    <w:left w:val="none" w:sz="0" w:space="0" w:color="auto"/>
                    <w:bottom w:val="none" w:sz="0" w:space="0" w:color="auto"/>
                    <w:right w:val="none" w:sz="0" w:space="0" w:color="auto"/>
                  </w:divBdr>
                  <w:divsChild>
                    <w:div w:id="1048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7123">
          <w:marLeft w:val="0"/>
          <w:marRight w:val="0"/>
          <w:marTop w:val="0"/>
          <w:marBottom w:val="0"/>
          <w:divBdr>
            <w:top w:val="none" w:sz="0" w:space="0" w:color="auto"/>
            <w:left w:val="none" w:sz="0" w:space="0" w:color="auto"/>
            <w:bottom w:val="none" w:sz="0" w:space="0" w:color="auto"/>
            <w:right w:val="none" w:sz="0" w:space="0" w:color="auto"/>
          </w:divBdr>
        </w:div>
      </w:divsChild>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794251089">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982003364">
      <w:bodyDiv w:val="1"/>
      <w:marLeft w:val="0"/>
      <w:marRight w:val="0"/>
      <w:marTop w:val="0"/>
      <w:marBottom w:val="0"/>
      <w:divBdr>
        <w:top w:val="none" w:sz="0" w:space="0" w:color="auto"/>
        <w:left w:val="none" w:sz="0" w:space="0" w:color="auto"/>
        <w:bottom w:val="none" w:sz="0" w:space="0" w:color="auto"/>
        <w:right w:val="none" w:sz="0" w:space="0" w:color="auto"/>
      </w:divBdr>
    </w:div>
    <w:div w:id="986056193">
      <w:bodyDiv w:val="1"/>
      <w:marLeft w:val="0"/>
      <w:marRight w:val="0"/>
      <w:marTop w:val="0"/>
      <w:marBottom w:val="0"/>
      <w:divBdr>
        <w:top w:val="none" w:sz="0" w:space="0" w:color="auto"/>
        <w:left w:val="none" w:sz="0" w:space="0" w:color="auto"/>
        <w:bottom w:val="none" w:sz="0" w:space="0" w:color="auto"/>
        <w:right w:val="none" w:sz="0" w:space="0" w:color="auto"/>
      </w:divBdr>
    </w:div>
    <w:div w:id="1106389817">
      <w:bodyDiv w:val="1"/>
      <w:marLeft w:val="0"/>
      <w:marRight w:val="0"/>
      <w:marTop w:val="0"/>
      <w:marBottom w:val="0"/>
      <w:divBdr>
        <w:top w:val="none" w:sz="0" w:space="0" w:color="auto"/>
        <w:left w:val="none" w:sz="0" w:space="0" w:color="auto"/>
        <w:bottom w:val="none" w:sz="0" w:space="0" w:color="auto"/>
        <w:right w:val="none" w:sz="0" w:space="0" w:color="auto"/>
      </w:divBdr>
    </w:div>
    <w:div w:id="1125345364">
      <w:bodyDiv w:val="1"/>
      <w:marLeft w:val="0"/>
      <w:marRight w:val="0"/>
      <w:marTop w:val="0"/>
      <w:marBottom w:val="0"/>
      <w:divBdr>
        <w:top w:val="none" w:sz="0" w:space="0" w:color="auto"/>
        <w:left w:val="none" w:sz="0" w:space="0" w:color="auto"/>
        <w:bottom w:val="none" w:sz="0" w:space="0" w:color="auto"/>
        <w:right w:val="none" w:sz="0" w:space="0" w:color="auto"/>
      </w:divBdr>
    </w:div>
    <w:div w:id="1178885757">
      <w:bodyDiv w:val="1"/>
      <w:marLeft w:val="0"/>
      <w:marRight w:val="0"/>
      <w:marTop w:val="0"/>
      <w:marBottom w:val="0"/>
      <w:divBdr>
        <w:top w:val="none" w:sz="0" w:space="0" w:color="auto"/>
        <w:left w:val="none" w:sz="0" w:space="0" w:color="auto"/>
        <w:bottom w:val="none" w:sz="0" w:space="0" w:color="auto"/>
        <w:right w:val="none" w:sz="0" w:space="0" w:color="auto"/>
      </w:divBdr>
      <w:divsChild>
        <w:div w:id="172645512">
          <w:marLeft w:val="0"/>
          <w:marRight w:val="0"/>
          <w:marTop w:val="0"/>
          <w:marBottom w:val="0"/>
          <w:divBdr>
            <w:top w:val="none" w:sz="0" w:space="0" w:color="auto"/>
            <w:left w:val="none" w:sz="0" w:space="0" w:color="auto"/>
            <w:bottom w:val="none" w:sz="0" w:space="0" w:color="auto"/>
            <w:right w:val="none" w:sz="0" w:space="0" w:color="auto"/>
          </w:divBdr>
        </w:div>
        <w:div w:id="1769426905">
          <w:marLeft w:val="0"/>
          <w:marRight w:val="0"/>
          <w:marTop w:val="0"/>
          <w:marBottom w:val="0"/>
          <w:divBdr>
            <w:top w:val="none" w:sz="0" w:space="0" w:color="auto"/>
            <w:left w:val="none" w:sz="0" w:space="0" w:color="auto"/>
            <w:bottom w:val="none" w:sz="0" w:space="0" w:color="auto"/>
            <w:right w:val="none" w:sz="0" w:space="0" w:color="auto"/>
          </w:divBdr>
        </w:div>
      </w:divsChild>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295213587">
      <w:bodyDiv w:val="1"/>
      <w:marLeft w:val="0"/>
      <w:marRight w:val="0"/>
      <w:marTop w:val="0"/>
      <w:marBottom w:val="0"/>
      <w:divBdr>
        <w:top w:val="none" w:sz="0" w:space="0" w:color="auto"/>
        <w:left w:val="none" w:sz="0" w:space="0" w:color="auto"/>
        <w:bottom w:val="none" w:sz="0" w:space="0" w:color="auto"/>
        <w:right w:val="none" w:sz="0" w:space="0" w:color="auto"/>
      </w:divBdr>
      <w:divsChild>
        <w:div w:id="945423512">
          <w:marLeft w:val="0"/>
          <w:marRight w:val="0"/>
          <w:marTop w:val="0"/>
          <w:marBottom w:val="0"/>
          <w:divBdr>
            <w:top w:val="none" w:sz="0" w:space="0" w:color="auto"/>
            <w:left w:val="none" w:sz="0" w:space="0" w:color="auto"/>
            <w:bottom w:val="none" w:sz="0" w:space="0" w:color="auto"/>
            <w:right w:val="none" w:sz="0" w:space="0" w:color="auto"/>
          </w:divBdr>
          <w:divsChild>
            <w:div w:id="6591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1288">
      <w:bodyDiv w:val="1"/>
      <w:marLeft w:val="0"/>
      <w:marRight w:val="0"/>
      <w:marTop w:val="0"/>
      <w:marBottom w:val="0"/>
      <w:divBdr>
        <w:top w:val="none" w:sz="0" w:space="0" w:color="auto"/>
        <w:left w:val="none" w:sz="0" w:space="0" w:color="auto"/>
        <w:bottom w:val="none" w:sz="0" w:space="0" w:color="auto"/>
        <w:right w:val="none" w:sz="0" w:space="0" w:color="auto"/>
      </w:divBdr>
      <w:divsChild>
        <w:div w:id="588923654">
          <w:marLeft w:val="0"/>
          <w:marRight w:val="0"/>
          <w:marTop w:val="0"/>
          <w:marBottom w:val="0"/>
          <w:divBdr>
            <w:top w:val="none" w:sz="0" w:space="0" w:color="auto"/>
            <w:left w:val="none" w:sz="0" w:space="0" w:color="auto"/>
            <w:bottom w:val="none" w:sz="0" w:space="0" w:color="auto"/>
            <w:right w:val="none" w:sz="0" w:space="0" w:color="auto"/>
          </w:divBdr>
          <w:divsChild>
            <w:div w:id="1421948490">
              <w:marLeft w:val="0"/>
              <w:marRight w:val="0"/>
              <w:marTop w:val="0"/>
              <w:marBottom w:val="0"/>
              <w:divBdr>
                <w:top w:val="none" w:sz="0" w:space="0" w:color="auto"/>
                <w:left w:val="none" w:sz="0" w:space="0" w:color="auto"/>
                <w:bottom w:val="none" w:sz="0" w:space="0" w:color="auto"/>
                <w:right w:val="none" w:sz="0" w:space="0" w:color="auto"/>
              </w:divBdr>
            </w:div>
            <w:div w:id="247925251">
              <w:marLeft w:val="0"/>
              <w:marRight w:val="0"/>
              <w:marTop w:val="0"/>
              <w:marBottom w:val="0"/>
              <w:divBdr>
                <w:top w:val="none" w:sz="0" w:space="0" w:color="auto"/>
                <w:left w:val="none" w:sz="0" w:space="0" w:color="auto"/>
                <w:bottom w:val="none" w:sz="0" w:space="0" w:color="auto"/>
                <w:right w:val="none" w:sz="0" w:space="0" w:color="auto"/>
              </w:divBdr>
              <w:divsChild>
                <w:div w:id="1313870940">
                  <w:marLeft w:val="0"/>
                  <w:marRight w:val="0"/>
                  <w:marTop w:val="0"/>
                  <w:marBottom w:val="0"/>
                  <w:divBdr>
                    <w:top w:val="none" w:sz="0" w:space="0" w:color="auto"/>
                    <w:left w:val="none" w:sz="0" w:space="0" w:color="auto"/>
                    <w:bottom w:val="none" w:sz="0" w:space="0" w:color="auto"/>
                    <w:right w:val="none" w:sz="0" w:space="0" w:color="auto"/>
                  </w:divBdr>
                  <w:divsChild>
                    <w:div w:id="607157955">
                      <w:marLeft w:val="0"/>
                      <w:marRight w:val="0"/>
                      <w:marTop w:val="0"/>
                      <w:marBottom w:val="0"/>
                      <w:divBdr>
                        <w:top w:val="none" w:sz="0" w:space="0" w:color="auto"/>
                        <w:left w:val="none" w:sz="0" w:space="0" w:color="auto"/>
                        <w:bottom w:val="none" w:sz="0" w:space="0" w:color="auto"/>
                        <w:right w:val="none" w:sz="0" w:space="0" w:color="auto"/>
                      </w:divBdr>
                      <w:divsChild>
                        <w:div w:id="1405251449">
                          <w:marLeft w:val="0"/>
                          <w:marRight w:val="0"/>
                          <w:marTop w:val="0"/>
                          <w:marBottom w:val="0"/>
                          <w:divBdr>
                            <w:top w:val="none" w:sz="0" w:space="0" w:color="auto"/>
                            <w:left w:val="none" w:sz="0" w:space="0" w:color="auto"/>
                            <w:bottom w:val="none" w:sz="0" w:space="0" w:color="auto"/>
                            <w:right w:val="none" w:sz="0" w:space="0" w:color="auto"/>
                          </w:divBdr>
                        </w:div>
                      </w:divsChild>
                    </w:div>
                    <w:div w:id="487750739">
                      <w:marLeft w:val="0"/>
                      <w:marRight w:val="0"/>
                      <w:marTop w:val="0"/>
                      <w:marBottom w:val="0"/>
                      <w:divBdr>
                        <w:top w:val="none" w:sz="0" w:space="0" w:color="auto"/>
                        <w:left w:val="none" w:sz="0" w:space="0" w:color="auto"/>
                        <w:bottom w:val="none" w:sz="0" w:space="0" w:color="auto"/>
                        <w:right w:val="none" w:sz="0" w:space="0" w:color="auto"/>
                      </w:divBdr>
                      <w:divsChild>
                        <w:div w:id="681860206">
                          <w:marLeft w:val="0"/>
                          <w:marRight w:val="0"/>
                          <w:marTop w:val="0"/>
                          <w:marBottom w:val="0"/>
                          <w:divBdr>
                            <w:top w:val="none" w:sz="0" w:space="0" w:color="auto"/>
                            <w:left w:val="none" w:sz="0" w:space="0" w:color="auto"/>
                            <w:bottom w:val="none" w:sz="0" w:space="0" w:color="auto"/>
                            <w:right w:val="none" w:sz="0" w:space="0" w:color="auto"/>
                          </w:divBdr>
                        </w:div>
                      </w:divsChild>
                    </w:div>
                    <w:div w:id="6686834">
                      <w:marLeft w:val="0"/>
                      <w:marRight w:val="0"/>
                      <w:marTop w:val="0"/>
                      <w:marBottom w:val="0"/>
                      <w:divBdr>
                        <w:top w:val="none" w:sz="0" w:space="0" w:color="auto"/>
                        <w:left w:val="none" w:sz="0" w:space="0" w:color="auto"/>
                        <w:bottom w:val="none" w:sz="0" w:space="0" w:color="auto"/>
                        <w:right w:val="none" w:sz="0" w:space="0" w:color="auto"/>
                      </w:divBdr>
                      <w:divsChild>
                        <w:div w:id="663046166">
                          <w:marLeft w:val="0"/>
                          <w:marRight w:val="0"/>
                          <w:marTop w:val="0"/>
                          <w:marBottom w:val="0"/>
                          <w:divBdr>
                            <w:top w:val="none" w:sz="0" w:space="0" w:color="auto"/>
                            <w:left w:val="none" w:sz="0" w:space="0" w:color="auto"/>
                            <w:bottom w:val="none" w:sz="0" w:space="0" w:color="auto"/>
                            <w:right w:val="none" w:sz="0" w:space="0" w:color="auto"/>
                          </w:divBdr>
                        </w:div>
                      </w:divsChild>
                    </w:div>
                    <w:div w:id="46296072">
                      <w:marLeft w:val="0"/>
                      <w:marRight w:val="0"/>
                      <w:marTop w:val="0"/>
                      <w:marBottom w:val="0"/>
                      <w:divBdr>
                        <w:top w:val="none" w:sz="0" w:space="0" w:color="auto"/>
                        <w:left w:val="none" w:sz="0" w:space="0" w:color="auto"/>
                        <w:bottom w:val="none" w:sz="0" w:space="0" w:color="auto"/>
                        <w:right w:val="none" w:sz="0" w:space="0" w:color="auto"/>
                      </w:divBdr>
                      <w:divsChild>
                        <w:div w:id="319961896">
                          <w:marLeft w:val="0"/>
                          <w:marRight w:val="0"/>
                          <w:marTop w:val="0"/>
                          <w:marBottom w:val="0"/>
                          <w:divBdr>
                            <w:top w:val="none" w:sz="0" w:space="0" w:color="auto"/>
                            <w:left w:val="none" w:sz="0" w:space="0" w:color="auto"/>
                            <w:bottom w:val="none" w:sz="0" w:space="0" w:color="auto"/>
                            <w:right w:val="none" w:sz="0" w:space="0" w:color="auto"/>
                          </w:divBdr>
                        </w:div>
                      </w:divsChild>
                    </w:div>
                    <w:div w:id="954481221">
                      <w:marLeft w:val="0"/>
                      <w:marRight w:val="0"/>
                      <w:marTop w:val="0"/>
                      <w:marBottom w:val="0"/>
                      <w:divBdr>
                        <w:top w:val="none" w:sz="0" w:space="0" w:color="auto"/>
                        <w:left w:val="none" w:sz="0" w:space="0" w:color="auto"/>
                        <w:bottom w:val="none" w:sz="0" w:space="0" w:color="auto"/>
                        <w:right w:val="none" w:sz="0" w:space="0" w:color="auto"/>
                      </w:divBdr>
                      <w:divsChild>
                        <w:div w:id="444934208">
                          <w:marLeft w:val="0"/>
                          <w:marRight w:val="0"/>
                          <w:marTop w:val="0"/>
                          <w:marBottom w:val="0"/>
                          <w:divBdr>
                            <w:top w:val="none" w:sz="0" w:space="0" w:color="auto"/>
                            <w:left w:val="none" w:sz="0" w:space="0" w:color="auto"/>
                            <w:bottom w:val="none" w:sz="0" w:space="0" w:color="auto"/>
                            <w:right w:val="none" w:sz="0" w:space="0" w:color="auto"/>
                          </w:divBdr>
                        </w:div>
                      </w:divsChild>
                    </w:div>
                    <w:div w:id="1777287673">
                      <w:marLeft w:val="0"/>
                      <w:marRight w:val="0"/>
                      <w:marTop w:val="0"/>
                      <w:marBottom w:val="0"/>
                      <w:divBdr>
                        <w:top w:val="none" w:sz="0" w:space="0" w:color="auto"/>
                        <w:left w:val="none" w:sz="0" w:space="0" w:color="auto"/>
                        <w:bottom w:val="none" w:sz="0" w:space="0" w:color="auto"/>
                        <w:right w:val="none" w:sz="0" w:space="0" w:color="auto"/>
                      </w:divBdr>
                      <w:divsChild>
                        <w:div w:id="2084453306">
                          <w:marLeft w:val="0"/>
                          <w:marRight w:val="0"/>
                          <w:marTop w:val="0"/>
                          <w:marBottom w:val="0"/>
                          <w:divBdr>
                            <w:top w:val="none" w:sz="0" w:space="0" w:color="auto"/>
                            <w:left w:val="none" w:sz="0" w:space="0" w:color="auto"/>
                            <w:bottom w:val="none" w:sz="0" w:space="0" w:color="auto"/>
                            <w:right w:val="none" w:sz="0" w:space="0" w:color="auto"/>
                          </w:divBdr>
                        </w:div>
                      </w:divsChild>
                    </w:div>
                    <w:div w:id="1787699675">
                      <w:marLeft w:val="0"/>
                      <w:marRight w:val="0"/>
                      <w:marTop w:val="0"/>
                      <w:marBottom w:val="0"/>
                      <w:divBdr>
                        <w:top w:val="none" w:sz="0" w:space="0" w:color="auto"/>
                        <w:left w:val="none" w:sz="0" w:space="0" w:color="auto"/>
                        <w:bottom w:val="none" w:sz="0" w:space="0" w:color="auto"/>
                        <w:right w:val="none" w:sz="0" w:space="0" w:color="auto"/>
                      </w:divBdr>
                      <w:divsChild>
                        <w:div w:id="190536893">
                          <w:marLeft w:val="0"/>
                          <w:marRight w:val="0"/>
                          <w:marTop w:val="0"/>
                          <w:marBottom w:val="0"/>
                          <w:divBdr>
                            <w:top w:val="none" w:sz="0" w:space="0" w:color="auto"/>
                            <w:left w:val="none" w:sz="0" w:space="0" w:color="auto"/>
                            <w:bottom w:val="none" w:sz="0" w:space="0" w:color="auto"/>
                            <w:right w:val="none" w:sz="0" w:space="0" w:color="auto"/>
                          </w:divBdr>
                        </w:div>
                      </w:divsChild>
                    </w:div>
                    <w:div w:id="884754561">
                      <w:marLeft w:val="0"/>
                      <w:marRight w:val="0"/>
                      <w:marTop w:val="0"/>
                      <w:marBottom w:val="0"/>
                      <w:divBdr>
                        <w:top w:val="none" w:sz="0" w:space="0" w:color="auto"/>
                        <w:left w:val="none" w:sz="0" w:space="0" w:color="auto"/>
                        <w:bottom w:val="none" w:sz="0" w:space="0" w:color="auto"/>
                        <w:right w:val="none" w:sz="0" w:space="0" w:color="auto"/>
                      </w:divBdr>
                      <w:divsChild>
                        <w:div w:id="1525171493">
                          <w:marLeft w:val="0"/>
                          <w:marRight w:val="0"/>
                          <w:marTop w:val="0"/>
                          <w:marBottom w:val="0"/>
                          <w:divBdr>
                            <w:top w:val="none" w:sz="0" w:space="0" w:color="auto"/>
                            <w:left w:val="none" w:sz="0" w:space="0" w:color="auto"/>
                            <w:bottom w:val="none" w:sz="0" w:space="0" w:color="auto"/>
                            <w:right w:val="none" w:sz="0" w:space="0" w:color="auto"/>
                          </w:divBdr>
                        </w:div>
                      </w:divsChild>
                    </w:div>
                    <w:div w:id="1286349587">
                      <w:marLeft w:val="0"/>
                      <w:marRight w:val="0"/>
                      <w:marTop w:val="0"/>
                      <w:marBottom w:val="0"/>
                      <w:divBdr>
                        <w:top w:val="none" w:sz="0" w:space="0" w:color="auto"/>
                        <w:left w:val="none" w:sz="0" w:space="0" w:color="auto"/>
                        <w:bottom w:val="none" w:sz="0" w:space="0" w:color="auto"/>
                        <w:right w:val="none" w:sz="0" w:space="0" w:color="auto"/>
                      </w:divBdr>
                      <w:divsChild>
                        <w:div w:id="146214875">
                          <w:marLeft w:val="0"/>
                          <w:marRight w:val="0"/>
                          <w:marTop w:val="0"/>
                          <w:marBottom w:val="0"/>
                          <w:divBdr>
                            <w:top w:val="none" w:sz="0" w:space="0" w:color="auto"/>
                            <w:left w:val="none" w:sz="0" w:space="0" w:color="auto"/>
                            <w:bottom w:val="none" w:sz="0" w:space="0" w:color="auto"/>
                            <w:right w:val="none" w:sz="0" w:space="0" w:color="auto"/>
                          </w:divBdr>
                        </w:div>
                      </w:divsChild>
                    </w:div>
                    <w:div w:id="1850096120">
                      <w:marLeft w:val="0"/>
                      <w:marRight w:val="0"/>
                      <w:marTop w:val="0"/>
                      <w:marBottom w:val="0"/>
                      <w:divBdr>
                        <w:top w:val="none" w:sz="0" w:space="0" w:color="auto"/>
                        <w:left w:val="none" w:sz="0" w:space="0" w:color="auto"/>
                        <w:bottom w:val="none" w:sz="0" w:space="0" w:color="auto"/>
                        <w:right w:val="none" w:sz="0" w:space="0" w:color="auto"/>
                      </w:divBdr>
                      <w:divsChild>
                        <w:div w:id="591401064">
                          <w:marLeft w:val="0"/>
                          <w:marRight w:val="0"/>
                          <w:marTop w:val="0"/>
                          <w:marBottom w:val="0"/>
                          <w:divBdr>
                            <w:top w:val="none" w:sz="0" w:space="0" w:color="auto"/>
                            <w:left w:val="none" w:sz="0" w:space="0" w:color="auto"/>
                            <w:bottom w:val="none" w:sz="0" w:space="0" w:color="auto"/>
                            <w:right w:val="none" w:sz="0" w:space="0" w:color="auto"/>
                          </w:divBdr>
                        </w:div>
                      </w:divsChild>
                    </w:div>
                    <w:div w:id="2116512764">
                      <w:marLeft w:val="0"/>
                      <w:marRight w:val="0"/>
                      <w:marTop w:val="0"/>
                      <w:marBottom w:val="0"/>
                      <w:divBdr>
                        <w:top w:val="none" w:sz="0" w:space="0" w:color="auto"/>
                        <w:left w:val="none" w:sz="0" w:space="0" w:color="auto"/>
                        <w:bottom w:val="none" w:sz="0" w:space="0" w:color="auto"/>
                        <w:right w:val="none" w:sz="0" w:space="0" w:color="auto"/>
                      </w:divBdr>
                      <w:divsChild>
                        <w:div w:id="17982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68556">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54815834">
      <w:bodyDiv w:val="1"/>
      <w:marLeft w:val="0"/>
      <w:marRight w:val="0"/>
      <w:marTop w:val="0"/>
      <w:marBottom w:val="0"/>
      <w:divBdr>
        <w:top w:val="none" w:sz="0" w:space="0" w:color="auto"/>
        <w:left w:val="none" w:sz="0" w:space="0" w:color="auto"/>
        <w:bottom w:val="none" w:sz="0" w:space="0" w:color="auto"/>
        <w:right w:val="none" w:sz="0" w:space="0" w:color="auto"/>
      </w:divBdr>
    </w:div>
    <w:div w:id="1757095997">
      <w:bodyDiv w:val="1"/>
      <w:marLeft w:val="0"/>
      <w:marRight w:val="0"/>
      <w:marTop w:val="0"/>
      <w:marBottom w:val="0"/>
      <w:divBdr>
        <w:top w:val="none" w:sz="0" w:space="0" w:color="auto"/>
        <w:left w:val="none" w:sz="0" w:space="0" w:color="auto"/>
        <w:bottom w:val="none" w:sz="0" w:space="0" w:color="auto"/>
        <w:right w:val="none" w:sz="0" w:space="0" w:color="auto"/>
      </w:divBdr>
      <w:divsChild>
        <w:div w:id="1544898746">
          <w:marLeft w:val="0"/>
          <w:marRight w:val="0"/>
          <w:marTop w:val="0"/>
          <w:marBottom w:val="0"/>
          <w:divBdr>
            <w:top w:val="none" w:sz="0" w:space="0" w:color="auto"/>
            <w:left w:val="none" w:sz="0" w:space="0" w:color="auto"/>
            <w:bottom w:val="none" w:sz="0" w:space="0" w:color="auto"/>
            <w:right w:val="none" w:sz="0" w:space="0" w:color="auto"/>
          </w:divBdr>
        </w:div>
        <w:div w:id="332152739">
          <w:marLeft w:val="0"/>
          <w:marRight w:val="0"/>
          <w:marTop w:val="0"/>
          <w:marBottom w:val="0"/>
          <w:divBdr>
            <w:top w:val="none" w:sz="0" w:space="0" w:color="auto"/>
            <w:left w:val="none" w:sz="0" w:space="0" w:color="auto"/>
            <w:bottom w:val="none" w:sz="0" w:space="0" w:color="auto"/>
            <w:right w:val="none" w:sz="0" w:space="0" w:color="auto"/>
          </w:divBdr>
        </w:div>
      </w:divsChild>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868642605">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01158471">
      <w:bodyDiv w:val="1"/>
      <w:marLeft w:val="0"/>
      <w:marRight w:val="0"/>
      <w:marTop w:val="0"/>
      <w:marBottom w:val="0"/>
      <w:divBdr>
        <w:top w:val="none" w:sz="0" w:space="0" w:color="auto"/>
        <w:left w:val="none" w:sz="0" w:space="0" w:color="auto"/>
        <w:bottom w:val="none" w:sz="0" w:space="0" w:color="auto"/>
        <w:right w:val="none" w:sz="0" w:space="0" w:color="auto"/>
      </w:divBdr>
      <w:divsChild>
        <w:div w:id="177430084">
          <w:marLeft w:val="0"/>
          <w:marRight w:val="0"/>
          <w:marTop w:val="0"/>
          <w:marBottom w:val="0"/>
          <w:divBdr>
            <w:top w:val="none" w:sz="0" w:space="0" w:color="auto"/>
            <w:left w:val="none" w:sz="0" w:space="0" w:color="auto"/>
            <w:bottom w:val="none" w:sz="0" w:space="0" w:color="auto"/>
            <w:right w:val="none" w:sz="0" w:space="0" w:color="auto"/>
          </w:divBdr>
          <w:divsChild>
            <w:div w:id="754935518">
              <w:marLeft w:val="0"/>
              <w:marRight w:val="0"/>
              <w:marTop w:val="0"/>
              <w:marBottom w:val="0"/>
              <w:divBdr>
                <w:top w:val="none" w:sz="0" w:space="0" w:color="auto"/>
                <w:left w:val="none" w:sz="0" w:space="0" w:color="auto"/>
                <w:bottom w:val="none" w:sz="0" w:space="0" w:color="auto"/>
                <w:right w:val="none" w:sz="0" w:space="0" w:color="auto"/>
              </w:divBdr>
              <w:divsChild>
                <w:div w:id="859315019">
                  <w:marLeft w:val="0"/>
                  <w:marRight w:val="0"/>
                  <w:marTop w:val="0"/>
                  <w:marBottom w:val="0"/>
                  <w:divBdr>
                    <w:top w:val="none" w:sz="0" w:space="0" w:color="auto"/>
                    <w:left w:val="none" w:sz="0" w:space="0" w:color="auto"/>
                    <w:bottom w:val="none" w:sz="0" w:space="0" w:color="auto"/>
                    <w:right w:val="none" w:sz="0" w:space="0" w:color="auto"/>
                  </w:divBdr>
                  <w:divsChild>
                    <w:div w:id="1146971233">
                      <w:marLeft w:val="0"/>
                      <w:marRight w:val="0"/>
                      <w:marTop w:val="0"/>
                      <w:marBottom w:val="0"/>
                      <w:divBdr>
                        <w:top w:val="none" w:sz="0" w:space="0" w:color="auto"/>
                        <w:left w:val="none" w:sz="0" w:space="0" w:color="auto"/>
                        <w:bottom w:val="none" w:sz="0" w:space="0" w:color="auto"/>
                        <w:right w:val="none" w:sz="0" w:space="0" w:color="auto"/>
                      </w:divBdr>
                      <w:divsChild>
                        <w:div w:id="292297728">
                          <w:marLeft w:val="0"/>
                          <w:marRight w:val="0"/>
                          <w:marTop w:val="0"/>
                          <w:marBottom w:val="0"/>
                          <w:divBdr>
                            <w:top w:val="none" w:sz="0" w:space="0" w:color="auto"/>
                            <w:left w:val="none" w:sz="0" w:space="0" w:color="auto"/>
                            <w:bottom w:val="none" w:sz="0" w:space="0" w:color="auto"/>
                            <w:right w:val="none" w:sz="0" w:space="0" w:color="auto"/>
                          </w:divBdr>
                        </w:div>
                      </w:divsChild>
                    </w:div>
                    <w:div w:id="834297638">
                      <w:marLeft w:val="0"/>
                      <w:marRight w:val="0"/>
                      <w:marTop w:val="0"/>
                      <w:marBottom w:val="0"/>
                      <w:divBdr>
                        <w:top w:val="none" w:sz="0" w:space="0" w:color="auto"/>
                        <w:left w:val="none" w:sz="0" w:space="0" w:color="auto"/>
                        <w:bottom w:val="none" w:sz="0" w:space="0" w:color="auto"/>
                        <w:right w:val="none" w:sz="0" w:space="0" w:color="auto"/>
                      </w:divBdr>
                      <w:divsChild>
                        <w:div w:id="133497627">
                          <w:marLeft w:val="0"/>
                          <w:marRight w:val="0"/>
                          <w:marTop w:val="0"/>
                          <w:marBottom w:val="0"/>
                          <w:divBdr>
                            <w:top w:val="none" w:sz="0" w:space="0" w:color="auto"/>
                            <w:left w:val="none" w:sz="0" w:space="0" w:color="auto"/>
                            <w:bottom w:val="none" w:sz="0" w:space="0" w:color="auto"/>
                            <w:right w:val="none" w:sz="0" w:space="0" w:color="auto"/>
                          </w:divBdr>
                        </w:div>
                      </w:divsChild>
                    </w:div>
                    <w:div w:id="1771119879">
                      <w:marLeft w:val="0"/>
                      <w:marRight w:val="0"/>
                      <w:marTop w:val="0"/>
                      <w:marBottom w:val="0"/>
                      <w:divBdr>
                        <w:top w:val="none" w:sz="0" w:space="0" w:color="auto"/>
                        <w:left w:val="none" w:sz="0" w:space="0" w:color="auto"/>
                        <w:bottom w:val="none" w:sz="0" w:space="0" w:color="auto"/>
                        <w:right w:val="none" w:sz="0" w:space="0" w:color="auto"/>
                      </w:divBdr>
                      <w:divsChild>
                        <w:div w:id="1337000205">
                          <w:marLeft w:val="0"/>
                          <w:marRight w:val="0"/>
                          <w:marTop w:val="0"/>
                          <w:marBottom w:val="0"/>
                          <w:divBdr>
                            <w:top w:val="none" w:sz="0" w:space="0" w:color="auto"/>
                            <w:left w:val="none" w:sz="0" w:space="0" w:color="auto"/>
                            <w:bottom w:val="none" w:sz="0" w:space="0" w:color="auto"/>
                            <w:right w:val="none" w:sz="0" w:space="0" w:color="auto"/>
                          </w:divBdr>
                        </w:div>
                      </w:divsChild>
                    </w:div>
                    <w:div w:id="695815808">
                      <w:marLeft w:val="0"/>
                      <w:marRight w:val="0"/>
                      <w:marTop w:val="0"/>
                      <w:marBottom w:val="0"/>
                      <w:divBdr>
                        <w:top w:val="none" w:sz="0" w:space="0" w:color="auto"/>
                        <w:left w:val="none" w:sz="0" w:space="0" w:color="auto"/>
                        <w:bottom w:val="none" w:sz="0" w:space="0" w:color="auto"/>
                        <w:right w:val="none" w:sz="0" w:space="0" w:color="auto"/>
                      </w:divBdr>
                      <w:divsChild>
                        <w:div w:id="198511688">
                          <w:marLeft w:val="0"/>
                          <w:marRight w:val="0"/>
                          <w:marTop w:val="0"/>
                          <w:marBottom w:val="0"/>
                          <w:divBdr>
                            <w:top w:val="none" w:sz="0" w:space="0" w:color="auto"/>
                            <w:left w:val="none" w:sz="0" w:space="0" w:color="auto"/>
                            <w:bottom w:val="none" w:sz="0" w:space="0" w:color="auto"/>
                            <w:right w:val="none" w:sz="0" w:space="0" w:color="auto"/>
                          </w:divBdr>
                        </w:div>
                      </w:divsChild>
                    </w:div>
                    <w:div w:id="1905722021">
                      <w:marLeft w:val="0"/>
                      <w:marRight w:val="0"/>
                      <w:marTop w:val="0"/>
                      <w:marBottom w:val="0"/>
                      <w:divBdr>
                        <w:top w:val="none" w:sz="0" w:space="0" w:color="auto"/>
                        <w:left w:val="none" w:sz="0" w:space="0" w:color="auto"/>
                        <w:bottom w:val="none" w:sz="0" w:space="0" w:color="auto"/>
                        <w:right w:val="none" w:sz="0" w:space="0" w:color="auto"/>
                      </w:divBdr>
                      <w:divsChild>
                        <w:div w:id="374041619">
                          <w:marLeft w:val="0"/>
                          <w:marRight w:val="0"/>
                          <w:marTop w:val="0"/>
                          <w:marBottom w:val="0"/>
                          <w:divBdr>
                            <w:top w:val="none" w:sz="0" w:space="0" w:color="auto"/>
                            <w:left w:val="none" w:sz="0" w:space="0" w:color="auto"/>
                            <w:bottom w:val="none" w:sz="0" w:space="0" w:color="auto"/>
                            <w:right w:val="none" w:sz="0" w:space="0" w:color="auto"/>
                          </w:divBdr>
                        </w:div>
                        <w:div w:id="799374888">
                          <w:marLeft w:val="0"/>
                          <w:marRight w:val="0"/>
                          <w:marTop w:val="0"/>
                          <w:marBottom w:val="0"/>
                          <w:divBdr>
                            <w:top w:val="none" w:sz="0" w:space="0" w:color="auto"/>
                            <w:left w:val="none" w:sz="0" w:space="0" w:color="auto"/>
                            <w:bottom w:val="none" w:sz="0" w:space="0" w:color="auto"/>
                            <w:right w:val="none" w:sz="0" w:space="0" w:color="auto"/>
                          </w:divBdr>
                        </w:div>
                      </w:divsChild>
                    </w:div>
                    <w:div w:id="1085108096">
                      <w:marLeft w:val="0"/>
                      <w:marRight w:val="0"/>
                      <w:marTop w:val="0"/>
                      <w:marBottom w:val="0"/>
                      <w:divBdr>
                        <w:top w:val="none" w:sz="0" w:space="0" w:color="auto"/>
                        <w:left w:val="none" w:sz="0" w:space="0" w:color="auto"/>
                        <w:bottom w:val="none" w:sz="0" w:space="0" w:color="auto"/>
                        <w:right w:val="none" w:sz="0" w:space="0" w:color="auto"/>
                      </w:divBdr>
                      <w:divsChild>
                        <w:div w:id="124352011">
                          <w:marLeft w:val="0"/>
                          <w:marRight w:val="0"/>
                          <w:marTop w:val="0"/>
                          <w:marBottom w:val="0"/>
                          <w:divBdr>
                            <w:top w:val="none" w:sz="0" w:space="0" w:color="auto"/>
                            <w:left w:val="none" w:sz="0" w:space="0" w:color="auto"/>
                            <w:bottom w:val="none" w:sz="0" w:space="0" w:color="auto"/>
                            <w:right w:val="none" w:sz="0" w:space="0" w:color="auto"/>
                          </w:divBdr>
                        </w:div>
                      </w:divsChild>
                    </w:div>
                    <w:div w:id="779959651">
                      <w:marLeft w:val="0"/>
                      <w:marRight w:val="0"/>
                      <w:marTop w:val="0"/>
                      <w:marBottom w:val="0"/>
                      <w:divBdr>
                        <w:top w:val="none" w:sz="0" w:space="0" w:color="auto"/>
                        <w:left w:val="none" w:sz="0" w:space="0" w:color="auto"/>
                        <w:bottom w:val="none" w:sz="0" w:space="0" w:color="auto"/>
                        <w:right w:val="none" w:sz="0" w:space="0" w:color="auto"/>
                      </w:divBdr>
                      <w:divsChild>
                        <w:div w:id="963925391">
                          <w:marLeft w:val="0"/>
                          <w:marRight w:val="0"/>
                          <w:marTop w:val="0"/>
                          <w:marBottom w:val="0"/>
                          <w:divBdr>
                            <w:top w:val="none" w:sz="0" w:space="0" w:color="auto"/>
                            <w:left w:val="none" w:sz="0" w:space="0" w:color="auto"/>
                            <w:bottom w:val="none" w:sz="0" w:space="0" w:color="auto"/>
                            <w:right w:val="none" w:sz="0" w:space="0" w:color="auto"/>
                          </w:divBdr>
                        </w:div>
                        <w:div w:id="1622151053">
                          <w:marLeft w:val="0"/>
                          <w:marRight w:val="0"/>
                          <w:marTop w:val="0"/>
                          <w:marBottom w:val="0"/>
                          <w:divBdr>
                            <w:top w:val="none" w:sz="0" w:space="0" w:color="auto"/>
                            <w:left w:val="none" w:sz="0" w:space="0" w:color="auto"/>
                            <w:bottom w:val="none" w:sz="0" w:space="0" w:color="auto"/>
                            <w:right w:val="none" w:sz="0" w:space="0" w:color="auto"/>
                          </w:divBdr>
                        </w:div>
                        <w:div w:id="243490773">
                          <w:marLeft w:val="0"/>
                          <w:marRight w:val="0"/>
                          <w:marTop w:val="0"/>
                          <w:marBottom w:val="0"/>
                          <w:divBdr>
                            <w:top w:val="none" w:sz="0" w:space="0" w:color="auto"/>
                            <w:left w:val="none" w:sz="0" w:space="0" w:color="auto"/>
                            <w:bottom w:val="none" w:sz="0" w:space="0" w:color="auto"/>
                            <w:right w:val="none" w:sz="0" w:space="0" w:color="auto"/>
                          </w:divBdr>
                        </w:div>
                        <w:div w:id="40517851">
                          <w:marLeft w:val="0"/>
                          <w:marRight w:val="0"/>
                          <w:marTop w:val="0"/>
                          <w:marBottom w:val="0"/>
                          <w:divBdr>
                            <w:top w:val="none" w:sz="0" w:space="0" w:color="auto"/>
                            <w:left w:val="none" w:sz="0" w:space="0" w:color="auto"/>
                            <w:bottom w:val="none" w:sz="0" w:space="0" w:color="auto"/>
                            <w:right w:val="none" w:sz="0" w:space="0" w:color="auto"/>
                          </w:divBdr>
                        </w:div>
                        <w:div w:id="559948100">
                          <w:marLeft w:val="0"/>
                          <w:marRight w:val="0"/>
                          <w:marTop w:val="0"/>
                          <w:marBottom w:val="0"/>
                          <w:divBdr>
                            <w:top w:val="none" w:sz="0" w:space="0" w:color="auto"/>
                            <w:left w:val="none" w:sz="0" w:space="0" w:color="auto"/>
                            <w:bottom w:val="none" w:sz="0" w:space="0" w:color="auto"/>
                            <w:right w:val="none" w:sz="0" w:space="0" w:color="auto"/>
                          </w:divBdr>
                        </w:div>
                      </w:divsChild>
                    </w:div>
                    <w:div w:id="796291905">
                      <w:marLeft w:val="0"/>
                      <w:marRight w:val="0"/>
                      <w:marTop w:val="0"/>
                      <w:marBottom w:val="0"/>
                      <w:divBdr>
                        <w:top w:val="none" w:sz="0" w:space="0" w:color="auto"/>
                        <w:left w:val="none" w:sz="0" w:space="0" w:color="auto"/>
                        <w:bottom w:val="none" w:sz="0" w:space="0" w:color="auto"/>
                        <w:right w:val="none" w:sz="0" w:space="0" w:color="auto"/>
                      </w:divBdr>
                      <w:divsChild>
                        <w:div w:id="599994276">
                          <w:marLeft w:val="0"/>
                          <w:marRight w:val="0"/>
                          <w:marTop w:val="0"/>
                          <w:marBottom w:val="0"/>
                          <w:divBdr>
                            <w:top w:val="none" w:sz="0" w:space="0" w:color="auto"/>
                            <w:left w:val="none" w:sz="0" w:space="0" w:color="auto"/>
                            <w:bottom w:val="none" w:sz="0" w:space="0" w:color="auto"/>
                            <w:right w:val="none" w:sz="0" w:space="0" w:color="auto"/>
                          </w:divBdr>
                        </w:div>
                        <w:div w:id="844396750">
                          <w:marLeft w:val="0"/>
                          <w:marRight w:val="0"/>
                          <w:marTop w:val="0"/>
                          <w:marBottom w:val="0"/>
                          <w:divBdr>
                            <w:top w:val="none" w:sz="0" w:space="0" w:color="auto"/>
                            <w:left w:val="none" w:sz="0" w:space="0" w:color="auto"/>
                            <w:bottom w:val="none" w:sz="0" w:space="0" w:color="auto"/>
                            <w:right w:val="none" w:sz="0" w:space="0" w:color="auto"/>
                          </w:divBdr>
                        </w:div>
                      </w:divsChild>
                    </w:div>
                    <w:div w:id="1473014781">
                      <w:marLeft w:val="0"/>
                      <w:marRight w:val="0"/>
                      <w:marTop w:val="0"/>
                      <w:marBottom w:val="0"/>
                      <w:divBdr>
                        <w:top w:val="none" w:sz="0" w:space="0" w:color="auto"/>
                        <w:left w:val="none" w:sz="0" w:space="0" w:color="auto"/>
                        <w:bottom w:val="none" w:sz="0" w:space="0" w:color="auto"/>
                        <w:right w:val="none" w:sz="0" w:space="0" w:color="auto"/>
                      </w:divBdr>
                      <w:divsChild>
                        <w:div w:id="915826420">
                          <w:marLeft w:val="0"/>
                          <w:marRight w:val="0"/>
                          <w:marTop w:val="0"/>
                          <w:marBottom w:val="0"/>
                          <w:divBdr>
                            <w:top w:val="none" w:sz="0" w:space="0" w:color="auto"/>
                            <w:left w:val="none" w:sz="0" w:space="0" w:color="auto"/>
                            <w:bottom w:val="none" w:sz="0" w:space="0" w:color="auto"/>
                            <w:right w:val="none" w:sz="0" w:space="0" w:color="auto"/>
                          </w:divBdr>
                        </w:div>
                      </w:divsChild>
                    </w:div>
                    <w:div w:id="1269315376">
                      <w:marLeft w:val="0"/>
                      <w:marRight w:val="0"/>
                      <w:marTop w:val="0"/>
                      <w:marBottom w:val="0"/>
                      <w:divBdr>
                        <w:top w:val="none" w:sz="0" w:space="0" w:color="auto"/>
                        <w:left w:val="none" w:sz="0" w:space="0" w:color="auto"/>
                        <w:bottom w:val="none" w:sz="0" w:space="0" w:color="auto"/>
                        <w:right w:val="none" w:sz="0" w:space="0" w:color="auto"/>
                      </w:divBdr>
                      <w:divsChild>
                        <w:div w:id="1130241793">
                          <w:marLeft w:val="0"/>
                          <w:marRight w:val="0"/>
                          <w:marTop w:val="0"/>
                          <w:marBottom w:val="0"/>
                          <w:divBdr>
                            <w:top w:val="none" w:sz="0" w:space="0" w:color="auto"/>
                            <w:left w:val="none" w:sz="0" w:space="0" w:color="auto"/>
                            <w:bottom w:val="none" w:sz="0" w:space="0" w:color="auto"/>
                            <w:right w:val="none" w:sz="0" w:space="0" w:color="auto"/>
                          </w:divBdr>
                        </w:div>
                        <w:div w:id="1981036416">
                          <w:marLeft w:val="0"/>
                          <w:marRight w:val="0"/>
                          <w:marTop w:val="0"/>
                          <w:marBottom w:val="0"/>
                          <w:divBdr>
                            <w:top w:val="none" w:sz="0" w:space="0" w:color="auto"/>
                            <w:left w:val="none" w:sz="0" w:space="0" w:color="auto"/>
                            <w:bottom w:val="none" w:sz="0" w:space="0" w:color="auto"/>
                            <w:right w:val="none" w:sz="0" w:space="0" w:color="auto"/>
                          </w:divBdr>
                        </w:div>
                        <w:div w:id="859200747">
                          <w:marLeft w:val="0"/>
                          <w:marRight w:val="0"/>
                          <w:marTop w:val="0"/>
                          <w:marBottom w:val="0"/>
                          <w:divBdr>
                            <w:top w:val="none" w:sz="0" w:space="0" w:color="auto"/>
                            <w:left w:val="none" w:sz="0" w:space="0" w:color="auto"/>
                            <w:bottom w:val="none" w:sz="0" w:space="0" w:color="auto"/>
                            <w:right w:val="none" w:sz="0" w:space="0" w:color="auto"/>
                          </w:divBdr>
                        </w:div>
                        <w:div w:id="110513122">
                          <w:marLeft w:val="0"/>
                          <w:marRight w:val="0"/>
                          <w:marTop w:val="0"/>
                          <w:marBottom w:val="0"/>
                          <w:divBdr>
                            <w:top w:val="none" w:sz="0" w:space="0" w:color="auto"/>
                            <w:left w:val="none" w:sz="0" w:space="0" w:color="auto"/>
                            <w:bottom w:val="none" w:sz="0" w:space="0" w:color="auto"/>
                            <w:right w:val="none" w:sz="0" w:space="0" w:color="auto"/>
                          </w:divBdr>
                        </w:div>
                        <w:div w:id="1256211444">
                          <w:marLeft w:val="0"/>
                          <w:marRight w:val="0"/>
                          <w:marTop w:val="0"/>
                          <w:marBottom w:val="0"/>
                          <w:divBdr>
                            <w:top w:val="none" w:sz="0" w:space="0" w:color="auto"/>
                            <w:left w:val="none" w:sz="0" w:space="0" w:color="auto"/>
                            <w:bottom w:val="none" w:sz="0" w:space="0" w:color="auto"/>
                            <w:right w:val="none" w:sz="0" w:space="0" w:color="auto"/>
                          </w:divBdr>
                        </w:div>
                        <w:div w:id="211886143">
                          <w:marLeft w:val="0"/>
                          <w:marRight w:val="0"/>
                          <w:marTop w:val="0"/>
                          <w:marBottom w:val="0"/>
                          <w:divBdr>
                            <w:top w:val="none" w:sz="0" w:space="0" w:color="auto"/>
                            <w:left w:val="none" w:sz="0" w:space="0" w:color="auto"/>
                            <w:bottom w:val="none" w:sz="0" w:space="0" w:color="auto"/>
                            <w:right w:val="none" w:sz="0" w:space="0" w:color="auto"/>
                          </w:divBdr>
                        </w:div>
                        <w:div w:id="601379187">
                          <w:marLeft w:val="0"/>
                          <w:marRight w:val="0"/>
                          <w:marTop w:val="0"/>
                          <w:marBottom w:val="0"/>
                          <w:divBdr>
                            <w:top w:val="none" w:sz="0" w:space="0" w:color="auto"/>
                            <w:left w:val="none" w:sz="0" w:space="0" w:color="auto"/>
                            <w:bottom w:val="none" w:sz="0" w:space="0" w:color="auto"/>
                            <w:right w:val="none" w:sz="0" w:space="0" w:color="auto"/>
                          </w:divBdr>
                        </w:div>
                        <w:div w:id="908614784">
                          <w:marLeft w:val="0"/>
                          <w:marRight w:val="0"/>
                          <w:marTop w:val="0"/>
                          <w:marBottom w:val="0"/>
                          <w:divBdr>
                            <w:top w:val="none" w:sz="0" w:space="0" w:color="auto"/>
                            <w:left w:val="none" w:sz="0" w:space="0" w:color="auto"/>
                            <w:bottom w:val="none" w:sz="0" w:space="0" w:color="auto"/>
                            <w:right w:val="none" w:sz="0" w:space="0" w:color="auto"/>
                          </w:divBdr>
                        </w:div>
                        <w:div w:id="856891409">
                          <w:marLeft w:val="0"/>
                          <w:marRight w:val="0"/>
                          <w:marTop w:val="0"/>
                          <w:marBottom w:val="0"/>
                          <w:divBdr>
                            <w:top w:val="none" w:sz="0" w:space="0" w:color="auto"/>
                            <w:left w:val="none" w:sz="0" w:space="0" w:color="auto"/>
                            <w:bottom w:val="none" w:sz="0" w:space="0" w:color="auto"/>
                            <w:right w:val="none" w:sz="0" w:space="0" w:color="auto"/>
                          </w:divBdr>
                        </w:div>
                        <w:div w:id="1178276944">
                          <w:marLeft w:val="0"/>
                          <w:marRight w:val="0"/>
                          <w:marTop w:val="0"/>
                          <w:marBottom w:val="0"/>
                          <w:divBdr>
                            <w:top w:val="none" w:sz="0" w:space="0" w:color="auto"/>
                            <w:left w:val="none" w:sz="0" w:space="0" w:color="auto"/>
                            <w:bottom w:val="none" w:sz="0" w:space="0" w:color="auto"/>
                            <w:right w:val="none" w:sz="0" w:space="0" w:color="auto"/>
                          </w:divBdr>
                        </w:div>
                        <w:div w:id="1487359731">
                          <w:marLeft w:val="0"/>
                          <w:marRight w:val="0"/>
                          <w:marTop w:val="0"/>
                          <w:marBottom w:val="0"/>
                          <w:divBdr>
                            <w:top w:val="none" w:sz="0" w:space="0" w:color="auto"/>
                            <w:left w:val="none" w:sz="0" w:space="0" w:color="auto"/>
                            <w:bottom w:val="none" w:sz="0" w:space="0" w:color="auto"/>
                            <w:right w:val="none" w:sz="0" w:space="0" w:color="auto"/>
                          </w:divBdr>
                        </w:div>
                        <w:div w:id="1217354402">
                          <w:marLeft w:val="0"/>
                          <w:marRight w:val="0"/>
                          <w:marTop w:val="0"/>
                          <w:marBottom w:val="0"/>
                          <w:divBdr>
                            <w:top w:val="none" w:sz="0" w:space="0" w:color="auto"/>
                            <w:left w:val="none" w:sz="0" w:space="0" w:color="auto"/>
                            <w:bottom w:val="none" w:sz="0" w:space="0" w:color="auto"/>
                            <w:right w:val="none" w:sz="0" w:space="0" w:color="auto"/>
                          </w:divBdr>
                        </w:div>
                        <w:div w:id="463347808">
                          <w:marLeft w:val="0"/>
                          <w:marRight w:val="0"/>
                          <w:marTop w:val="0"/>
                          <w:marBottom w:val="0"/>
                          <w:divBdr>
                            <w:top w:val="none" w:sz="0" w:space="0" w:color="auto"/>
                            <w:left w:val="none" w:sz="0" w:space="0" w:color="auto"/>
                            <w:bottom w:val="none" w:sz="0" w:space="0" w:color="auto"/>
                            <w:right w:val="none" w:sz="0" w:space="0" w:color="auto"/>
                          </w:divBdr>
                        </w:div>
                        <w:div w:id="239025858">
                          <w:marLeft w:val="0"/>
                          <w:marRight w:val="0"/>
                          <w:marTop w:val="0"/>
                          <w:marBottom w:val="0"/>
                          <w:divBdr>
                            <w:top w:val="none" w:sz="0" w:space="0" w:color="auto"/>
                            <w:left w:val="none" w:sz="0" w:space="0" w:color="auto"/>
                            <w:bottom w:val="none" w:sz="0" w:space="0" w:color="auto"/>
                            <w:right w:val="none" w:sz="0" w:space="0" w:color="auto"/>
                          </w:divBdr>
                        </w:div>
                        <w:div w:id="699475082">
                          <w:marLeft w:val="0"/>
                          <w:marRight w:val="0"/>
                          <w:marTop w:val="0"/>
                          <w:marBottom w:val="0"/>
                          <w:divBdr>
                            <w:top w:val="none" w:sz="0" w:space="0" w:color="auto"/>
                            <w:left w:val="none" w:sz="0" w:space="0" w:color="auto"/>
                            <w:bottom w:val="none" w:sz="0" w:space="0" w:color="auto"/>
                            <w:right w:val="none" w:sz="0" w:space="0" w:color="auto"/>
                          </w:divBdr>
                        </w:div>
                        <w:div w:id="770127722">
                          <w:marLeft w:val="0"/>
                          <w:marRight w:val="0"/>
                          <w:marTop w:val="0"/>
                          <w:marBottom w:val="0"/>
                          <w:divBdr>
                            <w:top w:val="none" w:sz="0" w:space="0" w:color="auto"/>
                            <w:left w:val="none" w:sz="0" w:space="0" w:color="auto"/>
                            <w:bottom w:val="none" w:sz="0" w:space="0" w:color="auto"/>
                            <w:right w:val="none" w:sz="0" w:space="0" w:color="auto"/>
                          </w:divBdr>
                        </w:div>
                        <w:div w:id="2084645355">
                          <w:marLeft w:val="0"/>
                          <w:marRight w:val="0"/>
                          <w:marTop w:val="0"/>
                          <w:marBottom w:val="0"/>
                          <w:divBdr>
                            <w:top w:val="none" w:sz="0" w:space="0" w:color="auto"/>
                            <w:left w:val="none" w:sz="0" w:space="0" w:color="auto"/>
                            <w:bottom w:val="none" w:sz="0" w:space="0" w:color="auto"/>
                            <w:right w:val="none" w:sz="0" w:space="0" w:color="auto"/>
                          </w:divBdr>
                        </w:div>
                        <w:div w:id="1023751967">
                          <w:marLeft w:val="0"/>
                          <w:marRight w:val="0"/>
                          <w:marTop w:val="0"/>
                          <w:marBottom w:val="0"/>
                          <w:divBdr>
                            <w:top w:val="none" w:sz="0" w:space="0" w:color="auto"/>
                            <w:left w:val="none" w:sz="0" w:space="0" w:color="auto"/>
                            <w:bottom w:val="none" w:sz="0" w:space="0" w:color="auto"/>
                            <w:right w:val="none" w:sz="0" w:space="0" w:color="auto"/>
                          </w:divBdr>
                        </w:div>
                        <w:div w:id="803547425">
                          <w:marLeft w:val="0"/>
                          <w:marRight w:val="0"/>
                          <w:marTop w:val="0"/>
                          <w:marBottom w:val="0"/>
                          <w:divBdr>
                            <w:top w:val="none" w:sz="0" w:space="0" w:color="auto"/>
                            <w:left w:val="none" w:sz="0" w:space="0" w:color="auto"/>
                            <w:bottom w:val="none" w:sz="0" w:space="0" w:color="auto"/>
                            <w:right w:val="none" w:sz="0" w:space="0" w:color="auto"/>
                          </w:divBdr>
                        </w:div>
                        <w:div w:id="16888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 w:id="2073430479">
      <w:bodyDiv w:val="1"/>
      <w:marLeft w:val="0"/>
      <w:marRight w:val="0"/>
      <w:marTop w:val="0"/>
      <w:marBottom w:val="0"/>
      <w:divBdr>
        <w:top w:val="none" w:sz="0" w:space="0" w:color="auto"/>
        <w:left w:val="none" w:sz="0" w:space="0" w:color="auto"/>
        <w:bottom w:val="none" w:sz="0" w:space="0" w:color="auto"/>
        <w:right w:val="none" w:sz="0" w:space="0" w:color="auto"/>
      </w:divBdr>
    </w:div>
    <w:div w:id="2118787231">
      <w:bodyDiv w:val="1"/>
      <w:marLeft w:val="0"/>
      <w:marRight w:val="0"/>
      <w:marTop w:val="0"/>
      <w:marBottom w:val="0"/>
      <w:divBdr>
        <w:top w:val="none" w:sz="0" w:space="0" w:color="auto"/>
        <w:left w:val="none" w:sz="0" w:space="0" w:color="auto"/>
        <w:bottom w:val="none" w:sz="0" w:space="0" w:color="auto"/>
        <w:right w:val="none" w:sz="0" w:space="0" w:color="auto"/>
      </w:divBdr>
      <w:divsChild>
        <w:div w:id="764151458">
          <w:marLeft w:val="0"/>
          <w:marRight w:val="0"/>
          <w:marTop w:val="0"/>
          <w:marBottom w:val="0"/>
          <w:divBdr>
            <w:top w:val="none" w:sz="0" w:space="0" w:color="auto"/>
            <w:left w:val="none" w:sz="0" w:space="0" w:color="auto"/>
            <w:bottom w:val="none" w:sz="0" w:space="0" w:color="auto"/>
            <w:right w:val="none" w:sz="0" w:space="0" w:color="auto"/>
          </w:divBdr>
          <w:divsChild>
            <w:div w:id="1775130114">
              <w:marLeft w:val="0"/>
              <w:marRight w:val="0"/>
              <w:marTop w:val="0"/>
              <w:marBottom w:val="0"/>
              <w:divBdr>
                <w:top w:val="none" w:sz="0" w:space="0" w:color="auto"/>
                <w:left w:val="none" w:sz="0" w:space="0" w:color="auto"/>
                <w:bottom w:val="none" w:sz="0" w:space="0" w:color="auto"/>
                <w:right w:val="none" w:sz="0" w:space="0" w:color="auto"/>
              </w:divBdr>
              <w:divsChild>
                <w:div w:id="645280324">
                  <w:marLeft w:val="0"/>
                  <w:marRight w:val="0"/>
                  <w:marTop w:val="0"/>
                  <w:marBottom w:val="0"/>
                  <w:divBdr>
                    <w:top w:val="none" w:sz="0" w:space="0" w:color="auto"/>
                    <w:left w:val="none" w:sz="0" w:space="0" w:color="auto"/>
                    <w:bottom w:val="none" w:sz="0" w:space="0" w:color="auto"/>
                    <w:right w:val="none" w:sz="0" w:space="0" w:color="auto"/>
                  </w:divBdr>
                  <w:divsChild>
                    <w:div w:id="922252370">
                      <w:marLeft w:val="0"/>
                      <w:marRight w:val="0"/>
                      <w:marTop w:val="0"/>
                      <w:marBottom w:val="0"/>
                      <w:divBdr>
                        <w:top w:val="none" w:sz="0" w:space="0" w:color="auto"/>
                        <w:left w:val="none" w:sz="0" w:space="0" w:color="auto"/>
                        <w:bottom w:val="none" w:sz="0" w:space="0" w:color="auto"/>
                        <w:right w:val="none" w:sz="0" w:space="0" w:color="auto"/>
                      </w:divBdr>
                      <w:divsChild>
                        <w:div w:id="375933635">
                          <w:marLeft w:val="0"/>
                          <w:marRight w:val="0"/>
                          <w:marTop w:val="0"/>
                          <w:marBottom w:val="0"/>
                          <w:divBdr>
                            <w:top w:val="none" w:sz="0" w:space="0" w:color="auto"/>
                            <w:left w:val="none" w:sz="0" w:space="0" w:color="auto"/>
                            <w:bottom w:val="none" w:sz="0" w:space="0" w:color="auto"/>
                            <w:right w:val="none" w:sz="0" w:space="0" w:color="auto"/>
                          </w:divBdr>
                        </w:div>
                      </w:divsChild>
                    </w:div>
                    <w:div w:id="1478187403">
                      <w:marLeft w:val="0"/>
                      <w:marRight w:val="0"/>
                      <w:marTop w:val="0"/>
                      <w:marBottom w:val="0"/>
                      <w:divBdr>
                        <w:top w:val="none" w:sz="0" w:space="0" w:color="auto"/>
                        <w:left w:val="none" w:sz="0" w:space="0" w:color="auto"/>
                        <w:bottom w:val="none" w:sz="0" w:space="0" w:color="auto"/>
                        <w:right w:val="none" w:sz="0" w:space="0" w:color="auto"/>
                      </w:divBdr>
                      <w:divsChild>
                        <w:div w:id="6891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products/appliances/clothes_dryers" TargetMode="External"/><Relationship Id="rId2" Type="http://schemas.openxmlformats.org/officeDocument/2006/relationships/hyperlink" Target="http://www.energy.ca.gov/appliances/" TargetMode="External"/><Relationship Id="rId1" Type="http://schemas.openxmlformats.org/officeDocument/2006/relationships/hyperlink" Target="https://urldefense.proofpoint.com/v2/url?u=https-3A__www.resnet.us_wp-2Dcontent_uploads_RESNET-2DEF-2DCalculator-2D2017.xlsx&amp;d=DwMFAg&amp;c=euGZstcaTDllvimEN8b7jXrwqOf-v5A_CdpgnVfiiMM&amp;r=GO5PO8h9yUCKU0CrwswnqYCFEhtrfR1inQbsxlUWXBU&amp;m=L-ud4wevnLFkoxhXMT2KDTfDKcw04iTgSz6f5Qt5MhE4-DmaiY8HDQikJUGYGjEP&amp;s=dwmc3ie8QGbqTNEdbFD57UFtSNWYDSGkh0aVWTbOdUw&amp;e=" TargetMode="External"/><Relationship Id="rId4" Type="http://schemas.openxmlformats.org/officeDocument/2006/relationships/hyperlink" Target="https://www.epa.gov/air-emissions-factors-and-quantification/ap-42-fifth-edition-volume-i-chapter-1-externa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3" ma:contentTypeDescription="Create a new document." ma:contentTypeScope="" ma:versionID="7fc2a3d967f08b6bebaed197e89edacd">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240c7d6ce97a3a5b81a9566a0afdf98b"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46ED9-CDB4-43A3-8030-BD170AB148F6}">
  <ds:schemaRefs>
    <ds:schemaRef ds:uri="http://schemas.openxmlformats.org/officeDocument/2006/bibliography"/>
  </ds:schemaRefs>
</ds:datastoreItem>
</file>

<file path=customXml/itemProps2.xml><?xml version="1.0" encoding="utf-8"?>
<ds:datastoreItem xmlns:ds="http://schemas.openxmlformats.org/officeDocument/2006/customXml" ds:itemID="{159A1954-CDD9-455A-8620-F457AB4BFA96}">
  <ds:schemaRefs>
    <ds:schemaRef ds:uri="http://schemas.openxmlformats.org/officeDocument/2006/bibliography"/>
  </ds:schemaRefs>
</ds:datastoreItem>
</file>

<file path=customXml/itemProps3.xml><?xml version="1.0" encoding="utf-8"?>
<ds:datastoreItem xmlns:ds="http://schemas.openxmlformats.org/officeDocument/2006/customXml" ds:itemID="{D20B5113-7BA4-4B80-823D-927559683268}">
  <ds:schemaRefs>
    <ds:schemaRef ds:uri="http://schemas.openxmlformats.org/officeDocument/2006/bibliography"/>
  </ds:schemaRefs>
</ds:datastoreItem>
</file>

<file path=customXml/itemProps4.xml><?xml version="1.0" encoding="utf-8"?>
<ds:datastoreItem xmlns:ds="http://schemas.openxmlformats.org/officeDocument/2006/customXml" ds:itemID="{A40C506C-C6C3-478F-AF2D-33FCAA15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CF7E5D-1868-4B12-BD8F-C30F1071FB03}">
  <ds:schemaRefs>
    <ds:schemaRef ds:uri="http://schemas.microsoft.com/sharepoint/v3/contenttype/forms"/>
  </ds:schemaRefs>
</ds:datastoreItem>
</file>

<file path=customXml/itemProps6.xml><?xml version="1.0" encoding="utf-8"?>
<ds:datastoreItem xmlns:ds="http://schemas.openxmlformats.org/officeDocument/2006/customXml" ds:itemID="{A45AECF6-FC1D-4803-BE93-AB5BAF23126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a3b79cf1-f027-47d2-b101-7c013f2bed86"/>
    <ds:schemaRef ds:uri="20018a40-4e24-41ee-a08f-0630ce1a51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16712</Words>
  <Characters>95263</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111752</CharactersWithSpaces>
  <SharedDoc>false</SharedDoc>
  <HLinks>
    <vt:vector size="270" baseType="variant">
      <vt:variant>
        <vt:i4>1310779</vt:i4>
      </vt:variant>
      <vt:variant>
        <vt:i4>570</vt:i4>
      </vt:variant>
      <vt:variant>
        <vt:i4>0</vt:i4>
      </vt:variant>
      <vt:variant>
        <vt:i4>5</vt:i4>
      </vt:variant>
      <vt:variant>
        <vt:lpwstr/>
      </vt:variant>
      <vt:variant>
        <vt:lpwstr>_Toc504587214</vt:lpwstr>
      </vt:variant>
      <vt:variant>
        <vt:i4>1310779</vt:i4>
      </vt:variant>
      <vt:variant>
        <vt:i4>564</vt:i4>
      </vt:variant>
      <vt:variant>
        <vt:i4>0</vt:i4>
      </vt:variant>
      <vt:variant>
        <vt:i4>5</vt:i4>
      </vt:variant>
      <vt:variant>
        <vt:lpwstr/>
      </vt:variant>
      <vt:variant>
        <vt:lpwstr>_Toc504587213</vt:lpwstr>
      </vt:variant>
      <vt:variant>
        <vt:i4>1310779</vt:i4>
      </vt:variant>
      <vt:variant>
        <vt:i4>558</vt:i4>
      </vt:variant>
      <vt:variant>
        <vt:i4>0</vt:i4>
      </vt:variant>
      <vt:variant>
        <vt:i4>5</vt:i4>
      </vt:variant>
      <vt:variant>
        <vt:lpwstr/>
      </vt:variant>
      <vt:variant>
        <vt:lpwstr>_Toc504587212</vt:lpwstr>
      </vt:variant>
      <vt:variant>
        <vt:i4>1310779</vt:i4>
      </vt:variant>
      <vt:variant>
        <vt:i4>552</vt:i4>
      </vt:variant>
      <vt:variant>
        <vt:i4>0</vt:i4>
      </vt:variant>
      <vt:variant>
        <vt:i4>5</vt:i4>
      </vt:variant>
      <vt:variant>
        <vt:lpwstr/>
      </vt:variant>
      <vt:variant>
        <vt:lpwstr>_Toc504587211</vt:lpwstr>
      </vt:variant>
      <vt:variant>
        <vt:i4>1310779</vt:i4>
      </vt:variant>
      <vt:variant>
        <vt:i4>546</vt:i4>
      </vt:variant>
      <vt:variant>
        <vt:i4>0</vt:i4>
      </vt:variant>
      <vt:variant>
        <vt:i4>5</vt:i4>
      </vt:variant>
      <vt:variant>
        <vt:lpwstr/>
      </vt:variant>
      <vt:variant>
        <vt:lpwstr>_Toc504587210</vt:lpwstr>
      </vt:variant>
      <vt:variant>
        <vt:i4>1376315</vt:i4>
      </vt:variant>
      <vt:variant>
        <vt:i4>540</vt:i4>
      </vt:variant>
      <vt:variant>
        <vt:i4>0</vt:i4>
      </vt:variant>
      <vt:variant>
        <vt:i4>5</vt:i4>
      </vt:variant>
      <vt:variant>
        <vt:lpwstr/>
      </vt:variant>
      <vt:variant>
        <vt:lpwstr>_Toc504587209</vt:lpwstr>
      </vt:variant>
      <vt:variant>
        <vt:i4>1376315</vt:i4>
      </vt:variant>
      <vt:variant>
        <vt:i4>534</vt:i4>
      </vt:variant>
      <vt:variant>
        <vt:i4>0</vt:i4>
      </vt:variant>
      <vt:variant>
        <vt:i4>5</vt:i4>
      </vt:variant>
      <vt:variant>
        <vt:lpwstr/>
      </vt:variant>
      <vt:variant>
        <vt:lpwstr>_Toc504587208</vt:lpwstr>
      </vt:variant>
      <vt:variant>
        <vt:i4>1376315</vt:i4>
      </vt:variant>
      <vt:variant>
        <vt:i4>528</vt:i4>
      </vt:variant>
      <vt:variant>
        <vt:i4>0</vt:i4>
      </vt:variant>
      <vt:variant>
        <vt:i4>5</vt:i4>
      </vt:variant>
      <vt:variant>
        <vt:lpwstr/>
      </vt:variant>
      <vt:variant>
        <vt:lpwstr>_Toc504587207</vt:lpwstr>
      </vt:variant>
      <vt:variant>
        <vt:i4>1376315</vt:i4>
      </vt:variant>
      <vt:variant>
        <vt:i4>522</vt:i4>
      </vt:variant>
      <vt:variant>
        <vt:i4>0</vt:i4>
      </vt:variant>
      <vt:variant>
        <vt:i4>5</vt:i4>
      </vt:variant>
      <vt:variant>
        <vt:lpwstr/>
      </vt:variant>
      <vt:variant>
        <vt:lpwstr>_Toc504587206</vt:lpwstr>
      </vt:variant>
      <vt:variant>
        <vt:i4>1376315</vt:i4>
      </vt:variant>
      <vt:variant>
        <vt:i4>516</vt:i4>
      </vt:variant>
      <vt:variant>
        <vt:i4>0</vt:i4>
      </vt:variant>
      <vt:variant>
        <vt:i4>5</vt:i4>
      </vt:variant>
      <vt:variant>
        <vt:lpwstr/>
      </vt:variant>
      <vt:variant>
        <vt:lpwstr>_Toc504587205</vt:lpwstr>
      </vt:variant>
      <vt:variant>
        <vt:i4>1376315</vt:i4>
      </vt:variant>
      <vt:variant>
        <vt:i4>510</vt:i4>
      </vt:variant>
      <vt:variant>
        <vt:i4>0</vt:i4>
      </vt:variant>
      <vt:variant>
        <vt:i4>5</vt:i4>
      </vt:variant>
      <vt:variant>
        <vt:lpwstr/>
      </vt:variant>
      <vt:variant>
        <vt:lpwstr>_Toc504587204</vt:lpwstr>
      </vt:variant>
      <vt:variant>
        <vt:i4>1376315</vt:i4>
      </vt:variant>
      <vt:variant>
        <vt:i4>504</vt:i4>
      </vt:variant>
      <vt:variant>
        <vt:i4>0</vt:i4>
      </vt:variant>
      <vt:variant>
        <vt:i4>5</vt:i4>
      </vt:variant>
      <vt:variant>
        <vt:lpwstr/>
      </vt:variant>
      <vt:variant>
        <vt:lpwstr>_Toc504587203</vt:lpwstr>
      </vt:variant>
      <vt:variant>
        <vt:i4>1376315</vt:i4>
      </vt:variant>
      <vt:variant>
        <vt:i4>498</vt:i4>
      </vt:variant>
      <vt:variant>
        <vt:i4>0</vt:i4>
      </vt:variant>
      <vt:variant>
        <vt:i4>5</vt:i4>
      </vt:variant>
      <vt:variant>
        <vt:lpwstr/>
      </vt:variant>
      <vt:variant>
        <vt:lpwstr>_Toc504587202</vt:lpwstr>
      </vt:variant>
      <vt:variant>
        <vt:i4>1835064</vt:i4>
      </vt:variant>
      <vt:variant>
        <vt:i4>492</vt:i4>
      </vt:variant>
      <vt:variant>
        <vt:i4>0</vt:i4>
      </vt:variant>
      <vt:variant>
        <vt:i4>5</vt:i4>
      </vt:variant>
      <vt:variant>
        <vt:lpwstr/>
      </vt:variant>
      <vt:variant>
        <vt:lpwstr>_Toc504587198</vt:lpwstr>
      </vt:variant>
      <vt:variant>
        <vt:i4>1835064</vt:i4>
      </vt:variant>
      <vt:variant>
        <vt:i4>486</vt:i4>
      </vt:variant>
      <vt:variant>
        <vt:i4>0</vt:i4>
      </vt:variant>
      <vt:variant>
        <vt:i4>5</vt:i4>
      </vt:variant>
      <vt:variant>
        <vt:lpwstr/>
      </vt:variant>
      <vt:variant>
        <vt:lpwstr>_Toc504587196</vt:lpwstr>
      </vt:variant>
      <vt:variant>
        <vt:i4>1835064</vt:i4>
      </vt:variant>
      <vt:variant>
        <vt:i4>480</vt:i4>
      </vt:variant>
      <vt:variant>
        <vt:i4>0</vt:i4>
      </vt:variant>
      <vt:variant>
        <vt:i4>5</vt:i4>
      </vt:variant>
      <vt:variant>
        <vt:lpwstr/>
      </vt:variant>
      <vt:variant>
        <vt:lpwstr>_Toc504587195</vt:lpwstr>
      </vt:variant>
      <vt:variant>
        <vt:i4>1835064</vt:i4>
      </vt:variant>
      <vt:variant>
        <vt:i4>474</vt:i4>
      </vt:variant>
      <vt:variant>
        <vt:i4>0</vt:i4>
      </vt:variant>
      <vt:variant>
        <vt:i4>5</vt:i4>
      </vt:variant>
      <vt:variant>
        <vt:lpwstr/>
      </vt:variant>
      <vt:variant>
        <vt:lpwstr>_Toc504587194</vt:lpwstr>
      </vt:variant>
      <vt:variant>
        <vt:i4>1835064</vt:i4>
      </vt:variant>
      <vt:variant>
        <vt:i4>468</vt:i4>
      </vt:variant>
      <vt:variant>
        <vt:i4>0</vt:i4>
      </vt:variant>
      <vt:variant>
        <vt:i4>5</vt:i4>
      </vt:variant>
      <vt:variant>
        <vt:lpwstr/>
      </vt:variant>
      <vt:variant>
        <vt:lpwstr>_Toc504587193</vt:lpwstr>
      </vt:variant>
      <vt:variant>
        <vt:i4>1835064</vt:i4>
      </vt:variant>
      <vt:variant>
        <vt:i4>462</vt:i4>
      </vt:variant>
      <vt:variant>
        <vt:i4>0</vt:i4>
      </vt:variant>
      <vt:variant>
        <vt:i4>5</vt:i4>
      </vt:variant>
      <vt:variant>
        <vt:lpwstr/>
      </vt:variant>
      <vt:variant>
        <vt:lpwstr>_Toc504587192</vt:lpwstr>
      </vt:variant>
      <vt:variant>
        <vt:i4>1835064</vt:i4>
      </vt:variant>
      <vt:variant>
        <vt:i4>456</vt:i4>
      </vt:variant>
      <vt:variant>
        <vt:i4>0</vt:i4>
      </vt:variant>
      <vt:variant>
        <vt:i4>5</vt:i4>
      </vt:variant>
      <vt:variant>
        <vt:lpwstr/>
      </vt:variant>
      <vt:variant>
        <vt:lpwstr>_Toc504587191</vt:lpwstr>
      </vt:variant>
      <vt:variant>
        <vt:i4>1835064</vt:i4>
      </vt:variant>
      <vt:variant>
        <vt:i4>450</vt:i4>
      </vt:variant>
      <vt:variant>
        <vt:i4>0</vt:i4>
      </vt:variant>
      <vt:variant>
        <vt:i4>5</vt:i4>
      </vt:variant>
      <vt:variant>
        <vt:lpwstr/>
      </vt:variant>
      <vt:variant>
        <vt:lpwstr>_Toc504587190</vt:lpwstr>
      </vt:variant>
      <vt:variant>
        <vt:i4>1900600</vt:i4>
      </vt:variant>
      <vt:variant>
        <vt:i4>444</vt:i4>
      </vt:variant>
      <vt:variant>
        <vt:i4>0</vt:i4>
      </vt:variant>
      <vt:variant>
        <vt:i4>5</vt:i4>
      </vt:variant>
      <vt:variant>
        <vt:lpwstr/>
      </vt:variant>
      <vt:variant>
        <vt:lpwstr>_Toc504587189</vt:lpwstr>
      </vt:variant>
      <vt:variant>
        <vt:i4>1900600</vt:i4>
      </vt:variant>
      <vt:variant>
        <vt:i4>438</vt:i4>
      </vt:variant>
      <vt:variant>
        <vt:i4>0</vt:i4>
      </vt:variant>
      <vt:variant>
        <vt:i4>5</vt:i4>
      </vt:variant>
      <vt:variant>
        <vt:lpwstr/>
      </vt:variant>
      <vt:variant>
        <vt:lpwstr>_Toc504587188</vt:lpwstr>
      </vt:variant>
      <vt:variant>
        <vt:i4>1900600</vt:i4>
      </vt:variant>
      <vt:variant>
        <vt:i4>432</vt:i4>
      </vt:variant>
      <vt:variant>
        <vt:i4>0</vt:i4>
      </vt:variant>
      <vt:variant>
        <vt:i4>5</vt:i4>
      </vt:variant>
      <vt:variant>
        <vt:lpwstr/>
      </vt:variant>
      <vt:variant>
        <vt:lpwstr>_Toc504587187</vt:lpwstr>
      </vt:variant>
      <vt:variant>
        <vt:i4>1900600</vt:i4>
      </vt:variant>
      <vt:variant>
        <vt:i4>426</vt:i4>
      </vt:variant>
      <vt:variant>
        <vt:i4>0</vt:i4>
      </vt:variant>
      <vt:variant>
        <vt:i4>5</vt:i4>
      </vt:variant>
      <vt:variant>
        <vt:lpwstr/>
      </vt:variant>
      <vt:variant>
        <vt:lpwstr>_Toc504587186</vt:lpwstr>
      </vt:variant>
      <vt:variant>
        <vt:i4>5963842</vt:i4>
      </vt:variant>
      <vt:variant>
        <vt:i4>421</vt:i4>
      </vt:variant>
      <vt:variant>
        <vt:i4>0</vt:i4>
      </vt:variant>
      <vt:variant>
        <vt:i4>5</vt:i4>
      </vt:variant>
      <vt:variant>
        <vt:lpwstr>http://www.sips.org/</vt:lpwstr>
      </vt:variant>
      <vt:variant>
        <vt:lpwstr/>
      </vt:variant>
      <vt:variant>
        <vt:i4>1179738</vt:i4>
      </vt:variant>
      <vt:variant>
        <vt:i4>418</vt:i4>
      </vt:variant>
      <vt:variant>
        <vt:i4>0</vt:i4>
      </vt:variant>
      <vt:variant>
        <vt:i4>5</vt:i4>
      </vt:variant>
      <vt:variant>
        <vt:lpwstr>http://www.resnet.us/</vt:lpwstr>
      </vt:variant>
      <vt:variant>
        <vt:lpwstr/>
      </vt:variant>
      <vt:variant>
        <vt:i4>2949242</vt:i4>
      </vt:variant>
      <vt:variant>
        <vt:i4>415</vt:i4>
      </vt:variant>
      <vt:variant>
        <vt:i4>0</vt:i4>
      </vt:variant>
      <vt:variant>
        <vt:i4>5</vt:i4>
      </vt:variant>
      <vt:variant>
        <vt:lpwstr>http://www.iccsafe.org/</vt:lpwstr>
      </vt:variant>
      <vt:variant>
        <vt:lpwstr/>
      </vt:variant>
      <vt:variant>
        <vt:i4>4259846</vt:i4>
      </vt:variant>
      <vt:variant>
        <vt:i4>412</vt:i4>
      </vt:variant>
      <vt:variant>
        <vt:i4>0</vt:i4>
      </vt:variant>
      <vt:variant>
        <vt:i4>5</vt:i4>
      </vt:variant>
      <vt:variant>
        <vt:lpwstr>http://www.coolroofs.org/</vt:lpwstr>
      </vt:variant>
      <vt:variant>
        <vt:lpwstr/>
      </vt:variant>
      <vt:variant>
        <vt:i4>65551</vt:i4>
      </vt:variant>
      <vt:variant>
        <vt:i4>409</vt:i4>
      </vt:variant>
      <vt:variant>
        <vt:i4>0</vt:i4>
      </vt:variant>
      <vt:variant>
        <vt:i4>5</vt:i4>
      </vt:variant>
      <vt:variant>
        <vt:lpwstr>https://doi.org/10.1520/G0197-14</vt:lpwstr>
      </vt:variant>
      <vt:variant>
        <vt:lpwstr/>
      </vt:variant>
      <vt:variant>
        <vt:i4>786434</vt:i4>
      </vt:variant>
      <vt:variant>
        <vt:i4>406</vt:i4>
      </vt:variant>
      <vt:variant>
        <vt:i4>0</vt:i4>
      </vt:variant>
      <vt:variant>
        <vt:i4>5</vt:i4>
      </vt:variant>
      <vt:variant>
        <vt:lpwstr>https://doi.org/10.1520/E0903-20</vt:lpwstr>
      </vt:variant>
      <vt:variant>
        <vt:lpwstr/>
      </vt:variant>
      <vt:variant>
        <vt:i4>983041</vt:i4>
      </vt:variant>
      <vt:variant>
        <vt:i4>403</vt:i4>
      </vt:variant>
      <vt:variant>
        <vt:i4>0</vt:i4>
      </vt:variant>
      <vt:variant>
        <vt:i4>5</vt:i4>
      </vt:variant>
      <vt:variant>
        <vt:lpwstr>https://doi.org/10.1520/C1549-16</vt:lpwstr>
      </vt:variant>
      <vt:variant>
        <vt:lpwstr/>
      </vt:variant>
      <vt:variant>
        <vt:i4>4259846</vt:i4>
      </vt:variant>
      <vt:variant>
        <vt:i4>400</vt:i4>
      </vt:variant>
      <vt:variant>
        <vt:i4>0</vt:i4>
      </vt:variant>
      <vt:variant>
        <vt:i4>5</vt:i4>
      </vt:variant>
      <vt:variant>
        <vt:lpwstr>http://www.coolroofs.org/</vt:lpwstr>
      </vt:variant>
      <vt:variant>
        <vt:lpwstr/>
      </vt:variant>
      <vt:variant>
        <vt:i4>4784142</vt:i4>
      </vt:variant>
      <vt:variant>
        <vt:i4>229</vt:i4>
      </vt:variant>
      <vt:variant>
        <vt:i4>0</vt:i4>
      </vt:variant>
      <vt:variant>
        <vt:i4>5</vt:i4>
      </vt:variant>
      <vt:variant>
        <vt:lpwstr>http://www.epa.gov/compliance/resources/publications/monitoring/caa/woodstoves/certifiedwood.pdf</vt:lpwstr>
      </vt:variant>
      <vt:variant>
        <vt:lpwstr/>
      </vt:variant>
      <vt:variant>
        <vt:i4>1507352</vt:i4>
      </vt:variant>
      <vt:variant>
        <vt:i4>39</vt:i4>
      </vt:variant>
      <vt:variant>
        <vt:i4>0</vt:i4>
      </vt:variant>
      <vt:variant>
        <vt:i4>5</vt:i4>
      </vt:variant>
      <vt:variant>
        <vt:lpwstr>https://www.nrel.gov/docs/fy21osti/78239.pdf</vt:lpwstr>
      </vt:variant>
      <vt:variant>
        <vt:lpwstr/>
      </vt:variant>
      <vt:variant>
        <vt:i4>4587520</vt:i4>
      </vt:variant>
      <vt:variant>
        <vt:i4>36</vt:i4>
      </vt:variant>
      <vt:variant>
        <vt:i4>0</vt:i4>
      </vt:variant>
      <vt:variant>
        <vt:i4>5</vt:i4>
      </vt:variant>
      <vt:variant>
        <vt:lpwstr>https://cambium.nrel.gov/</vt:lpwstr>
      </vt:variant>
      <vt:variant>
        <vt:lpwstr/>
      </vt:variant>
      <vt:variant>
        <vt:i4>7405578</vt:i4>
      </vt:variant>
      <vt:variant>
        <vt:i4>33</vt:i4>
      </vt:variant>
      <vt:variant>
        <vt:i4>0</vt:i4>
      </vt:variant>
      <vt:variant>
        <vt:i4>5</vt:i4>
      </vt:variant>
      <vt:variant>
        <vt:lpwstr>https://www.resnet.us/wp-content/uploads/RESNET_2021_CO2e_GEAdata.xlsx</vt:lpwstr>
      </vt:variant>
      <vt:variant>
        <vt:lpwstr/>
      </vt:variant>
      <vt:variant>
        <vt:i4>983127</vt:i4>
      </vt:variant>
      <vt:variant>
        <vt:i4>30</vt:i4>
      </vt:variant>
      <vt:variant>
        <vt:i4>0</vt:i4>
      </vt:variant>
      <vt:variant>
        <vt:i4>5</vt:i4>
      </vt:variant>
      <vt:variant>
        <vt:lpwstr>https://data.nrel.gov/submissions/183</vt:lpwstr>
      </vt:variant>
      <vt:variant>
        <vt:lpwstr/>
      </vt:variant>
      <vt:variant>
        <vt:i4>4587520</vt:i4>
      </vt:variant>
      <vt:variant>
        <vt:i4>27</vt:i4>
      </vt:variant>
      <vt:variant>
        <vt:i4>0</vt:i4>
      </vt:variant>
      <vt:variant>
        <vt:i4>5</vt:i4>
      </vt:variant>
      <vt:variant>
        <vt:lpwstr>https://cambium.nrel.gov/</vt:lpwstr>
      </vt:variant>
      <vt:variant>
        <vt:lpwstr/>
      </vt:variant>
      <vt:variant>
        <vt:i4>6946923</vt:i4>
      </vt:variant>
      <vt:variant>
        <vt:i4>24</vt:i4>
      </vt:variant>
      <vt:variant>
        <vt:i4>0</vt:i4>
      </vt:variant>
      <vt:variant>
        <vt:i4>5</vt:i4>
      </vt:variant>
      <vt:variant>
        <vt:lpwstr>https://www.epa.gov/air-emissions-factors-and-quantification/ap-42-fifth-edition-volume-i-chapter-1-external-0</vt:lpwstr>
      </vt:variant>
      <vt:variant>
        <vt:lpwstr/>
      </vt:variant>
      <vt:variant>
        <vt:i4>1507352</vt:i4>
      </vt:variant>
      <vt:variant>
        <vt:i4>21</vt:i4>
      </vt:variant>
      <vt:variant>
        <vt:i4>0</vt:i4>
      </vt:variant>
      <vt:variant>
        <vt:i4>5</vt:i4>
      </vt:variant>
      <vt:variant>
        <vt:lpwstr>https://www.nrel.gov/docs/fy21osti/78239.pdf</vt:lpwstr>
      </vt:variant>
      <vt:variant>
        <vt:lpwstr/>
      </vt:variant>
      <vt:variant>
        <vt:i4>4587520</vt:i4>
      </vt:variant>
      <vt:variant>
        <vt:i4>18</vt:i4>
      </vt:variant>
      <vt:variant>
        <vt:i4>0</vt:i4>
      </vt:variant>
      <vt:variant>
        <vt:i4>5</vt:i4>
      </vt:variant>
      <vt:variant>
        <vt:lpwstr>https://cambium.nrel.gov/</vt:lpwstr>
      </vt:variant>
      <vt:variant>
        <vt:lpwstr/>
      </vt:variant>
      <vt:variant>
        <vt:i4>1966132</vt:i4>
      </vt:variant>
      <vt:variant>
        <vt:i4>15</vt:i4>
      </vt:variant>
      <vt:variant>
        <vt:i4>0</vt:i4>
      </vt:variant>
      <vt:variant>
        <vt:i4>5</vt:i4>
      </vt:variant>
      <vt:variant>
        <vt:lpwstr>https://www.energystar.gov/products/appliances/clothes_dryers</vt:lpwstr>
      </vt:variant>
      <vt:variant>
        <vt:lpwstr/>
      </vt:variant>
      <vt:variant>
        <vt:i4>5111893</vt:i4>
      </vt:variant>
      <vt:variant>
        <vt:i4>12</vt:i4>
      </vt:variant>
      <vt:variant>
        <vt:i4>0</vt:i4>
      </vt:variant>
      <vt:variant>
        <vt:i4>5</vt:i4>
      </vt:variant>
      <vt:variant>
        <vt:lpwstr>http://www.energy.ca.gov/appliances/</vt:lpwstr>
      </vt:variant>
      <vt:variant>
        <vt:lpwstr/>
      </vt:variant>
      <vt:variant>
        <vt:i4>6160406</vt:i4>
      </vt:variant>
      <vt:variant>
        <vt:i4>0</vt:i4>
      </vt:variant>
      <vt:variant>
        <vt:i4>0</vt:i4>
      </vt:variant>
      <vt:variant>
        <vt:i4>5</vt:i4>
      </vt:variant>
      <vt:variant>
        <vt:lpwstr>https://www.coloradoenergy.org/procorner/stuff/r-values.htm.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3</cp:revision>
  <cp:lastPrinted>2019-07-19T12:51:00Z</cp:lastPrinted>
  <dcterms:created xsi:type="dcterms:W3CDTF">2024-03-26T12:54:00Z</dcterms:created>
  <dcterms:modified xsi:type="dcterms:W3CDTF">2024-04-03T02:03:00Z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y fmtid="{D5CDD505-2E9C-101B-9397-08002B2CF9AE}" pid="3" name="MSIP_Label_95965d95-ecc0-4720-b759-1f33c42ed7da_Enabled">
    <vt:lpwstr>true</vt:lpwstr>
  </property>
  <property fmtid="{D5CDD505-2E9C-101B-9397-08002B2CF9AE}" pid="4" name="MSIP_Label_95965d95-ecc0-4720-b759-1f33c42ed7da_SetDate">
    <vt:lpwstr>2024-03-04T18:21:28Z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745c89b7-e2cb-4d37-bf02-16ac821cfd83</vt:lpwstr>
  </property>
  <property fmtid="{D5CDD505-2E9C-101B-9397-08002B2CF9AE}" pid="9" name="MSIP_Label_95965d95-ecc0-4720-b759-1f33c42ed7da_ContentBits">
    <vt:lpwstr>0</vt:lpwstr>
  </property>
</Properties>
</file>