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3AD49" w14:textId="127A83FA" w:rsidR="00B62147" w:rsidRDefault="00C56476" w:rsidP="00B62147">
      <w:pPr>
        <w:tabs>
          <w:tab w:val="left" w:pos="748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Draft PDS-0</w:t>
      </w:r>
      <w:r w:rsidR="00E260B3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32967">
        <w:rPr>
          <w:rFonts w:ascii="Arial" w:hAnsi="Arial" w:cs="Arial"/>
          <w:b/>
          <w:sz w:val="32"/>
          <w:szCs w:val="32"/>
        </w:rPr>
        <w:t>MINHERS Addendum</w:t>
      </w:r>
      <w:r>
        <w:rPr>
          <w:rFonts w:ascii="Arial" w:hAnsi="Arial" w:cs="Arial"/>
          <w:b/>
          <w:sz w:val="32"/>
          <w:szCs w:val="32"/>
        </w:rPr>
        <w:t xml:space="preserve"> 71</w:t>
      </w:r>
      <w:r w:rsidR="00B430C7">
        <w:rPr>
          <w:rFonts w:ascii="Arial" w:hAnsi="Arial" w:cs="Arial"/>
          <w:b/>
          <w:sz w:val="32"/>
          <w:szCs w:val="32"/>
        </w:rPr>
        <w:t>f</w:t>
      </w:r>
      <w:r w:rsidR="00B456E2">
        <w:rPr>
          <w:rFonts w:ascii="Arial" w:hAnsi="Arial" w:cs="Arial"/>
          <w:b/>
          <w:sz w:val="32"/>
          <w:szCs w:val="32"/>
        </w:rPr>
        <w:t>,</w:t>
      </w:r>
    </w:p>
    <w:p w14:paraId="036B27C8" w14:textId="40E1E512" w:rsidR="00C56476" w:rsidRDefault="00C56476" w:rsidP="00B62147">
      <w:pPr>
        <w:tabs>
          <w:tab w:val="left" w:pos="748"/>
        </w:tabs>
        <w:jc w:val="center"/>
        <w:rPr>
          <w:rFonts w:ascii="Arial" w:hAnsi="Arial" w:cs="Arial"/>
          <w:b/>
          <w:sz w:val="32"/>
          <w:szCs w:val="32"/>
        </w:rPr>
      </w:pPr>
    </w:p>
    <w:p w14:paraId="351DACF8" w14:textId="2DC0DC99" w:rsidR="00C56476" w:rsidRDefault="00C56476" w:rsidP="00B62147">
      <w:pPr>
        <w:tabs>
          <w:tab w:val="left" w:pos="748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SEER2 and HSPF2 Conversions</w:t>
      </w:r>
    </w:p>
    <w:p w14:paraId="5ADB9C0B" w14:textId="77777777" w:rsidR="001A176F" w:rsidRDefault="001A176F" w:rsidP="00B62147">
      <w:pPr>
        <w:tabs>
          <w:tab w:val="left" w:pos="748"/>
        </w:tabs>
        <w:jc w:val="center"/>
        <w:rPr>
          <w:rFonts w:ascii="Arial" w:hAnsi="Arial" w:cs="Arial"/>
          <w:b/>
          <w:sz w:val="32"/>
          <w:szCs w:val="32"/>
        </w:rPr>
      </w:pPr>
    </w:p>
    <w:p w14:paraId="212C287F" w14:textId="361A4EA1" w:rsidR="00C56476" w:rsidRDefault="00C56476" w:rsidP="00B62147">
      <w:pPr>
        <w:tabs>
          <w:tab w:val="left" w:pos="748"/>
        </w:tabs>
        <w:jc w:val="center"/>
        <w:rPr>
          <w:rFonts w:ascii="Arial" w:hAnsi="Arial" w:cs="Arial"/>
          <w:b/>
          <w:sz w:val="32"/>
          <w:szCs w:val="32"/>
        </w:rPr>
      </w:pPr>
    </w:p>
    <w:p w14:paraId="2A473CB3" w14:textId="38956F94" w:rsidR="00C56476" w:rsidRPr="00C56476" w:rsidRDefault="00C56476" w:rsidP="00C56476">
      <w:pPr>
        <w:tabs>
          <w:tab w:val="left" w:pos="748"/>
        </w:tabs>
        <w:rPr>
          <w:b/>
          <w:i/>
          <w:iCs/>
          <w:color w:val="0070C0"/>
        </w:rPr>
      </w:pPr>
      <w:r>
        <w:rPr>
          <w:rFonts w:ascii="Arial" w:hAnsi="Arial" w:cs="Arial"/>
          <w:b/>
          <w:i/>
          <w:iCs/>
          <w:color w:val="0070C0"/>
        </w:rPr>
        <w:t>Modify MINHERS Chapter 3 section</w:t>
      </w:r>
      <w:r w:rsidR="007A7603">
        <w:rPr>
          <w:rFonts w:ascii="Arial" w:hAnsi="Arial" w:cs="Arial"/>
          <w:b/>
          <w:i/>
          <w:iCs/>
          <w:color w:val="0070C0"/>
        </w:rPr>
        <w:t xml:space="preserve"> </w:t>
      </w:r>
      <w:r>
        <w:rPr>
          <w:rFonts w:ascii="Arial" w:hAnsi="Arial" w:cs="Arial"/>
          <w:b/>
          <w:i/>
          <w:iCs/>
          <w:color w:val="0070C0"/>
        </w:rPr>
        <w:t>303.1 as follows:</w:t>
      </w:r>
    </w:p>
    <w:p w14:paraId="791B8A54" w14:textId="77777777" w:rsidR="00B62147" w:rsidRDefault="00B62147" w:rsidP="00B62147">
      <w:pPr>
        <w:tabs>
          <w:tab w:val="left" w:pos="748"/>
        </w:tabs>
        <w:jc w:val="center"/>
        <w:rPr>
          <w:b/>
        </w:rPr>
      </w:pPr>
    </w:p>
    <w:p w14:paraId="19DB2AA7" w14:textId="58A5CEE7" w:rsidR="00C56476" w:rsidRDefault="00C56476" w:rsidP="00C56476">
      <w:pPr>
        <w:pStyle w:val="three"/>
        <w:numPr>
          <w:ilvl w:val="0"/>
          <w:numId w:val="0"/>
        </w:numPr>
        <w:rPr>
          <w:rStyle w:val="Heading3Char"/>
          <w:bCs/>
          <w:i/>
          <w:color w:val="4472C4" w:themeColor="accent5"/>
        </w:rPr>
      </w:pPr>
      <w:r>
        <w:rPr>
          <w:rStyle w:val="Heading3Char"/>
          <w:bCs/>
          <w:i/>
          <w:color w:val="4472C4" w:themeColor="accent5"/>
        </w:rPr>
        <w:t>Add the following Exception:</w:t>
      </w:r>
    </w:p>
    <w:p w14:paraId="6BFF48BC" w14:textId="2990488C" w:rsidR="00B456E2" w:rsidRPr="00B456E2" w:rsidRDefault="00B456E2" w:rsidP="00C56476">
      <w:pPr>
        <w:pStyle w:val="three"/>
        <w:numPr>
          <w:ilvl w:val="0"/>
          <w:numId w:val="0"/>
        </w:numPr>
        <w:rPr>
          <w:rStyle w:val="Heading3Char"/>
          <w:bCs/>
          <w:iCs/>
          <w:color w:val="FF0000"/>
          <w:u w:val="single"/>
        </w:rPr>
      </w:pPr>
      <w:r w:rsidRPr="002E2091">
        <w:rPr>
          <w:rStyle w:val="Strong"/>
          <w:u w:val="single"/>
          <w:shd w:val="clear" w:color="auto" w:fill="FFFFFF"/>
        </w:rPr>
        <w:t>Exception 7:</w:t>
      </w:r>
      <w:r w:rsidRPr="002E2091">
        <w:rPr>
          <w:u w:val="single"/>
          <w:shd w:val="clear" w:color="auto" w:fill="FFFFFF"/>
        </w:rPr>
        <w:t> RESNET Home Energy Ratings shall be calculated using the modifications of Standard ANSI/RESNET/ICC 301-2019 as follows:</w:t>
      </w:r>
    </w:p>
    <w:p w14:paraId="1D862403" w14:textId="77777777" w:rsidR="00C56476" w:rsidRPr="00B456E2" w:rsidRDefault="00C56476" w:rsidP="00B62147">
      <w:pPr>
        <w:tabs>
          <w:tab w:val="left" w:pos="748"/>
        </w:tabs>
        <w:rPr>
          <w:b/>
          <w:i/>
          <w:color w:val="FF0000"/>
          <w:u w:val="single"/>
        </w:rPr>
      </w:pPr>
    </w:p>
    <w:p w14:paraId="3096BD4A" w14:textId="2CABDE68" w:rsidR="00B62147" w:rsidRPr="00B62147" w:rsidRDefault="00B62147" w:rsidP="00B62147">
      <w:pPr>
        <w:tabs>
          <w:tab w:val="left" w:pos="748"/>
        </w:tabs>
        <w:rPr>
          <w:b/>
          <w:i/>
        </w:rPr>
      </w:pPr>
      <w:r w:rsidRPr="00B62147">
        <w:rPr>
          <w:b/>
          <w:i/>
          <w:color w:val="4472C4" w:themeColor="accent5"/>
        </w:rPr>
        <w:t>Add the following definitions</w:t>
      </w:r>
      <w:r w:rsidR="001A176F">
        <w:rPr>
          <w:b/>
          <w:i/>
          <w:color w:val="4472C4" w:themeColor="accent5"/>
        </w:rPr>
        <w:t xml:space="preserve"> to standard ANSI/RESNET/ICC 301-2019</w:t>
      </w:r>
      <w:r w:rsidRPr="00B62147">
        <w:rPr>
          <w:b/>
          <w:i/>
          <w:color w:val="4472C4" w:themeColor="accent5"/>
        </w:rPr>
        <w:t>:</w:t>
      </w:r>
    </w:p>
    <w:p w14:paraId="21E894A1" w14:textId="77777777" w:rsidR="00B62147" w:rsidRDefault="00B62147" w:rsidP="00B62147">
      <w:pPr>
        <w:tabs>
          <w:tab w:val="left" w:pos="748"/>
        </w:tabs>
        <w:rPr>
          <w:b/>
          <w:i/>
        </w:rPr>
      </w:pPr>
    </w:p>
    <w:p w14:paraId="729AA8AC" w14:textId="77777777" w:rsidR="00B62147" w:rsidRPr="009D71AF" w:rsidRDefault="00B62147" w:rsidP="00B62147">
      <w:pPr>
        <w:tabs>
          <w:tab w:val="left" w:pos="748"/>
        </w:tabs>
        <w:ind w:left="270"/>
        <w:rPr>
          <w:u w:val="single"/>
        </w:rPr>
      </w:pPr>
      <w:r w:rsidRPr="009D71AF">
        <w:rPr>
          <w:b/>
          <w:i/>
          <w:u w:val="single"/>
        </w:rPr>
        <w:t>Heating Seasonal Performance Factor 2 (HSPF2)</w:t>
      </w:r>
      <w:r w:rsidRPr="009D71AF">
        <w:rPr>
          <w:u w:val="single"/>
        </w:rPr>
        <w:t xml:space="preserve"> – A standardized measure of Heat Pump efficiency, based on the total heating output of a Heat Pump in Btu and divided by the total electric energy input in watt-hours and under test conditions specified by the Air Conditioning and Refrigeration Institute Standard 210/240 2023.</w:t>
      </w:r>
    </w:p>
    <w:p w14:paraId="3245B390" w14:textId="77777777" w:rsidR="00B62147" w:rsidRPr="009D71AF" w:rsidRDefault="00B62147" w:rsidP="00B62147">
      <w:pPr>
        <w:tabs>
          <w:tab w:val="left" w:pos="748"/>
        </w:tabs>
        <w:ind w:left="270"/>
        <w:rPr>
          <w:b/>
          <w:i/>
          <w:u w:val="single"/>
        </w:rPr>
      </w:pPr>
    </w:p>
    <w:p w14:paraId="37067680" w14:textId="77777777" w:rsidR="00B62147" w:rsidRPr="005C40A0" w:rsidRDefault="00B62147" w:rsidP="00B62147">
      <w:pPr>
        <w:tabs>
          <w:tab w:val="left" w:pos="748"/>
        </w:tabs>
        <w:ind w:left="270"/>
        <w:rPr>
          <w:b/>
        </w:rPr>
      </w:pPr>
      <w:r w:rsidRPr="009D71AF">
        <w:rPr>
          <w:b/>
          <w:i/>
          <w:u w:val="single"/>
        </w:rPr>
        <w:t>Seasonal Energy Efficiency Ratio 2 (SEER2)</w:t>
      </w:r>
      <w:r w:rsidRPr="009D71AF">
        <w:rPr>
          <w:u w:val="single"/>
        </w:rPr>
        <w:t xml:space="preserve"> – A standardized measure of Air Conditioner efficiency based on the total cooling output of an Air Conditioner in Btu/h, divided by the total electric energy input, in Watt-hours, under test conditions specified by the Air Conditioning and Refrigeration Institute Standard 210/240 2023.</w:t>
      </w:r>
    </w:p>
    <w:p w14:paraId="0DFCE884" w14:textId="77777777" w:rsidR="00B62147" w:rsidRPr="00B62147" w:rsidRDefault="00B62147" w:rsidP="00B62147">
      <w:pPr>
        <w:pStyle w:val="ListParagraph"/>
        <w:numPr>
          <w:ilvl w:val="0"/>
          <w:numId w:val="2"/>
        </w:numPr>
        <w:tabs>
          <w:tab w:val="num" w:pos="720"/>
          <w:tab w:val="left" w:pos="748"/>
        </w:tabs>
        <w:spacing w:before="120"/>
        <w:contextualSpacing w:val="0"/>
        <w:rPr>
          <w:rStyle w:val="Heading3Char"/>
          <w:rFonts w:eastAsia="MS Mincho"/>
          <w:vanish/>
        </w:rPr>
      </w:pPr>
      <w:bookmarkStart w:id="0" w:name="_Toc443655371"/>
      <w:bookmarkStart w:id="1" w:name="_Toc505772440"/>
    </w:p>
    <w:p w14:paraId="3A70C587" w14:textId="77777777" w:rsidR="00B62147" w:rsidRPr="00B62147" w:rsidRDefault="00B62147" w:rsidP="00B62147">
      <w:pPr>
        <w:pStyle w:val="ListParagraph"/>
        <w:numPr>
          <w:ilvl w:val="0"/>
          <w:numId w:val="2"/>
        </w:numPr>
        <w:tabs>
          <w:tab w:val="num" w:pos="720"/>
          <w:tab w:val="left" w:pos="748"/>
        </w:tabs>
        <w:spacing w:before="120"/>
        <w:contextualSpacing w:val="0"/>
        <w:rPr>
          <w:rStyle w:val="Heading3Char"/>
          <w:rFonts w:eastAsia="MS Mincho"/>
          <w:vanish/>
        </w:rPr>
      </w:pPr>
    </w:p>
    <w:p w14:paraId="1356A104" w14:textId="77777777" w:rsidR="00B62147" w:rsidRPr="00B62147" w:rsidRDefault="00B62147" w:rsidP="00B62147">
      <w:pPr>
        <w:pStyle w:val="ListParagraph"/>
        <w:numPr>
          <w:ilvl w:val="0"/>
          <w:numId w:val="2"/>
        </w:numPr>
        <w:tabs>
          <w:tab w:val="num" w:pos="720"/>
          <w:tab w:val="left" w:pos="748"/>
        </w:tabs>
        <w:spacing w:before="120"/>
        <w:contextualSpacing w:val="0"/>
        <w:rPr>
          <w:rStyle w:val="Heading3Char"/>
          <w:rFonts w:eastAsia="MS Mincho"/>
          <w:vanish/>
        </w:rPr>
      </w:pPr>
    </w:p>
    <w:p w14:paraId="7D6BC92D" w14:textId="77777777" w:rsidR="00B62147" w:rsidRPr="00B62147" w:rsidRDefault="00B62147" w:rsidP="00B62147">
      <w:pPr>
        <w:pStyle w:val="ListParagraph"/>
        <w:numPr>
          <w:ilvl w:val="0"/>
          <w:numId w:val="2"/>
        </w:numPr>
        <w:tabs>
          <w:tab w:val="num" w:pos="720"/>
          <w:tab w:val="left" w:pos="748"/>
        </w:tabs>
        <w:spacing w:before="120"/>
        <w:contextualSpacing w:val="0"/>
        <w:rPr>
          <w:rStyle w:val="Heading3Char"/>
          <w:rFonts w:eastAsia="MS Mincho"/>
          <w:vanish/>
        </w:rPr>
      </w:pPr>
    </w:p>
    <w:p w14:paraId="2B11C26D" w14:textId="77777777" w:rsidR="00B62147" w:rsidRPr="00B62147" w:rsidRDefault="00B62147" w:rsidP="00B62147">
      <w:pPr>
        <w:pStyle w:val="ListParagraph"/>
        <w:numPr>
          <w:ilvl w:val="1"/>
          <w:numId w:val="2"/>
        </w:numPr>
        <w:tabs>
          <w:tab w:val="num" w:pos="720"/>
          <w:tab w:val="left" w:pos="748"/>
        </w:tabs>
        <w:spacing w:before="120"/>
        <w:contextualSpacing w:val="0"/>
        <w:rPr>
          <w:rStyle w:val="Heading3Char"/>
          <w:rFonts w:eastAsia="MS Mincho"/>
          <w:vanish/>
        </w:rPr>
      </w:pPr>
    </w:p>
    <w:p w14:paraId="635CABD5" w14:textId="77777777" w:rsidR="00B62147" w:rsidRPr="00B62147" w:rsidRDefault="00B62147" w:rsidP="00B62147">
      <w:pPr>
        <w:pStyle w:val="ListParagraph"/>
        <w:numPr>
          <w:ilvl w:val="1"/>
          <w:numId w:val="2"/>
        </w:numPr>
        <w:tabs>
          <w:tab w:val="num" w:pos="720"/>
          <w:tab w:val="left" w:pos="748"/>
        </w:tabs>
        <w:spacing w:before="120"/>
        <w:contextualSpacing w:val="0"/>
        <w:rPr>
          <w:rStyle w:val="Heading3Char"/>
          <w:rFonts w:eastAsia="MS Mincho"/>
          <w:vanish/>
        </w:rPr>
      </w:pPr>
    </w:p>
    <w:p w14:paraId="7538FB38" w14:textId="77777777" w:rsidR="00B62147" w:rsidRPr="00B62147" w:rsidRDefault="00B62147" w:rsidP="00B62147">
      <w:pPr>
        <w:pStyle w:val="ListParagraph"/>
        <w:numPr>
          <w:ilvl w:val="1"/>
          <w:numId w:val="2"/>
        </w:numPr>
        <w:tabs>
          <w:tab w:val="num" w:pos="720"/>
          <w:tab w:val="left" w:pos="748"/>
        </w:tabs>
        <w:spacing w:before="120"/>
        <w:contextualSpacing w:val="0"/>
        <w:rPr>
          <w:rStyle w:val="Heading3Char"/>
          <w:rFonts w:eastAsia="MS Mincho"/>
          <w:vanish/>
        </w:rPr>
      </w:pPr>
    </w:p>
    <w:p w14:paraId="260A8251" w14:textId="77777777" w:rsidR="00B62147" w:rsidRPr="00B62147" w:rsidRDefault="00B62147" w:rsidP="00B62147">
      <w:pPr>
        <w:pStyle w:val="ListParagraph"/>
        <w:numPr>
          <w:ilvl w:val="1"/>
          <w:numId w:val="2"/>
        </w:numPr>
        <w:tabs>
          <w:tab w:val="num" w:pos="720"/>
          <w:tab w:val="left" w:pos="748"/>
        </w:tabs>
        <w:spacing w:before="120"/>
        <w:contextualSpacing w:val="0"/>
        <w:rPr>
          <w:rStyle w:val="Heading3Char"/>
          <w:rFonts w:eastAsia="MS Mincho"/>
          <w:vanish/>
        </w:rPr>
      </w:pPr>
    </w:p>
    <w:p w14:paraId="7C361159" w14:textId="77777777" w:rsidR="00B62147" w:rsidRPr="00B62147" w:rsidRDefault="00B62147" w:rsidP="00B62147">
      <w:pPr>
        <w:pStyle w:val="ListParagraph"/>
        <w:numPr>
          <w:ilvl w:val="2"/>
          <w:numId w:val="2"/>
        </w:numPr>
        <w:spacing w:after="120"/>
        <w:contextualSpacing w:val="0"/>
        <w:outlineLvl w:val="2"/>
        <w:rPr>
          <w:rStyle w:val="Heading3Char"/>
          <w:rFonts w:eastAsia="MS Mincho"/>
          <w:bCs w:val="0"/>
          <w:vanish/>
        </w:rPr>
      </w:pPr>
    </w:p>
    <w:p w14:paraId="41447ED0" w14:textId="77777777" w:rsidR="00B62147" w:rsidRPr="00B62147" w:rsidRDefault="00B62147" w:rsidP="00B62147">
      <w:pPr>
        <w:pStyle w:val="ListParagraph"/>
        <w:numPr>
          <w:ilvl w:val="2"/>
          <w:numId w:val="2"/>
        </w:numPr>
        <w:spacing w:after="120"/>
        <w:contextualSpacing w:val="0"/>
        <w:outlineLvl w:val="2"/>
        <w:rPr>
          <w:rStyle w:val="Heading3Char"/>
          <w:rFonts w:eastAsia="MS Mincho"/>
          <w:bCs w:val="0"/>
          <w:vanish/>
        </w:rPr>
      </w:pPr>
    </w:p>
    <w:p w14:paraId="7BC1D896" w14:textId="77777777" w:rsidR="00B62147" w:rsidRPr="00B62147" w:rsidRDefault="00B62147" w:rsidP="00B62147">
      <w:pPr>
        <w:pStyle w:val="ListParagraph"/>
        <w:numPr>
          <w:ilvl w:val="2"/>
          <w:numId w:val="2"/>
        </w:numPr>
        <w:spacing w:after="120"/>
        <w:contextualSpacing w:val="0"/>
        <w:outlineLvl w:val="2"/>
        <w:rPr>
          <w:rStyle w:val="Heading3Char"/>
          <w:rFonts w:eastAsia="MS Mincho"/>
          <w:bCs w:val="0"/>
          <w:vanish/>
        </w:rPr>
      </w:pPr>
    </w:p>
    <w:p w14:paraId="569EE954" w14:textId="77777777" w:rsidR="00B62147" w:rsidRDefault="00B62147" w:rsidP="00B62147">
      <w:pPr>
        <w:pStyle w:val="three"/>
        <w:numPr>
          <w:ilvl w:val="0"/>
          <w:numId w:val="0"/>
        </w:numPr>
        <w:rPr>
          <w:rStyle w:val="Heading3Char"/>
          <w:b w:val="0"/>
          <w:bCs/>
        </w:rPr>
      </w:pPr>
    </w:p>
    <w:p w14:paraId="296A18A7" w14:textId="6E7230A3" w:rsidR="00136F44" w:rsidRDefault="00B456E2" w:rsidP="00B62147">
      <w:pPr>
        <w:pStyle w:val="three"/>
        <w:numPr>
          <w:ilvl w:val="0"/>
          <w:numId w:val="0"/>
        </w:numPr>
        <w:rPr>
          <w:rStyle w:val="Heading3Char"/>
          <w:bCs/>
          <w:i/>
          <w:color w:val="4472C4" w:themeColor="accent5"/>
        </w:rPr>
      </w:pPr>
      <w:r>
        <w:rPr>
          <w:rStyle w:val="Heading3Char"/>
          <w:bCs/>
          <w:i/>
          <w:color w:val="4472C4" w:themeColor="accent5"/>
        </w:rPr>
        <w:t xml:space="preserve">Modify </w:t>
      </w:r>
      <w:r w:rsidR="001A176F">
        <w:rPr>
          <w:rStyle w:val="Heading3Char"/>
          <w:bCs/>
          <w:i/>
          <w:color w:val="4472C4" w:themeColor="accent5"/>
        </w:rPr>
        <w:t xml:space="preserve">standard </w:t>
      </w:r>
      <w:r>
        <w:rPr>
          <w:rStyle w:val="Heading3Char"/>
          <w:bCs/>
          <w:i/>
          <w:color w:val="4472C4" w:themeColor="accent5"/>
        </w:rPr>
        <w:t xml:space="preserve">ANSI/RESNET/ICC 201-2019 </w:t>
      </w:r>
      <w:r w:rsidR="001A176F">
        <w:rPr>
          <w:rStyle w:val="Heading3Char"/>
          <w:bCs/>
          <w:i/>
          <w:color w:val="4472C4" w:themeColor="accent5"/>
        </w:rPr>
        <w:t xml:space="preserve">section 4.4.4 </w:t>
      </w:r>
      <w:r>
        <w:rPr>
          <w:rStyle w:val="Heading3Char"/>
          <w:bCs/>
          <w:i/>
          <w:color w:val="4472C4" w:themeColor="accent5"/>
        </w:rPr>
        <w:t>as follows</w:t>
      </w:r>
      <w:r w:rsidR="00136F44">
        <w:rPr>
          <w:rStyle w:val="Heading3Char"/>
          <w:bCs/>
          <w:i/>
          <w:color w:val="4472C4" w:themeColor="accent5"/>
        </w:rPr>
        <w:t>:</w:t>
      </w:r>
    </w:p>
    <w:p w14:paraId="55E2B383" w14:textId="77777777" w:rsidR="00B62147" w:rsidRPr="005C40A0" w:rsidRDefault="00B62147" w:rsidP="00B62147">
      <w:pPr>
        <w:pStyle w:val="three"/>
        <w:tabs>
          <w:tab w:val="num" w:pos="990"/>
        </w:tabs>
        <w:ind w:left="270"/>
      </w:pPr>
      <w:r w:rsidRPr="00B62147">
        <w:rPr>
          <w:rStyle w:val="Heading3Char"/>
          <w:rFonts w:eastAsia="MS Mincho"/>
        </w:rPr>
        <w:t>Air Source Heat Pumps</w:t>
      </w:r>
      <w:bookmarkEnd w:id="0"/>
      <w:bookmarkEnd w:id="1"/>
      <w:r w:rsidRPr="00B62147">
        <w:rPr>
          <w:rStyle w:val="Heading3Char"/>
          <w:rFonts w:eastAsia="MS Mincho"/>
        </w:rPr>
        <w:t xml:space="preserve"> and Air Conditioners</w:t>
      </w:r>
      <w:r w:rsidRPr="005C40A0">
        <w:t xml:space="preserve">. </w:t>
      </w:r>
    </w:p>
    <w:p w14:paraId="750D874C" w14:textId="77777777" w:rsidR="00B62147" w:rsidRPr="00B62147" w:rsidRDefault="00B62147" w:rsidP="00B62147">
      <w:pPr>
        <w:pStyle w:val="four"/>
        <w:ind w:left="540"/>
        <w:rPr>
          <w:b/>
        </w:rPr>
      </w:pPr>
      <w:r w:rsidRPr="005C40A0">
        <w:t>For Heat Pumps and Air Conditioners where a detailed, hourly HVAC simulation is used to separately model the compressor and evaporator energy (including part-load performance), the back-up heating energy, the distribution fan or blower energy and crank case heating energy, the Manufacturer’s Equipment Performance Rating (HSPF and SEER</w:t>
      </w:r>
      <w:r w:rsidRPr="005C40A0">
        <w:rPr>
          <w:rStyle w:val="FootnoteReference"/>
        </w:rPr>
        <w:footnoteReference w:id="1"/>
      </w:r>
      <w:r w:rsidRPr="005C40A0">
        <w:t>) shall be modified to represent the performance of the compressor and evaporator components alone</w:t>
      </w:r>
      <w:r>
        <w:t>.</w:t>
      </w:r>
      <w:r w:rsidRPr="00B62147">
        <w:rPr>
          <w:rStyle w:val="FootnoteReference"/>
        </w:rPr>
        <w:footnoteReference w:id="2"/>
      </w:r>
      <w:r>
        <w:t xml:space="preserve"> </w:t>
      </w:r>
      <w:r w:rsidRPr="005C40A0">
        <w:t>The energy uses of all components, including compressor and distribution fan/blower and crank case heater, shall then be added together to obtain the total energy uses for heating and cooling.</w:t>
      </w:r>
    </w:p>
    <w:p w14:paraId="11B32562" w14:textId="66CD56B4" w:rsidR="00B62147" w:rsidRPr="00B62147" w:rsidRDefault="00B62147" w:rsidP="00B62147">
      <w:pPr>
        <w:pStyle w:val="four"/>
        <w:numPr>
          <w:ilvl w:val="0"/>
          <w:numId w:val="0"/>
        </w:numPr>
        <w:ind w:left="540"/>
        <w:rPr>
          <w:b/>
          <w:color w:val="FF0000"/>
          <w:u w:val="single"/>
        </w:rPr>
      </w:pPr>
      <w:r w:rsidRPr="009D71AF">
        <w:rPr>
          <w:u w:val="single"/>
        </w:rPr>
        <w:t>For Heat Pumps and Air Conditioners with the more recent Manufacturer’s Equipment Performance Ratings (HSPF2</w:t>
      </w:r>
      <w:r w:rsidRPr="00B62147">
        <w:rPr>
          <w:color w:val="FF0000"/>
          <w:u w:val="single"/>
        </w:rPr>
        <w:t xml:space="preserve"> </w:t>
      </w:r>
      <w:proofErr w:type="spellStart"/>
      <w:r w:rsidRPr="009F6732">
        <w:rPr>
          <w:strike/>
          <w:color w:val="FF0000"/>
          <w:u w:val="single"/>
        </w:rPr>
        <w:t>and</w:t>
      </w:r>
      <w:r w:rsidR="009E2B6F">
        <w:rPr>
          <w:color w:val="FF0000"/>
          <w:u w:val="single"/>
        </w:rPr>
        <w:t>or</w:t>
      </w:r>
      <w:proofErr w:type="spellEnd"/>
      <w:r w:rsidRPr="00B62147">
        <w:rPr>
          <w:color w:val="FF0000"/>
          <w:u w:val="single"/>
        </w:rPr>
        <w:t xml:space="preserve"> </w:t>
      </w:r>
      <w:r w:rsidRPr="009D71AF">
        <w:rPr>
          <w:u w:val="single"/>
        </w:rPr>
        <w:t>SEER2)</w:t>
      </w:r>
      <w:r w:rsidR="009E2B6F">
        <w:rPr>
          <w:color w:val="FF0000"/>
          <w:u w:val="single"/>
        </w:rPr>
        <w:t xml:space="preserve"> available</w:t>
      </w:r>
      <w:r w:rsidRPr="00B62147">
        <w:rPr>
          <w:color w:val="FF0000"/>
          <w:u w:val="single"/>
        </w:rPr>
        <w:t xml:space="preserve">, </w:t>
      </w:r>
      <w:r w:rsidR="009E2B6F">
        <w:rPr>
          <w:color w:val="FF0000"/>
          <w:u w:val="single"/>
        </w:rPr>
        <w:t xml:space="preserve">and HSPF or SEER are not available, </w:t>
      </w:r>
      <w:r w:rsidRPr="009D71AF">
        <w:rPr>
          <w:u w:val="single"/>
        </w:rPr>
        <w:t xml:space="preserve">these ratings shall be converted to HSPF and SEER values </w:t>
      </w:r>
      <w:r w:rsidRPr="009F6732">
        <w:rPr>
          <w:strike/>
          <w:color w:val="FF0000"/>
          <w:u w:val="single"/>
        </w:rPr>
        <w:t xml:space="preserve">using </w:t>
      </w:r>
      <w:r w:rsidR="009E2B6F">
        <w:rPr>
          <w:color w:val="FF0000"/>
          <w:u w:val="single"/>
        </w:rPr>
        <w:t>by dividing HSPF2 or SEER2 by</w:t>
      </w:r>
      <w:r w:rsidR="009E2B6F" w:rsidRPr="00B62147">
        <w:rPr>
          <w:color w:val="FF0000"/>
          <w:u w:val="single"/>
        </w:rPr>
        <w:t xml:space="preserve"> </w:t>
      </w:r>
      <w:r w:rsidRPr="009D71AF">
        <w:rPr>
          <w:u w:val="single"/>
        </w:rPr>
        <w:t>the conversion factors in Table 4.4.4.1(1). If the type of equipment is not determined, the conversion shall default to the “</w:t>
      </w:r>
      <w:r w:rsidR="00135874">
        <w:rPr>
          <w:color w:val="FF0000"/>
          <w:u w:val="single"/>
        </w:rPr>
        <w:t xml:space="preserve">Ducted </w:t>
      </w:r>
      <w:r w:rsidRPr="009D71AF">
        <w:rPr>
          <w:u w:val="single"/>
        </w:rPr>
        <w:t xml:space="preserve">Split System” factors. All </w:t>
      </w:r>
      <w:r w:rsidRPr="009D71AF">
        <w:rPr>
          <w:u w:val="single"/>
        </w:rPr>
        <w:lastRenderedPageBreak/>
        <w:t xml:space="preserve">calculations, including Equation 4.1-1a, shall use </w:t>
      </w:r>
      <w:r w:rsidR="0045714E">
        <w:rPr>
          <w:color w:val="FF0000"/>
          <w:u w:val="single"/>
        </w:rPr>
        <w:t xml:space="preserve">HSPF or SEER </w:t>
      </w:r>
      <w:r w:rsidRPr="009D71AF">
        <w:rPr>
          <w:u w:val="single"/>
        </w:rPr>
        <w:t>values</w:t>
      </w:r>
      <w:r w:rsidRPr="00B62147">
        <w:rPr>
          <w:color w:val="FF0000"/>
          <w:u w:val="single"/>
        </w:rPr>
        <w:t xml:space="preserve"> </w:t>
      </w:r>
      <w:r w:rsidR="0045714E">
        <w:rPr>
          <w:color w:val="FF0000"/>
          <w:u w:val="single"/>
        </w:rPr>
        <w:t xml:space="preserve">as made available by the Manufacturer or </w:t>
      </w:r>
      <w:r w:rsidRPr="009D71AF">
        <w:rPr>
          <w:u w:val="single"/>
        </w:rPr>
        <w:t>converted</w:t>
      </w:r>
      <w:r w:rsidRPr="00B62147">
        <w:rPr>
          <w:color w:val="FF0000"/>
          <w:u w:val="single"/>
        </w:rPr>
        <w:t xml:space="preserve"> </w:t>
      </w:r>
      <w:r w:rsidRPr="009F6732">
        <w:rPr>
          <w:strike/>
          <w:color w:val="FF0000"/>
          <w:u w:val="single"/>
        </w:rPr>
        <w:t xml:space="preserve">to SEER and </w:t>
      </w:r>
      <w:proofErr w:type="spellStart"/>
      <w:r w:rsidRPr="009F6732">
        <w:rPr>
          <w:strike/>
          <w:color w:val="FF0000"/>
          <w:u w:val="single"/>
        </w:rPr>
        <w:t>HSPF</w:t>
      </w:r>
      <w:r w:rsidR="0045714E">
        <w:rPr>
          <w:color w:val="FF0000"/>
          <w:u w:val="single"/>
        </w:rPr>
        <w:t>as</w:t>
      </w:r>
      <w:proofErr w:type="spellEnd"/>
      <w:r w:rsidR="0045714E">
        <w:rPr>
          <w:color w:val="FF0000"/>
          <w:u w:val="single"/>
        </w:rPr>
        <w:t xml:space="preserve"> specified in this section</w:t>
      </w:r>
      <w:r w:rsidRPr="00B62147">
        <w:rPr>
          <w:color w:val="FF0000"/>
          <w:u w:val="single"/>
        </w:rPr>
        <w:t>.</w:t>
      </w:r>
    </w:p>
    <w:p w14:paraId="20ADC9F7" w14:textId="773A68D3" w:rsidR="00B62147" w:rsidRPr="00B62147" w:rsidRDefault="00B62147" w:rsidP="00B62147">
      <w:pPr>
        <w:pStyle w:val="ListParagraph"/>
        <w:ind w:left="540"/>
        <w:jc w:val="center"/>
        <w:rPr>
          <w:b/>
          <w:color w:val="FF0000"/>
          <w:u w:val="single"/>
        </w:rPr>
      </w:pPr>
      <w:r w:rsidRPr="009D71AF">
        <w:rPr>
          <w:b/>
          <w:u w:val="single"/>
        </w:rPr>
        <w:t>Table 4.4.4.1(1) SEER2</w:t>
      </w:r>
      <w:r w:rsidRPr="009F6732">
        <w:rPr>
          <w:b/>
          <w:strike/>
          <w:color w:val="FF0000"/>
          <w:u w:val="single"/>
        </w:rPr>
        <w:t>/</w:t>
      </w:r>
      <w:r w:rsidR="009E2B6F">
        <w:rPr>
          <w:b/>
          <w:color w:val="FF0000"/>
          <w:u w:val="single"/>
        </w:rPr>
        <w:t xml:space="preserve"> and </w:t>
      </w:r>
      <w:r w:rsidRPr="009D71AF">
        <w:rPr>
          <w:b/>
          <w:u w:val="single"/>
        </w:rPr>
        <w:t>HSPF2 Conversion Factors</w:t>
      </w:r>
      <w:r w:rsidRPr="009D71AF">
        <w:rPr>
          <w:rStyle w:val="FootnoteReference"/>
          <w:b/>
          <w:u w:val="single"/>
        </w:rPr>
        <w:footnoteReference w:id="3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0"/>
        <w:gridCol w:w="1721"/>
        <w:gridCol w:w="1887"/>
        <w:gridCol w:w="2132"/>
      </w:tblGrid>
      <w:tr w:rsidR="00135874" w:rsidRPr="00B62147" w14:paraId="51B2B326" w14:textId="77777777" w:rsidTr="00887FD3">
        <w:trPr>
          <w:tblHeader/>
          <w:jc w:val="center"/>
        </w:trPr>
        <w:tc>
          <w:tcPr>
            <w:tcW w:w="3610" w:type="dxa"/>
          </w:tcPr>
          <w:p w14:paraId="4BACFD56" w14:textId="77777777" w:rsidR="00135874" w:rsidRPr="00B62147" w:rsidRDefault="00135874" w:rsidP="00B62147">
            <w:pPr>
              <w:ind w:left="71"/>
              <w:rPr>
                <w:rFonts w:eastAsia="MS Mincho"/>
                <w:b/>
                <w:color w:val="FF0000"/>
                <w:u w:val="single"/>
              </w:rPr>
            </w:pPr>
            <w:r w:rsidRPr="009D71AF">
              <w:rPr>
                <w:rFonts w:eastAsia="MS Mincho"/>
                <w:b/>
                <w:u w:val="single"/>
              </w:rPr>
              <w:t>Equipment Type</w:t>
            </w:r>
          </w:p>
        </w:tc>
        <w:tc>
          <w:tcPr>
            <w:tcW w:w="1721" w:type="dxa"/>
          </w:tcPr>
          <w:p w14:paraId="467FB49E" w14:textId="77777777" w:rsidR="00135874" w:rsidRPr="009D71AF" w:rsidRDefault="00135874" w:rsidP="00B62147">
            <w:pPr>
              <w:ind w:left="64"/>
              <w:jc w:val="center"/>
              <w:rPr>
                <w:rFonts w:eastAsia="MS Mincho"/>
                <w:b/>
                <w:u w:val="single"/>
              </w:rPr>
            </w:pPr>
            <w:r w:rsidRPr="009D71AF">
              <w:rPr>
                <w:rFonts w:eastAsia="MS Mincho"/>
                <w:b/>
                <w:u w:val="single"/>
              </w:rPr>
              <w:t>SEER2/SEER</w:t>
            </w:r>
          </w:p>
        </w:tc>
        <w:tc>
          <w:tcPr>
            <w:tcW w:w="1887" w:type="dxa"/>
          </w:tcPr>
          <w:p w14:paraId="1F17AAD6" w14:textId="7D1AC7C3" w:rsidR="00135874" w:rsidRPr="00B62147" w:rsidRDefault="00135874" w:rsidP="00B62147">
            <w:pPr>
              <w:ind w:left="31"/>
              <w:jc w:val="center"/>
              <w:rPr>
                <w:rFonts w:eastAsia="MS Mincho"/>
                <w:b/>
                <w:color w:val="FF0000"/>
                <w:u w:val="single"/>
              </w:rPr>
            </w:pPr>
            <w:r>
              <w:rPr>
                <w:rFonts w:eastAsia="MS Mincho"/>
                <w:b/>
                <w:color w:val="FF0000"/>
                <w:u w:val="single"/>
              </w:rPr>
              <w:t>EER2/EER</w:t>
            </w:r>
            <w:r>
              <w:rPr>
                <w:rStyle w:val="FootnoteReference"/>
                <w:rFonts w:eastAsia="MS Mincho"/>
                <w:b/>
                <w:color w:val="FF0000"/>
                <w:u w:val="single"/>
              </w:rPr>
              <w:footnoteReference w:id="4"/>
            </w:r>
          </w:p>
        </w:tc>
        <w:tc>
          <w:tcPr>
            <w:tcW w:w="2132" w:type="dxa"/>
          </w:tcPr>
          <w:p w14:paraId="2C40EC37" w14:textId="558309B1" w:rsidR="00135874" w:rsidRPr="00B62147" w:rsidRDefault="00135874" w:rsidP="00B62147">
            <w:pPr>
              <w:ind w:left="31"/>
              <w:jc w:val="center"/>
              <w:rPr>
                <w:rFonts w:eastAsia="MS Mincho"/>
                <w:b/>
                <w:color w:val="FF0000"/>
                <w:u w:val="single"/>
              </w:rPr>
            </w:pPr>
            <w:r w:rsidRPr="009D71AF">
              <w:rPr>
                <w:rFonts w:eastAsia="MS Mincho"/>
                <w:b/>
                <w:u w:val="single"/>
              </w:rPr>
              <w:t>HSPF2/HSPF</w:t>
            </w:r>
          </w:p>
        </w:tc>
      </w:tr>
      <w:tr w:rsidR="00A1071A" w:rsidRPr="00B62147" w14:paraId="06478E82" w14:textId="77777777" w:rsidTr="00135874">
        <w:trPr>
          <w:jc w:val="center"/>
        </w:trPr>
        <w:tc>
          <w:tcPr>
            <w:tcW w:w="3610" w:type="dxa"/>
          </w:tcPr>
          <w:p w14:paraId="7794F580" w14:textId="513CB384" w:rsidR="00A1071A" w:rsidRDefault="00A1071A" w:rsidP="00A1071A">
            <w:pPr>
              <w:ind w:left="71"/>
              <w:rPr>
                <w:rFonts w:eastAsia="MS Mincho"/>
                <w:color w:val="FF0000"/>
                <w:u w:val="single"/>
              </w:rPr>
            </w:pPr>
            <w:r>
              <w:rPr>
                <w:rFonts w:eastAsia="MS Mincho"/>
                <w:color w:val="FF0000"/>
                <w:u w:val="single"/>
              </w:rPr>
              <w:t>Ductless System</w:t>
            </w:r>
            <w:r w:rsidR="000F3E25">
              <w:rPr>
                <w:rFonts w:eastAsia="MS Mincho"/>
                <w:color w:val="FF0000"/>
                <w:u w:val="single"/>
              </w:rPr>
              <w:t>s</w:t>
            </w:r>
          </w:p>
        </w:tc>
        <w:tc>
          <w:tcPr>
            <w:tcW w:w="1721" w:type="dxa"/>
          </w:tcPr>
          <w:p w14:paraId="289B2FEE" w14:textId="2E016F90" w:rsidR="00A1071A" w:rsidRPr="00B62147" w:rsidRDefault="00A1071A" w:rsidP="00A1071A">
            <w:pPr>
              <w:ind w:left="64"/>
              <w:jc w:val="center"/>
              <w:rPr>
                <w:rFonts w:eastAsia="MS Mincho"/>
                <w:color w:val="FF0000"/>
                <w:u w:val="single"/>
              </w:rPr>
            </w:pPr>
            <w:r>
              <w:rPr>
                <w:rFonts w:eastAsia="MS Mincho"/>
                <w:color w:val="FF0000"/>
                <w:u w:val="single"/>
              </w:rPr>
              <w:t>1.00</w:t>
            </w:r>
          </w:p>
        </w:tc>
        <w:tc>
          <w:tcPr>
            <w:tcW w:w="1887" w:type="dxa"/>
          </w:tcPr>
          <w:p w14:paraId="648A7DD3" w14:textId="0821C2CE" w:rsidR="00A1071A" w:rsidRDefault="00A1071A" w:rsidP="00A1071A">
            <w:pPr>
              <w:ind w:left="64"/>
              <w:jc w:val="center"/>
              <w:rPr>
                <w:rFonts w:eastAsia="MS Mincho"/>
                <w:color w:val="FF0000"/>
                <w:u w:val="single"/>
              </w:rPr>
            </w:pPr>
            <w:r>
              <w:rPr>
                <w:rFonts w:eastAsia="MS Mincho"/>
                <w:color w:val="FF0000"/>
                <w:u w:val="single"/>
              </w:rPr>
              <w:t>1.00</w:t>
            </w:r>
          </w:p>
        </w:tc>
        <w:tc>
          <w:tcPr>
            <w:tcW w:w="2132" w:type="dxa"/>
          </w:tcPr>
          <w:p w14:paraId="3009E29E" w14:textId="123B03FF" w:rsidR="00A1071A" w:rsidRPr="00B62147" w:rsidRDefault="00A1071A" w:rsidP="00A1071A">
            <w:pPr>
              <w:ind w:left="64"/>
              <w:jc w:val="center"/>
              <w:rPr>
                <w:rFonts w:eastAsia="MS Mincho"/>
                <w:color w:val="FF0000"/>
                <w:u w:val="single"/>
              </w:rPr>
            </w:pPr>
            <w:r>
              <w:rPr>
                <w:rFonts w:eastAsia="MS Mincho"/>
                <w:color w:val="FF0000"/>
                <w:u w:val="single"/>
              </w:rPr>
              <w:t>0.90</w:t>
            </w:r>
          </w:p>
        </w:tc>
      </w:tr>
      <w:tr w:rsidR="00A1071A" w:rsidRPr="00B62147" w14:paraId="0FDDEE44" w14:textId="77777777" w:rsidTr="00887FD3">
        <w:trPr>
          <w:jc w:val="center"/>
        </w:trPr>
        <w:tc>
          <w:tcPr>
            <w:tcW w:w="3610" w:type="dxa"/>
          </w:tcPr>
          <w:p w14:paraId="4F8FA959" w14:textId="64845CA6" w:rsidR="00A1071A" w:rsidRPr="00B62147" w:rsidRDefault="00A1071A" w:rsidP="00A1071A">
            <w:pPr>
              <w:ind w:left="71"/>
              <w:rPr>
                <w:rFonts w:eastAsia="MS Mincho"/>
                <w:color w:val="FF0000"/>
                <w:u w:val="single"/>
              </w:rPr>
            </w:pPr>
            <w:r>
              <w:rPr>
                <w:rFonts w:eastAsia="MS Mincho"/>
                <w:color w:val="FF0000"/>
                <w:u w:val="single"/>
              </w:rPr>
              <w:t xml:space="preserve">Ducted </w:t>
            </w:r>
            <w:r w:rsidRPr="009D71AF">
              <w:rPr>
                <w:rFonts w:eastAsia="MS Mincho"/>
                <w:u w:val="single"/>
              </w:rPr>
              <w:t>Split System</w:t>
            </w:r>
          </w:p>
        </w:tc>
        <w:tc>
          <w:tcPr>
            <w:tcW w:w="1721" w:type="dxa"/>
          </w:tcPr>
          <w:p w14:paraId="55608E6D" w14:textId="77777777" w:rsidR="00A1071A" w:rsidRPr="00B62147" w:rsidRDefault="00A1071A" w:rsidP="00A1071A">
            <w:pPr>
              <w:ind w:left="64"/>
              <w:jc w:val="center"/>
              <w:rPr>
                <w:rFonts w:eastAsia="MS Mincho"/>
                <w:color w:val="FF0000"/>
                <w:u w:val="single"/>
              </w:rPr>
            </w:pPr>
            <w:r w:rsidRPr="009D71AF">
              <w:rPr>
                <w:rFonts w:eastAsia="MS Mincho"/>
                <w:u w:val="single"/>
              </w:rPr>
              <w:t>0.95</w:t>
            </w:r>
          </w:p>
        </w:tc>
        <w:tc>
          <w:tcPr>
            <w:tcW w:w="1887" w:type="dxa"/>
          </w:tcPr>
          <w:p w14:paraId="5B1439D4" w14:textId="3D1EABCA" w:rsidR="00A1071A" w:rsidRPr="00B62147" w:rsidRDefault="00A1071A" w:rsidP="00A1071A">
            <w:pPr>
              <w:ind w:left="64"/>
              <w:jc w:val="center"/>
              <w:rPr>
                <w:rFonts w:eastAsia="MS Mincho"/>
                <w:color w:val="FF0000"/>
                <w:u w:val="single"/>
              </w:rPr>
            </w:pPr>
            <w:r>
              <w:rPr>
                <w:rFonts w:eastAsia="MS Mincho"/>
                <w:color w:val="FF0000"/>
                <w:u w:val="single"/>
              </w:rPr>
              <w:t>0.95</w:t>
            </w:r>
          </w:p>
        </w:tc>
        <w:tc>
          <w:tcPr>
            <w:tcW w:w="2132" w:type="dxa"/>
          </w:tcPr>
          <w:p w14:paraId="7444D64B" w14:textId="6A019DEB" w:rsidR="00A1071A" w:rsidRPr="009D71AF" w:rsidRDefault="00A1071A" w:rsidP="00A1071A">
            <w:pPr>
              <w:ind w:left="64"/>
              <w:jc w:val="center"/>
              <w:rPr>
                <w:rFonts w:eastAsia="MS Mincho"/>
                <w:u w:val="single"/>
              </w:rPr>
            </w:pPr>
            <w:r w:rsidRPr="009D71AF">
              <w:rPr>
                <w:rFonts w:eastAsia="MS Mincho"/>
                <w:u w:val="single"/>
              </w:rPr>
              <w:t>0.85</w:t>
            </w:r>
          </w:p>
        </w:tc>
      </w:tr>
      <w:tr w:rsidR="00A1071A" w:rsidRPr="00B62147" w14:paraId="49521BD8" w14:textId="77777777" w:rsidTr="00887FD3">
        <w:trPr>
          <w:jc w:val="center"/>
        </w:trPr>
        <w:tc>
          <w:tcPr>
            <w:tcW w:w="3610" w:type="dxa"/>
          </w:tcPr>
          <w:p w14:paraId="500A5349" w14:textId="5754C1BC" w:rsidR="00A1071A" w:rsidRPr="00B62147" w:rsidRDefault="00A1071A" w:rsidP="00A1071A">
            <w:pPr>
              <w:ind w:left="71"/>
              <w:rPr>
                <w:rFonts w:eastAsia="MS Mincho"/>
                <w:color w:val="FF0000"/>
                <w:u w:val="single"/>
              </w:rPr>
            </w:pPr>
            <w:r>
              <w:rPr>
                <w:rFonts w:eastAsia="MS Mincho"/>
                <w:color w:val="FF0000"/>
                <w:u w:val="single"/>
              </w:rPr>
              <w:t xml:space="preserve">Ducted </w:t>
            </w:r>
            <w:r w:rsidRPr="009F6732">
              <w:rPr>
                <w:rFonts w:eastAsia="MS Mincho"/>
                <w:strike/>
                <w:color w:val="FF0000"/>
                <w:u w:val="single"/>
              </w:rPr>
              <w:t xml:space="preserve">Single </w:t>
            </w:r>
            <w:r w:rsidRPr="009D71AF">
              <w:rPr>
                <w:rFonts w:eastAsia="MS Mincho"/>
                <w:u w:val="single"/>
              </w:rPr>
              <w:t>Package</w:t>
            </w:r>
            <w:r>
              <w:rPr>
                <w:rFonts w:eastAsia="MS Mincho"/>
                <w:color w:val="FF0000"/>
                <w:u w:val="single"/>
              </w:rPr>
              <w:t>d System</w:t>
            </w:r>
          </w:p>
        </w:tc>
        <w:tc>
          <w:tcPr>
            <w:tcW w:w="1721" w:type="dxa"/>
          </w:tcPr>
          <w:p w14:paraId="3729F448" w14:textId="67572966" w:rsidR="00A1071A" w:rsidRPr="00B62147" w:rsidRDefault="00A1071A" w:rsidP="00A1071A">
            <w:pPr>
              <w:ind w:left="64"/>
              <w:jc w:val="center"/>
              <w:rPr>
                <w:rFonts w:eastAsia="MS Mincho"/>
                <w:color w:val="FF0000"/>
                <w:u w:val="single"/>
              </w:rPr>
            </w:pPr>
            <w:r w:rsidRPr="009D71AF">
              <w:rPr>
                <w:rFonts w:eastAsia="MS Mincho"/>
                <w:u w:val="single"/>
              </w:rPr>
              <w:t>0.</w:t>
            </w:r>
            <w:r w:rsidRPr="009F6732">
              <w:rPr>
                <w:rFonts w:eastAsia="MS Mincho"/>
                <w:strike/>
                <w:color w:val="FF0000"/>
                <w:u w:val="single"/>
              </w:rPr>
              <w:t>96</w:t>
            </w:r>
            <w:r w:rsidRPr="00B62147">
              <w:rPr>
                <w:rFonts w:eastAsia="MS Mincho"/>
                <w:color w:val="FF0000"/>
                <w:u w:val="single"/>
              </w:rPr>
              <w:t>9</w:t>
            </w:r>
            <w:r>
              <w:rPr>
                <w:rFonts w:eastAsia="MS Mincho"/>
                <w:color w:val="FF0000"/>
                <w:u w:val="single"/>
              </w:rPr>
              <w:t>5</w:t>
            </w:r>
          </w:p>
        </w:tc>
        <w:tc>
          <w:tcPr>
            <w:tcW w:w="1887" w:type="dxa"/>
          </w:tcPr>
          <w:p w14:paraId="14538D23" w14:textId="1DC97BFE" w:rsidR="00A1071A" w:rsidRPr="00B62147" w:rsidRDefault="00A1071A" w:rsidP="00A1071A">
            <w:pPr>
              <w:ind w:left="64"/>
              <w:jc w:val="center"/>
              <w:rPr>
                <w:rFonts w:eastAsia="MS Mincho"/>
                <w:color w:val="FF0000"/>
                <w:u w:val="single"/>
              </w:rPr>
            </w:pPr>
            <w:r>
              <w:rPr>
                <w:rFonts w:eastAsia="MS Mincho"/>
                <w:color w:val="FF0000"/>
                <w:u w:val="single"/>
              </w:rPr>
              <w:t>0.95</w:t>
            </w:r>
          </w:p>
        </w:tc>
        <w:tc>
          <w:tcPr>
            <w:tcW w:w="2132" w:type="dxa"/>
          </w:tcPr>
          <w:p w14:paraId="5F8D430C" w14:textId="31FB64B7" w:rsidR="00A1071A" w:rsidRPr="009D71AF" w:rsidRDefault="00A1071A" w:rsidP="00A1071A">
            <w:pPr>
              <w:ind w:left="64"/>
              <w:jc w:val="center"/>
              <w:rPr>
                <w:rFonts w:eastAsia="MS Mincho"/>
                <w:u w:val="single"/>
              </w:rPr>
            </w:pPr>
            <w:r w:rsidRPr="009D71AF">
              <w:rPr>
                <w:rFonts w:eastAsia="MS Mincho"/>
                <w:u w:val="single"/>
              </w:rPr>
              <w:t>0.84</w:t>
            </w:r>
          </w:p>
        </w:tc>
      </w:tr>
      <w:tr w:rsidR="00A1071A" w:rsidRPr="00B62147" w14:paraId="18015FFF" w14:textId="77777777" w:rsidTr="00887FD3">
        <w:trPr>
          <w:jc w:val="center"/>
        </w:trPr>
        <w:tc>
          <w:tcPr>
            <w:tcW w:w="3610" w:type="dxa"/>
          </w:tcPr>
          <w:p w14:paraId="6E030A4D" w14:textId="1971412F" w:rsidR="00A1071A" w:rsidRPr="00B62147" w:rsidRDefault="00A1071A" w:rsidP="00A1071A">
            <w:pPr>
              <w:ind w:left="71"/>
              <w:rPr>
                <w:rFonts w:eastAsia="MS Mincho"/>
                <w:color w:val="FF0000"/>
                <w:u w:val="single"/>
              </w:rPr>
            </w:pPr>
            <w:r w:rsidRPr="009D71AF">
              <w:rPr>
                <w:rFonts w:eastAsia="MS Mincho"/>
                <w:u w:val="single"/>
              </w:rPr>
              <w:t>Small Duct High Velocity</w:t>
            </w:r>
            <w:r w:rsidRPr="009D71AF">
              <w:rPr>
                <w:rFonts w:eastAsia="MS Mincho"/>
                <w:u w:val="single"/>
              </w:rPr>
              <w:t xml:space="preserve"> </w:t>
            </w:r>
            <w:r>
              <w:rPr>
                <w:rFonts w:eastAsia="MS Mincho"/>
                <w:color w:val="FF0000"/>
                <w:u w:val="single"/>
              </w:rPr>
              <w:t>System</w:t>
            </w:r>
          </w:p>
        </w:tc>
        <w:tc>
          <w:tcPr>
            <w:tcW w:w="1721" w:type="dxa"/>
          </w:tcPr>
          <w:p w14:paraId="05AF2E34" w14:textId="77777777" w:rsidR="00A1071A" w:rsidRPr="00B62147" w:rsidRDefault="00A1071A" w:rsidP="00A1071A">
            <w:pPr>
              <w:ind w:left="64"/>
              <w:jc w:val="center"/>
              <w:rPr>
                <w:rFonts w:eastAsia="MS Mincho"/>
                <w:color w:val="FF0000"/>
                <w:u w:val="single"/>
              </w:rPr>
            </w:pPr>
            <w:r w:rsidRPr="009D71AF">
              <w:rPr>
                <w:rFonts w:eastAsia="MS Mincho"/>
                <w:u w:val="single"/>
              </w:rPr>
              <w:t>1.00</w:t>
            </w:r>
          </w:p>
        </w:tc>
        <w:tc>
          <w:tcPr>
            <w:tcW w:w="1887" w:type="dxa"/>
          </w:tcPr>
          <w:p w14:paraId="712C747F" w14:textId="3138ECBA" w:rsidR="00A1071A" w:rsidRPr="00B62147" w:rsidRDefault="00A1071A" w:rsidP="00A1071A">
            <w:pPr>
              <w:ind w:left="64"/>
              <w:jc w:val="center"/>
              <w:rPr>
                <w:rFonts w:eastAsia="MS Mincho"/>
                <w:color w:val="FF0000"/>
                <w:u w:val="single"/>
              </w:rPr>
            </w:pPr>
            <w:r>
              <w:rPr>
                <w:rFonts w:eastAsia="MS Mincho"/>
                <w:color w:val="FF0000"/>
                <w:u w:val="single"/>
              </w:rPr>
              <w:t>Not Applicable</w:t>
            </w:r>
          </w:p>
        </w:tc>
        <w:tc>
          <w:tcPr>
            <w:tcW w:w="2132" w:type="dxa"/>
          </w:tcPr>
          <w:p w14:paraId="2C8C28AE" w14:textId="645A2438" w:rsidR="00A1071A" w:rsidRPr="009D71AF" w:rsidRDefault="00A1071A" w:rsidP="00A1071A">
            <w:pPr>
              <w:ind w:left="64"/>
              <w:jc w:val="center"/>
              <w:rPr>
                <w:rFonts w:eastAsia="MS Mincho"/>
                <w:u w:val="single"/>
              </w:rPr>
            </w:pPr>
            <w:r w:rsidRPr="009D71AF">
              <w:rPr>
                <w:rFonts w:eastAsia="MS Mincho"/>
                <w:u w:val="single"/>
              </w:rPr>
              <w:t>0.85</w:t>
            </w:r>
          </w:p>
        </w:tc>
      </w:tr>
      <w:tr w:rsidR="00A1071A" w:rsidRPr="00B62147" w14:paraId="13D3E829" w14:textId="77777777" w:rsidTr="00887FD3">
        <w:trPr>
          <w:jc w:val="center"/>
        </w:trPr>
        <w:tc>
          <w:tcPr>
            <w:tcW w:w="3610" w:type="dxa"/>
          </w:tcPr>
          <w:p w14:paraId="6659815C" w14:textId="7B9CF28C" w:rsidR="00A1071A" w:rsidRDefault="00A1071A" w:rsidP="00A1071A">
            <w:pPr>
              <w:ind w:left="71"/>
              <w:rPr>
                <w:rFonts w:eastAsia="MS Mincho"/>
                <w:color w:val="FF0000"/>
                <w:u w:val="single"/>
              </w:rPr>
            </w:pPr>
            <w:r>
              <w:rPr>
                <w:rFonts w:eastAsia="MS Mincho"/>
                <w:color w:val="FF0000"/>
                <w:u w:val="single"/>
              </w:rPr>
              <w:t>Ducted Space-Constrained Air Conditioner</w:t>
            </w:r>
          </w:p>
        </w:tc>
        <w:tc>
          <w:tcPr>
            <w:tcW w:w="1721" w:type="dxa"/>
          </w:tcPr>
          <w:p w14:paraId="12C48A14" w14:textId="1E26C867" w:rsidR="00A1071A" w:rsidRPr="00B62147" w:rsidRDefault="00A1071A" w:rsidP="00A1071A">
            <w:pPr>
              <w:ind w:left="64"/>
              <w:jc w:val="center"/>
              <w:rPr>
                <w:rFonts w:eastAsia="MS Mincho"/>
                <w:color w:val="FF0000"/>
                <w:u w:val="single"/>
              </w:rPr>
            </w:pPr>
            <w:r>
              <w:rPr>
                <w:rFonts w:eastAsia="MS Mincho"/>
                <w:color w:val="FF0000"/>
                <w:u w:val="single"/>
              </w:rPr>
              <w:t>0.97</w:t>
            </w:r>
          </w:p>
        </w:tc>
        <w:tc>
          <w:tcPr>
            <w:tcW w:w="1887" w:type="dxa"/>
          </w:tcPr>
          <w:p w14:paraId="705838B3" w14:textId="71BB83DF" w:rsidR="00A1071A" w:rsidRDefault="00A1071A" w:rsidP="00A1071A">
            <w:pPr>
              <w:ind w:left="64"/>
              <w:jc w:val="center"/>
              <w:rPr>
                <w:rFonts w:eastAsia="MS Mincho"/>
                <w:color w:val="FF0000"/>
                <w:u w:val="single"/>
              </w:rPr>
            </w:pPr>
            <w:r>
              <w:rPr>
                <w:rFonts w:eastAsia="MS Mincho"/>
                <w:color w:val="FF0000"/>
                <w:u w:val="single"/>
              </w:rPr>
              <w:t>Not Applicable</w:t>
            </w:r>
          </w:p>
        </w:tc>
        <w:tc>
          <w:tcPr>
            <w:tcW w:w="2132" w:type="dxa"/>
          </w:tcPr>
          <w:p w14:paraId="18F1EB13" w14:textId="517E2B84" w:rsidR="00A1071A" w:rsidRPr="00B62147" w:rsidDel="00135874" w:rsidRDefault="00A1071A" w:rsidP="00A1071A">
            <w:pPr>
              <w:ind w:left="64"/>
              <w:jc w:val="center"/>
              <w:rPr>
                <w:rFonts w:eastAsia="MS Mincho"/>
                <w:color w:val="FF0000"/>
                <w:u w:val="single"/>
              </w:rPr>
            </w:pPr>
            <w:r>
              <w:rPr>
                <w:rFonts w:eastAsia="MS Mincho"/>
                <w:color w:val="FF0000"/>
                <w:u w:val="single"/>
              </w:rPr>
              <w:t>Not Applicable</w:t>
            </w:r>
          </w:p>
        </w:tc>
      </w:tr>
      <w:tr w:rsidR="00A1071A" w:rsidRPr="00B62147" w14:paraId="6930B29F" w14:textId="77777777" w:rsidTr="00887FD3">
        <w:trPr>
          <w:jc w:val="center"/>
        </w:trPr>
        <w:tc>
          <w:tcPr>
            <w:tcW w:w="3610" w:type="dxa"/>
          </w:tcPr>
          <w:p w14:paraId="07CC89BD" w14:textId="40643722" w:rsidR="00A1071A" w:rsidRPr="00B62147" w:rsidRDefault="00A1071A" w:rsidP="00A1071A">
            <w:pPr>
              <w:ind w:left="71"/>
              <w:rPr>
                <w:rFonts w:eastAsia="MS Mincho"/>
                <w:color w:val="FF0000"/>
                <w:u w:val="single"/>
              </w:rPr>
            </w:pPr>
            <w:r>
              <w:rPr>
                <w:rFonts w:eastAsia="MS Mincho"/>
                <w:color w:val="FF0000"/>
                <w:u w:val="single"/>
              </w:rPr>
              <w:t xml:space="preserve">Ducted </w:t>
            </w:r>
            <w:r w:rsidRPr="009F6732">
              <w:rPr>
                <w:rFonts w:eastAsia="MS Mincho"/>
                <w:strike/>
                <w:color w:val="FF0000"/>
                <w:u w:val="single"/>
              </w:rPr>
              <w:t xml:space="preserve">Space </w:t>
            </w:r>
            <w:r w:rsidRPr="00B62147">
              <w:rPr>
                <w:rFonts w:eastAsia="MS Mincho"/>
                <w:color w:val="FF0000"/>
                <w:u w:val="single"/>
              </w:rPr>
              <w:t>Space</w:t>
            </w:r>
            <w:r>
              <w:rPr>
                <w:rFonts w:eastAsia="MS Mincho"/>
                <w:color w:val="FF0000"/>
                <w:u w:val="single"/>
              </w:rPr>
              <w:t>-</w:t>
            </w:r>
            <w:r w:rsidRPr="009D71AF">
              <w:rPr>
                <w:rFonts w:eastAsia="MS Mincho"/>
                <w:u w:val="single"/>
              </w:rPr>
              <w:t>Constrained</w:t>
            </w:r>
            <w:r>
              <w:rPr>
                <w:rFonts w:eastAsia="MS Mincho"/>
                <w:color w:val="FF0000"/>
                <w:u w:val="single"/>
              </w:rPr>
              <w:t xml:space="preserve"> Heat Pump</w:t>
            </w:r>
          </w:p>
        </w:tc>
        <w:tc>
          <w:tcPr>
            <w:tcW w:w="1721" w:type="dxa"/>
          </w:tcPr>
          <w:p w14:paraId="4CCCD1CE" w14:textId="29984A2F" w:rsidR="00A1071A" w:rsidRPr="00B62147" w:rsidRDefault="00A1071A" w:rsidP="00A1071A">
            <w:pPr>
              <w:ind w:left="64"/>
              <w:jc w:val="center"/>
              <w:rPr>
                <w:rFonts w:eastAsia="MS Mincho"/>
                <w:color w:val="FF0000"/>
                <w:u w:val="single"/>
              </w:rPr>
            </w:pPr>
            <w:r w:rsidRPr="009D71AF">
              <w:rPr>
                <w:rFonts w:eastAsia="MS Mincho"/>
                <w:u w:val="single"/>
              </w:rPr>
              <w:t>0.99</w:t>
            </w:r>
          </w:p>
        </w:tc>
        <w:tc>
          <w:tcPr>
            <w:tcW w:w="1887" w:type="dxa"/>
          </w:tcPr>
          <w:p w14:paraId="7BB59F37" w14:textId="3F58E1CE" w:rsidR="00A1071A" w:rsidRPr="00B62147" w:rsidRDefault="00A1071A" w:rsidP="00A1071A">
            <w:pPr>
              <w:ind w:left="64"/>
              <w:jc w:val="center"/>
              <w:rPr>
                <w:rFonts w:eastAsia="MS Mincho"/>
                <w:color w:val="FF0000"/>
                <w:u w:val="single"/>
              </w:rPr>
            </w:pPr>
            <w:r>
              <w:rPr>
                <w:rFonts w:eastAsia="MS Mincho"/>
                <w:color w:val="FF0000"/>
                <w:u w:val="single"/>
              </w:rPr>
              <w:t>Not Applicable</w:t>
            </w:r>
          </w:p>
        </w:tc>
        <w:tc>
          <w:tcPr>
            <w:tcW w:w="2132" w:type="dxa"/>
          </w:tcPr>
          <w:p w14:paraId="6899A3E0" w14:textId="03840B64" w:rsidR="00A1071A" w:rsidRPr="00B62147" w:rsidRDefault="00A1071A" w:rsidP="00A1071A">
            <w:pPr>
              <w:ind w:left="64"/>
              <w:jc w:val="center"/>
              <w:rPr>
                <w:rFonts w:eastAsia="MS Mincho"/>
                <w:color w:val="FF0000"/>
                <w:u w:val="single"/>
              </w:rPr>
            </w:pPr>
            <w:r w:rsidRPr="009D71AF">
              <w:rPr>
                <w:rFonts w:eastAsia="MS Mincho"/>
                <w:u w:val="single"/>
              </w:rPr>
              <w:t>0.85</w:t>
            </w:r>
          </w:p>
        </w:tc>
      </w:tr>
    </w:tbl>
    <w:p w14:paraId="0C416D55" w14:textId="60774CD0" w:rsidR="00A540BC" w:rsidRDefault="00A540BC" w:rsidP="001321D6"/>
    <w:p w14:paraId="7BAC3810" w14:textId="611A5D17" w:rsidR="00683AB5" w:rsidRDefault="00683AB5" w:rsidP="001321D6"/>
    <w:p w14:paraId="4B721A4A" w14:textId="012F84FE" w:rsidR="00887FD3" w:rsidRDefault="00887FD3" w:rsidP="001321D6">
      <w:r>
        <w:br w:type="column"/>
      </w:r>
    </w:p>
    <w:p w14:paraId="2932F8F3" w14:textId="77777777" w:rsidR="00887FD3" w:rsidRDefault="00887FD3" w:rsidP="001321D6"/>
    <w:p w14:paraId="465797E8" w14:textId="77777777" w:rsidR="00887FD3" w:rsidRPr="00887FD3" w:rsidRDefault="00887FD3" w:rsidP="00887FD3">
      <w:pPr>
        <w:spacing w:after="4"/>
        <w:ind w:left="-5" w:hanging="10"/>
      </w:pPr>
      <w:r w:rsidRPr="00887FD3">
        <w:rPr>
          <w:rFonts w:eastAsia="Arial"/>
          <w:b/>
          <w:i/>
          <w:color w:val="0070C0"/>
        </w:rPr>
        <w:t xml:space="preserve">Modify the Thermal Distribution Systems row of Table 4.2.2 (1) as follows: </w:t>
      </w:r>
    </w:p>
    <w:p w14:paraId="296B78BF" w14:textId="77777777" w:rsidR="00887FD3" w:rsidRDefault="00887FD3" w:rsidP="00887FD3">
      <w:r>
        <w:rPr>
          <w:rFonts w:ascii="Arial" w:eastAsia="Arial" w:hAnsi="Arial" w:cs="Arial"/>
          <w:b/>
          <w:i/>
          <w:color w:val="0070C0"/>
        </w:rPr>
        <w:t xml:space="preserve"> </w:t>
      </w:r>
    </w:p>
    <w:p w14:paraId="1B040C95" w14:textId="77777777" w:rsidR="00887FD3" w:rsidRDefault="00887FD3" w:rsidP="00887FD3">
      <w:pPr>
        <w:ind w:right="877"/>
        <w:jc w:val="right"/>
      </w:pPr>
      <w:r>
        <w:rPr>
          <w:b/>
        </w:rPr>
        <w:t>Table 4.2.2(1</w:t>
      </w:r>
      <w:proofErr w:type="gramStart"/>
      <w:r>
        <w:rPr>
          <w:b/>
        </w:rPr>
        <w:t>)  Specifications</w:t>
      </w:r>
      <w:proofErr w:type="gramEnd"/>
      <w:r>
        <w:rPr>
          <w:b/>
        </w:rPr>
        <w:t xml:space="preserve"> for the Energy Rating Reference and Rated Homes</w:t>
      </w:r>
      <w:r>
        <w:t xml:space="preserve"> </w:t>
      </w:r>
    </w:p>
    <w:tbl>
      <w:tblPr>
        <w:tblStyle w:val="TableGrid"/>
        <w:tblW w:w="9369" w:type="dxa"/>
        <w:tblInd w:w="138" w:type="dxa"/>
        <w:tblCellMar>
          <w:top w:w="18" w:type="dxa"/>
          <w:left w:w="114" w:type="dxa"/>
          <w:right w:w="52" w:type="dxa"/>
        </w:tblCellMar>
        <w:tblLook w:val="04A0" w:firstRow="1" w:lastRow="0" w:firstColumn="1" w:lastColumn="0" w:noHBand="0" w:noVBand="1"/>
      </w:tblPr>
      <w:tblGrid>
        <w:gridCol w:w="2594"/>
        <w:gridCol w:w="3604"/>
        <w:gridCol w:w="3171"/>
      </w:tblGrid>
      <w:tr w:rsidR="00887FD3" w14:paraId="73693E9D" w14:textId="77777777" w:rsidTr="00382737">
        <w:trPr>
          <w:trHeight w:val="7758"/>
        </w:trPr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377C4" w14:textId="77777777" w:rsidR="00887FD3" w:rsidRDefault="00887FD3" w:rsidP="00382737">
            <w:r>
              <w:t xml:space="preserve">Thermal distribution systems 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64031" w14:textId="77777777" w:rsidR="00887FD3" w:rsidRDefault="00887FD3" w:rsidP="00382737">
            <w:pPr>
              <w:spacing w:line="259" w:lineRule="auto"/>
              <w:ind w:left="265" w:right="234" w:hanging="265"/>
              <w:jc w:val="both"/>
            </w:pPr>
            <w:r>
              <w:t xml:space="preserve">Thermal Distribution System Efficiency (DSE) of 0.80 shall be applied to both the heating and cooling system efficiencies. </w:t>
            </w:r>
          </w:p>
          <w:p w14:paraId="2909752A" w14:textId="77777777" w:rsidR="00887FD3" w:rsidRDefault="00887FD3" w:rsidP="00382737">
            <w:r>
              <w:t xml:space="preserve"> 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08C2B" w14:textId="77777777" w:rsidR="00887FD3" w:rsidRDefault="00887FD3" w:rsidP="00382737">
            <w:pPr>
              <w:spacing w:after="83"/>
              <w:ind w:left="216" w:right="50" w:hanging="216"/>
              <w:jc w:val="both"/>
            </w:pPr>
            <w:r>
              <w:t xml:space="preserve">Forced air distribution systems duct leakage to outside </w:t>
            </w:r>
            <w:proofErr w:type="spellStart"/>
            <w:proofErr w:type="gramStart"/>
            <w:r>
              <w:t>tests</w:t>
            </w:r>
            <w:r>
              <w:rPr>
                <w:vertAlign w:val="superscript"/>
              </w:rPr>
              <w:t>w,x</w:t>
            </w:r>
            <w:proofErr w:type="spellEnd"/>
            <w:proofErr w:type="gramEnd"/>
            <w:r>
              <w:rPr>
                <w:vertAlign w:val="superscript"/>
              </w:rPr>
              <w:t xml:space="preserve">, y, z , </w:t>
            </w:r>
            <w:proofErr w:type="spellStart"/>
            <w:r>
              <w:rPr>
                <w:vertAlign w:val="superscript"/>
              </w:rPr>
              <w:t>yy</w:t>
            </w:r>
            <w:proofErr w:type="spellEnd"/>
            <w:r>
              <w:rPr>
                <w:vertAlign w:val="superscript"/>
              </w:rPr>
              <w:t xml:space="preserve"> </w:t>
            </w:r>
            <w:r>
              <w:t xml:space="preserve">shall be conducted and </w:t>
            </w:r>
          </w:p>
          <w:p w14:paraId="436E4B80" w14:textId="77777777" w:rsidR="00887FD3" w:rsidRDefault="00887FD3" w:rsidP="00382737">
            <w:pPr>
              <w:spacing w:line="264" w:lineRule="auto"/>
              <w:ind w:left="216" w:right="258"/>
              <w:jc w:val="both"/>
            </w:pPr>
            <w:r>
              <w:t xml:space="preserve">documented by an Approved Tester in accordance with requirements of Standard </w:t>
            </w:r>
          </w:p>
          <w:p w14:paraId="79534D55" w14:textId="77777777" w:rsidR="00887FD3" w:rsidRDefault="00887FD3" w:rsidP="00382737">
            <w:pPr>
              <w:spacing w:after="6"/>
              <w:ind w:left="216"/>
            </w:pPr>
            <w:r>
              <w:t xml:space="preserve">ANSI/RESNET/ICC 380 with </w:t>
            </w:r>
          </w:p>
          <w:p w14:paraId="0BCA9BEF" w14:textId="77777777" w:rsidR="00887FD3" w:rsidRDefault="00887FD3" w:rsidP="00382737">
            <w:pPr>
              <w:spacing w:after="159" w:line="261" w:lineRule="auto"/>
              <w:ind w:left="216" w:right="174"/>
              <w:jc w:val="both"/>
            </w:pPr>
            <w:r>
              <w:t xml:space="preserve">the air handler installed, and the energy impacts calculated with the ducts located and insulated as in the Rated Home. </w:t>
            </w:r>
          </w:p>
          <w:p w14:paraId="76CCE295" w14:textId="77777777" w:rsidR="00887FD3" w:rsidRDefault="00887FD3" w:rsidP="00382737">
            <w:pPr>
              <w:spacing w:after="184"/>
              <w:ind w:left="216" w:right="198" w:hanging="216"/>
              <w:jc w:val="both"/>
            </w:pPr>
            <w:r>
              <w:t xml:space="preserve">Forced air distribution systems duct area shall be the same as the Rated </w:t>
            </w:r>
            <w:proofErr w:type="spellStart"/>
            <w:r>
              <w:t>Home</w:t>
            </w:r>
            <w:r>
              <w:rPr>
                <w:vertAlign w:val="superscript"/>
              </w:rPr>
              <w:t>aa</w:t>
            </w:r>
            <w:proofErr w:type="spellEnd"/>
            <w:r>
              <w:rPr>
                <w:u w:val="single" w:color="000000"/>
              </w:rPr>
              <w:t>.</w:t>
            </w:r>
            <w:r>
              <w:t xml:space="preserve"> </w:t>
            </w:r>
          </w:p>
          <w:p w14:paraId="0C0CC5EB" w14:textId="4B785DE0" w:rsidR="00887FD3" w:rsidRDefault="00887FD3" w:rsidP="00382737">
            <w:pPr>
              <w:spacing w:after="159" w:line="261" w:lineRule="auto"/>
              <w:ind w:left="216" w:right="65" w:hanging="216"/>
              <w:jc w:val="both"/>
            </w:pPr>
            <w:r w:rsidRPr="00563F74">
              <w:t>For ductless distribution systems</w:t>
            </w:r>
            <w:r w:rsidRPr="009F6732">
              <w:rPr>
                <w:color w:val="FF0000"/>
                <w:u w:val="single"/>
              </w:rPr>
              <w:t xml:space="preserve"> or distribution systems in CSV with the supply-side having a total length that does not exceed 10 ft., inclusive of both ductwork and building cavities used for distribution</w:t>
            </w:r>
            <w:r w:rsidRPr="00563F74">
              <w:t>:  DSE=1.00</w:t>
            </w:r>
          </w:p>
          <w:p w14:paraId="5C35AF2D" w14:textId="77777777" w:rsidR="00887FD3" w:rsidRDefault="00887FD3" w:rsidP="00382737">
            <w:pPr>
              <w:spacing w:after="180" w:line="264" w:lineRule="auto"/>
              <w:ind w:left="216" w:hanging="216"/>
              <w:jc w:val="both"/>
            </w:pPr>
            <w:r>
              <w:t xml:space="preserve">For hydronic distribution systems:  DSE=1.00 </w:t>
            </w:r>
          </w:p>
          <w:p w14:paraId="128E2D36" w14:textId="77777777" w:rsidR="00887FD3" w:rsidRDefault="00887FD3" w:rsidP="00382737">
            <w:pPr>
              <w:ind w:left="721"/>
            </w:pPr>
            <w:r>
              <w:t xml:space="preserve"> </w:t>
            </w:r>
          </w:p>
        </w:tc>
      </w:tr>
    </w:tbl>
    <w:p w14:paraId="2794109C" w14:textId="77777777" w:rsidR="00887FD3" w:rsidRDefault="00887FD3" w:rsidP="00887FD3">
      <w:pPr>
        <w:spacing w:after="162"/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t xml:space="preserve"> </w:t>
      </w:r>
    </w:p>
    <w:p w14:paraId="0E5D48F7" w14:textId="77777777" w:rsidR="00887FD3" w:rsidRPr="001321D6" w:rsidRDefault="00887FD3" w:rsidP="001321D6"/>
    <w:sectPr w:rsidR="00887FD3" w:rsidRPr="001321D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7746B" w14:textId="77777777" w:rsidR="00C66A1A" w:rsidRDefault="00C66A1A" w:rsidP="00B62147">
      <w:r>
        <w:separator/>
      </w:r>
    </w:p>
  </w:endnote>
  <w:endnote w:type="continuationSeparator" w:id="0">
    <w:p w14:paraId="34DBDBFA" w14:textId="77777777" w:rsidR="00C66A1A" w:rsidRDefault="00C66A1A" w:rsidP="00B6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AEC1C" w14:textId="77777777" w:rsidR="00C66A1A" w:rsidRDefault="00C66A1A" w:rsidP="00B62147">
      <w:r>
        <w:separator/>
      </w:r>
    </w:p>
  </w:footnote>
  <w:footnote w:type="continuationSeparator" w:id="0">
    <w:p w14:paraId="3CD7B2C5" w14:textId="77777777" w:rsidR="00C66A1A" w:rsidRDefault="00C66A1A" w:rsidP="00B62147">
      <w:r>
        <w:continuationSeparator/>
      </w:r>
    </w:p>
  </w:footnote>
  <w:footnote w:id="1">
    <w:p w14:paraId="760D1300" w14:textId="77777777" w:rsidR="00B62147" w:rsidRDefault="00B62147" w:rsidP="00B62147">
      <w:pPr>
        <w:pStyle w:val="FootnoteText"/>
      </w:pPr>
      <w:r w:rsidRPr="004B2248">
        <w:rPr>
          <w:rStyle w:val="FootnoteReference"/>
        </w:rPr>
        <w:footnoteRef/>
      </w:r>
      <w:r w:rsidRPr="004B2248">
        <w:t xml:space="preserve"> (Normative</w:t>
      </w:r>
      <w:r w:rsidRPr="004B2248">
        <w:rPr>
          <w:u w:val="single"/>
        </w:rPr>
        <w:t xml:space="preserve"> </w:t>
      </w:r>
      <w:r>
        <w:t xml:space="preserve">Note) For Commercial Variable Refrigerant Flow (VRF) Multi-Split Air Conditioning and Heat Pump Equipment, use IEER in place of SEER.  </w:t>
      </w:r>
    </w:p>
  </w:footnote>
  <w:footnote w:id="2">
    <w:p w14:paraId="6E9ED24B" w14:textId="77777777" w:rsidR="00B62147" w:rsidRPr="00B62147" w:rsidRDefault="00B62147" w:rsidP="00B62147">
      <w:pPr>
        <w:pStyle w:val="FootnoteText"/>
      </w:pPr>
      <w:r w:rsidRPr="00B62147">
        <w:rPr>
          <w:rStyle w:val="FootnoteReference"/>
        </w:rPr>
        <w:footnoteRef/>
      </w:r>
      <w:r w:rsidRPr="00B62147">
        <w:t xml:space="preserve"> (Informative Note) Such approaches are described in Cutler et al. 2011 and Fairey et al. 2004.</w:t>
      </w:r>
    </w:p>
  </w:footnote>
  <w:footnote w:id="3">
    <w:p w14:paraId="5DF68BA5" w14:textId="77777777" w:rsidR="00B62147" w:rsidRDefault="00B62147" w:rsidP="00B62147">
      <w:pPr>
        <w:pStyle w:val="FootnoteText"/>
      </w:pPr>
      <w:r>
        <w:rPr>
          <w:rStyle w:val="FootnoteReference"/>
        </w:rPr>
        <w:footnoteRef/>
      </w:r>
      <w:r>
        <w:t xml:space="preserve"> (Informative Note) Conversion factors developed by AHRI, and adopted by RESNET.</w:t>
      </w:r>
    </w:p>
  </w:footnote>
  <w:footnote w:id="4">
    <w:p w14:paraId="076E835F" w14:textId="03B3A771" w:rsidR="00135874" w:rsidRPr="009F6732" w:rsidRDefault="00135874">
      <w:pPr>
        <w:pStyle w:val="FootnoteText"/>
        <w:rPr>
          <w:u w:val="single"/>
        </w:rPr>
      </w:pPr>
      <w:r w:rsidRPr="009F6732">
        <w:rPr>
          <w:rStyle w:val="FootnoteReference"/>
          <w:color w:val="FF0000"/>
          <w:u w:val="single"/>
        </w:rPr>
        <w:footnoteRef/>
      </w:r>
      <w:r w:rsidRPr="009F6732">
        <w:rPr>
          <w:color w:val="FF0000"/>
          <w:u w:val="single"/>
        </w:rPr>
        <w:t xml:space="preserve"> EER and EER2 are not required in this Standard for equipment relevant to this table, but the values are shared here for informative purposes.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5FA06" w14:textId="7FC54FFB" w:rsidR="007A7603" w:rsidRDefault="007A7603">
    <w:pPr>
      <w:pStyle w:val="Header"/>
    </w:pPr>
    <w:r>
      <w:t>PDS0</w:t>
    </w:r>
    <w:r w:rsidR="00887FD3">
      <w:t>2</w:t>
    </w:r>
    <w:r>
      <w:t>_Adndm7</w:t>
    </w:r>
    <w:r w:rsidR="00887FD3">
      <w:t>1f_</w:t>
    </w:r>
    <w:r>
      <w:t>SEER2</w:t>
    </w:r>
    <w:r w:rsidR="009F6732">
      <w:t>_webcmnt</w:t>
    </w:r>
    <w:r>
      <w:t>.docx</w:t>
    </w:r>
  </w:p>
  <w:p w14:paraId="1D7F040C" w14:textId="77777777" w:rsidR="007A7603" w:rsidRDefault="007A7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04D5B"/>
    <w:multiLevelType w:val="multilevel"/>
    <w:tmpl w:val="8F8EDD28"/>
    <w:styleLink w:val="RESNETstd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decimal"/>
      <w:pStyle w:val="two"/>
      <w:lvlText w:val="%1.%2."/>
      <w:lvlJc w:val="left"/>
      <w:pPr>
        <w:tabs>
          <w:tab w:val="num" w:pos="504"/>
        </w:tabs>
        <w:ind w:left="0" w:firstLine="0"/>
      </w:pPr>
      <w:rPr>
        <w:rFonts w:hint="default"/>
        <w:b/>
      </w:rPr>
    </w:lvl>
    <w:lvl w:ilvl="2">
      <w:start w:val="1"/>
      <w:numFmt w:val="decimal"/>
      <w:pStyle w:val="three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3">
      <w:start w:val="1"/>
      <w:numFmt w:val="decimal"/>
      <w:pStyle w:val="four"/>
      <w:lvlText w:val="%1.%2.%3.%4."/>
      <w:lvlJc w:val="left"/>
      <w:pPr>
        <w:tabs>
          <w:tab w:val="num" w:pos="1296"/>
        </w:tabs>
        <w:ind w:left="360" w:firstLine="0"/>
      </w:pPr>
      <w:rPr>
        <w:rFonts w:hint="default"/>
        <w:b/>
      </w:rPr>
    </w:lvl>
    <w:lvl w:ilvl="4">
      <w:start w:val="1"/>
      <w:numFmt w:val="decimal"/>
      <w:pStyle w:val="five"/>
      <w:lvlText w:val="%1.%2.%3.%4.%5."/>
      <w:lvlJc w:val="left"/>
      <w:pPr>
        <w:tabs>
          <w:tab w:val="num" w:pos="1800"/>
        </w:tabs>
        <w:ind w:left="720" w:firstLine="0"/>
      </w:pPr>
      <w:rPr>
        <w:rFonts w:hint="default"/>
        <w:b/>
      </w:rPr>
    </w:lvl>
    <w:lvl w:ilvl="5">
      <w:start w:val="1"/>
      <w:numFmt w:val="decimal"/>
      <w:pStyle w:val="sixth"/>
      <w:lvlText w:val="%1.%2.%3.%4.%5.%6."/>
      <w:lvlJc w:val="left"/>
      <w:pPr>
        <w:tabs>
          <w:tab w:val="num" w:pos="2304"/>
        </w:tabs>
        <w:ind w:left="1080" w:firstLine="0"/>
      </w:pPr>
      <w:rPr>
        <w:rFonts w:hint="default"/>
        <w:b/>
      </w:rPr>
    </w:lvl>
    <w:lvl w:ilvl="6">
      <w:start w:val="1"/>
      <w:numFmt w:val="decimal"/>
      <w:pStyle w:val="seven"/>
      <w:lvlText w:val="%1.%2.%3.%4.%5.%6.%7."/>
      <w:lvlJc w:val="left"/>
      <w:pPr>
        <w:tabs>
          <w:tab w:val="num" w:pos="2520"/>
        </w:tabs>
        <w:ind w:left="1440" w:firstLine="0"/>
      </w:pPr>
      <w:rPr>
        <w:rFonts w:hint="default"/>
        <w:b/>
      </w:rPr>
    </w:lvl>
    <w:lvl w:ilvl="7">
      <w:start w:val="1"/>
      <w:numFmt w:val="decimal"/>
      <w:pStyle w:val="eight"/>
      <w:lvlText w:val="%1.%2.%3.%4.%5.%6.%7.%8."/>
      <w:lvlJc w:val="left"/>
      <w:pPr>
        <w:tabs>
          <w:tab w:val="num" w:pos="2880"/>
        </w:tabs>
        <w:ind w:left="180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384"/>
        </w:tabs>
        <w:ind w:left="2160" w:firstLine="0"/>
      </w:pPr>
      <w:rPr>
        <w:rFonts w:hint="default"/>
        <w:b/>
      </w:rPr>
    </w:lvl>
  </w:abstractNum>
  <w:abstractNum w:abstractNumId="1" w15:restartNumberingAfterBreak="0">
    <w:nsid w:val="73BA6872"/>
    <w:multiLevelType w:val="multilevel"/>
    <w:tmpl w:val="8F8EDD28"/>
    <w:numStyleLink w:val="RESNETstd"/>
  </w:abstractNum>
  <w:num w:numId="1" w16cid:durableId="619186355">
    <w:abstractNumId w:val="0"/>
  </w:num>
  <w:num w:numId="2" w16cid:durableId="2077169469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two"/>
        <w:lvlText w:val="%1.%2."/>
        <w:lvlJc w:val="left"/>
        <w:pPr>
          <w:tabs>
            <w:tab w:val="num" w:pos="504"/>
          </w:tabs>
          <w:ind w:left="0" w:firstLine="0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three"/>
        <w:lvlText w:val="%1.%2.%3."/>
        <w:lvlJc w:val="left"/>
        <w:pPr>
          <w:tabs>
            <w:tab w:val="num" w:pos="720"/>
          </w:tabs>
          <w:ind w:left="0" w:firstLine="0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four"/>
        <w:lvlText w:val="%1.%2.%3.%4."/>
        <w:lvlJc w:val="left"/>
        <w:pPr>
          <w:tabs>
            <w:tab w:val="num" w:pos="1296"/>
          </w:tabs>
          <w:ind w:left="360" w:firstLine="0"/>
        </w:pPr>
        <w:rPr>
          <w:rFonts w:hint="default"/>
          <w:b/>
          <w:strike w:val="0"/>
          <w:color w:val="auto"/>
        </w:rPr>
      </w:lvl>
    </w:lvlOverride>
    <w:lvlOverride w:ilvl="4">
      <w:lvl w:ilvl="4">
        <w:start w:val="1"/>
        <w:numFmt w:val="decimal"/>
        <w:pStyle w:val="five"/>
        <w:lvlText w:val="%1.%2.%3.%4.%5."/>
        <w:lvlJc w:val="left"/>
        <w:pPr>
          <w:tabs>
            <w:tab w:val="num" w:pos="1800"/>
          </w:tabs>
          <w:ind w:left="72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pStyle w:val="sixth"/>
        <w:lvlText w:val="%1.%2.%3.%4.%5.%6."/>
        <w:lvlJc w:val="left"/>
        <w:pPr>
          <w:tabs>
            <w:tab w:val="num" w:pos="3474"/>
          </w:tabs>
          <w:ind w:left="2250" w:firstLine="0"/>
        </w:pPr>
        <w:rPr>
          <w:rFonts w:hint="default"/>
          <w:b/>
          <w:strike/>
          <w:color w:val="auto"/>
        </w:rPr>
      </w:lvl>
    </w:lvlOverride>
    <w:lvlOverride w:ilvl="6">
      <w:lvl w:ilvl="6">
        <w:start w:val="1"/>
        <w:numFmt w:val="decimal"/>
        <w:pStyle w:val="seven"/>
        <w:lvlText w:val="%1.%2.%3.%4.%5.%6.%7."/>
        <w:lvlJc w:val="left"/>
        <w:pPr>
          <w:tabs>
            <w:tab w:val="num" w:pos="2520"/>
          </w:tabs>
          <w:ind w:left="1440" w:firstLine="0"/>
        </w:pPr>
        <w:rPr>
          <w:rFonts w:hint="default"/>
          <w:b/>
          <w:strike/>
          <w:color w:val="FF0000"/>
        </w:rPr>
      </w:lvl>
    </w:lvlOverride>
    <w:lvlOverride w:ilvl="7">
      <w:lvl w:ilvl="7">
        <w:start w:val="1"/>
        <w:numFmt w:val="decimal"/>
        <w:pStyle w:val="eight"/>
        <w:lvlText w:val="%1.%2.%3.%4.%5.%6.%7.%8."/>
        <w:lvlJc w:val="left"/>
        <w:pPr>
          <w:tabs>
            <w:tab w:val="num" w:pos="2880"/>
          </w:tabs>
          <w:ind w:left="180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384"/>
          </w:tabs>
          <w:ind w:left="2160" w:firstLine="0"/>
        </w:pPr>
        <w:rPr>
          <w:rFonts w:hint="default"/>
          <w:b/>
        </w:rPr>
      </w:lvl>
    </w:lvlOverride>
  </w:num>
  <w:num w:numId="3" w16cid:durableId="1287615103">
    <w:abstractNumId w:val="1"/>
  </w:num>
  <w:num w:numId="4" w16cid:durableId="925111049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two"/>
        <w:lvlText w:val="%1.%2."/>
        <w:lvlJc w:val="left"/>
        <w:pPr>
          <w:tabs>
            <w:tab w:val="num" w:pos="504"/>
          </w:tabs>
          <w:ind w:left="0" w:firstLine="0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three"/>
        <w:lvlText w:val="%1.%2.%3."/>
        <w:lvlJc w:val="left"/>
        <w:pPr>
          <w:tabs>
            <w:tab w:val="num" w:pos="720"/>
          </w:tabs>
          <w:ind w:left="0" w:firstLine="0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four"/>
        <w:lvlText w:val="%1.%2.%3.%4."/>
        <w:lvlJc w:val="left"/>
        <w:pPr>
          <w:tabs>
            <w:tab w:val="num" w:pos="1296"/>
          </w:tabs>
          <w:ind w:left="360" w:firstLine="0"/>
        </w:pPr>
        <w:rPr>
          <w:rFonts w:hint="default"/>
          <w:b/>
        </w:rPr>
      </w:lvl>
    </w:lvlOverride>
    <w:lvlOverride w:ilvl="4">
      <w:lvl w:ilvl="4">
        <w:start w:val="1"/>
        <w:numFmt w:val="decimal"/>
        <w:pStyle w:val="five"/>
        <w:lvlText w:val="%1.%2.%3.%4.%5."/>
        <w:lvlJc w:val="left"/>
        <w:pPr>
          <w:tabs>
            <w:tab w:val="num" w:pos="1800"/>
          </w:tabs>
          <w:ind w:left="72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pStyle w:val="sixth"/>
        <w:lvlText w:val="%1.%2.%3.%4.%5.%6."/>
        <w:lvlJc w:val="left"/>
        <w:pPr>
          <w:tabs>
            <w:tab w:val="num" w:pos="2304"/>
          </w:tabs>
          <w:ind w:left="1080" w:firstLine="0"/>
        </w:pPr>
        <w:rPr>
          <w:rFonts w:hint="default"/>
          <w:b/>
        </w:rPr>
      </w:lvl>
    </w:lvlOverride>
    <w:lvlOverride w:ilvl="6">
      <w:lvl w:ilvl="6">
        <w:start w:val="1"/>
        <w:numFmt w:val="decimal"/>
        <w:pStyle w:val="seven"/>
        <w:lvlText w:val="%1.%2.%3.%4.%5.%6.%7."/>
        <w:lvlJc w:val="left"/>
        <w:pPr>
          <w:tabs>
            <w:tab w:val="num" w:pos="2520"/>
          </w:tabs>
          <w:ind w:left="1440" w:firstLine="0"/>
        </w:pPr>
        <w:rPr>
          <w:rFonts w:hint="default"/>
          <w:b/>
        </w:rPr>
      </w:lvl>
    </w:lvlOverride>
    <w:lvlOverride w:ilvl="7">
      <w:lvl w:ilvl="7">
        <w:start w:val="1"/>
        <w:numFmt w:val="decimal"/>
        <w:pStyle w:val="eight"/>
        <w:lvlText w:val="%1.%2.%3.%4.%5.%6.%7.%8."/>
        <w:lvlJc w:val="left"/>
        <w:pPr>
          <w:tabs>
            <w:tab w:val="num" w:pos="2880"/>
          </w:tabs>
          <w:ind w:left="180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384"/>
          </w:tabs>
          <w:ind w:left="2160" w:firstLine="0"/>
        </w:pPr>
        <w:rPr>
          <w:rFonts w:hint="default"/>
          <w:b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147"/>
    <w:rsid w:val="0003253D"/>
    <w:rsid w:val="000F3E25"/>
    <w:rsid w:val="001321D6"/>
    <w:rsid w:val="00135874"/>
    <w:rsid w:val="00136F44"/>
    <w:rsid w:val="001647EB"/>
    <w:rsid w:val="001A1113"/>
    <w:rsid w:val="001A176F"/>
    <w:rsid w:val="002E2091"/>
    <w:rsid w:val="002F6431"/>
    <w:rsid w:val="003948E3"/>
    <w:rsid w:val="0045714E"/>
    <w:rsid w:val="0066668F"/>
    <w:rsid w:val="00683AB5"/>
    <w:rsid w:val="00750578"/>
    <w:rsid w:val="007A7603"/>
    <w:rsid w:val="00887FD3"/>
    <w:rsid w:val="008F6D72"/>
    <w:rsid w:val="009D71AF"/>
    <w:rsid w:val="009E2B6F"/>
    <w:rsid w:val="009F6732"/>
    <w:rsid w:val="00A1071A"/>
    <w:rsid w:val="00A540BC"/>
    <w:rsid w:val="00A655EB"/>
    <w:rsid w:val="00AD5D04"/>
    <w:rsid w:val="00B34A0A"/>
    <w:rsid w:val="00B430C7"/>
    <w:rsid w:val="00B456E2"/>
    <w:rsid w:val="00B62147"/>
    <w:rsid w:val="00C56476"/>
    <w:rsid w:val="00C66A1A"/>
    <w:rsid w:val="00D84852"/>
    <w:rsid w:val="00E260B3"/>
    <w:rsid w:val="00EA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B5125"/>
  <w15:chartTrackingRefBased/>
  <w15:docId w15:val="{E078D087-BBDC-42F9-921F-2296CF9A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6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B62147"/>
    <w:pPr>
      <w:keepNext/>
      <w:keepLines/>
      <w:spacing w:before="40"/>
      <w:ind w:left="7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621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B62147"/>
    <w:rPr>
      <w:rFonts w:eastAsia="MS Minch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2147"/>
    <w:rPr>
      <w:rFonts w:ascii="Times New Roman" w:eastAsia="MS Mincho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B62147"/>
    <w:rPr>
      <w:rFonts w:cs="Times New Roman"/>
      <w:vertAlign w:val="superscript"/>
    </w:rPr>
  </w:style>
  <w:style w:type="numbering" w:customStyle="1" w:styleId="RESNETstd">
    <w:name w:val="RESNET_std"/>
    <w:uiPriority w:val="99"/>
    <w:rsid w:val="00B62147"/>
    <w:pPr>
      <w:numPr>
        <w:numId w:val="1"/>
      </w:numPr>
    </w:pPr>
  </w:style>
  <w:style w:type="paragraph" w:customStyle="1" w:styleId="three">
    <w:name w:val="three"/>
    <w:basedOn w:val="Heading3"/>
    <w:link w:val="threeChar"/>
    <w:qFormat/>
    <w:rsid w:val="00B62147"/>
    <w:pPr>
      <w:keepNext w:val="0"/>
      <w:keepLines w:val="0"/>
      <w:numPr>
        <w:ilvl w:val="2"/>
        <w:numId w:val="2"/>
      </w:numPr>
      <w:tabs>
        <w:tab w:val="clear" w:pos="720"/>
      </w:tabs>
      <w:spacing w:before="0" w:after="120"/>
    </w:pPr>
    <w:rPr>
      <w:b w:val="0"/>
    </w:rPr>
  </w:style>
  <w:style w:type="paragraph" w:customStyle="1" w:styleId="four">
    <w:name w:val="four"/>
    <w:basedOn w:val="Heading3"/>
    <w:link w:val="fourChar"/>
    <w:qFormat/>
    <w:rsid w:val="00B62147"/>
    <w:pPr>
      <w:keepNext w:val="0"/>
      <w:keepLines w:val="0"/>
      <w:numPr>
        <w:ilvl w:val="3"/>
        <w:numId w:val="2"/>
      </w:numPr>
      <w:spacing w:before="0" w:after="120"/>
    </w:pPr>
    <w:rPr>
      <w:b w:val="0"/>
    </w:rPr>
  </w:style>
  <w:style w:type="character" w:customStyle="1" w:styleId="threeChar">
    <w:name w:val="three Char"/>
    <w:basedOn w:val="Heading3Char"/>
    <w:link w:val="three"/>
    <w:rsid w:val="00B62147"/>
    <w:rPr>
      <w:rFonts w:ascii="Times New Roman" w:eastAsia="Times New Roman" w:hAnsi="Times New Roman" w:cs="Times New Roman"/>
      <w:b w:val="0"/>
      <w:bCs/>
      <w:sz w:val="24"/>
      <w:szCs w:val="24"/>
    </w:rPr>
  </w:style>
  <w:style w:type="paragraph" w:customStyle="1" w:styleId="five">
    <w:name w:val="five"/>
    <w:basedOn w:val="Heading3"/>
    <w:qFormat/>
    <w:rsid w:val="00B62147"/>
    <w:pPr>
      <w:keepNext w:val="0"/>
      <w:keepLines w:val="0"/>
      <w:numPr>
        <w:ilvl w:val="4"/>
        <w:numId w:val="2"/>
      </w:numPr>
      <w:tabs>
        <w:tab w:val="clear" w:pos="1800"/>
      </w:tabs>
      <w:spacing w:before="0" w:after="120"/>
    </w:pPr>
    <w:rPr>
      <w:b w:val="0"/>
    </w:rPr>
  </w:style>
  <w:style w:type="character" w:customStyle="1" w:styleId="fourChar">
    <w:name w:val="four Char"/>
    <w:basedOn w:val="Heading3Char"/>
    <w:link w:val="four"/>
    <w:rsid w:val="00B62147"/>
    <w:rPr>
      <w:rFonts w:ascii="Times New Roman" w:eastAsia="Times New Roman" w:hAnsi="Times New Roman" w:cs="Times New Roman"/>
      <w:b w:val="0"/>
      <w:bCs/>
      <w:sz w:val="24"/>
      <w:szCs w:val="24"/>
    </w:rPr>
  </w:style>
  <w:style w:type="paragraph" w:customStyle="1" w:styleId="seven">
    <w:name w:val="seven"/>
    <w:basedOn w:val="Normal"/>
    <w:rsid w:val="00B62147"/>
    <w:pPr>
      <w:numPr>
        <w:ilvl w:val="6"/>
        <w:numId w:val="2"/>
      </w:numPr>
      <w:tabs>
        <w:tab w:val="left" w:pos="748"/>
      </w:tabs>
      <w:spacing w:before="120"/>
    </w:pPr>
  </w:style>
  <w:style w:type="paragraph" w:customStyle="1" w:styleId="sixth">
    <w:name w:val="sixth"/>
    <w:basedOn w:val="Heading3"/>
    <w:qFormat/>
    <w:rsid w:val="00B62147"/>
    <w:pPr>
      <w:keepNext w:val="0"/>
      <w:keepLines w:val="0"/>
      <w:numPr>
        <w:ilvl w:val="5"/>
        <w:numId w:val="2"/>
      </w:numPr>
      <w:tabs>
        <w:tab w:val="clear" w:pos="3474"/>
        <w:tab w:val="num" w:pos="2304"/>
      </w:tabs>
      <w:spacing w:before="0" w:after="60"/>
      <w:ind w:left="1080"/>
    </w:pPr>
    <w:rPr>
      <w:b w:val="0"/>
    </w:rPr>
  </w:style>
  <w:style w:type="paragraph" w:customStyle="1" w:styleId="two">
    <w:name w:val="two"/>
    <w:basedOn w:val="Normal"/>
    <w:qFormat/>
    <w:rsid w:val="00B62147"/>
    <w:pPr>
      <w:numPr>
        <w:ilvl w:val="1"/>
        <w:numId w:val="2"/>
      </w:numPr>
      <w:tabs>
        <w:tab w:val="left" w:pos="748"/>
      </w:tabs>
      <w:spacing w:before="120"/>
    </w:pPr>
  </w:style>
  <w:style w:type="paragraph" w:customStyle="1" w:styleId="eight">
    <w:name w:val="eight"/>
    <w:basedOn w:val="Normal"/>
    <w:qFormat/>
    <w:rsid w:val="00B62147"/>
    <w:pPr>
      <w:numPr>
        <w:ilvl w:val="7"/>
        <w:numId w:val="2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B6214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6214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56E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7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6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7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603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E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887FD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ip%20Fairey\Documents\Custom%20Office%20Templates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42ECDE-3B61-6B4F-A4F0-45234B913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7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FSEC/BR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Fairey</dc:creator>
  <cp:keywords/>
  <dc:description/>
  <cp:lastModifiedBy>Rick Dixon</cp:lastModifiedBy>
  <cp:revision>2</cp:revision>
  <dcterms:created xsi:type="dcterms:W3CDTF">2022-12-21T02:03:00Z</dcterms:created>
  <dcterms:modified xsi:type="dcterms:W3CDTF">2022-12-21T02:03:00Z</dcterms:modified>
</cp:coreProperties>
</file>