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F5795" w14:textId="1F58637E" w:rsidR="00C517AF" w:rsidRDefault="6C2A1530" w:rsidP="7C911158">
      <w:pPr>
        <w:jc w:val="center"/>
        <w:rPr>
          <w:rFonts w:ascii="Aptos" w:eastAsia="Aptos" w:hAnsi="Aptos" w:cs="Aptos"/>
          <w:b/>
          <w:bCs/>
          <w:color w:val="000000" w:themeColor="text1"/>
          <w:sz w:val="32"/>
          <w:szCs w:val="32"/>
        </w:rPr>
      </w:pPr>
      <w:r w:rsidRPr="33B9CF91">
        <w:rPr>
          <w:rFonts w:ascii="Aptos" w:eastAsia="Aptos" w:hAnsi="Aptos" w:cs="Aptos"/>
          <w:b/>
          <w:bCs/>
          <w:color w:val="000000" w:themeColor="text1"/>
          <w:sz w:val="31"/>
          <w:szCs w:val="31"/>
        </w:rPr>
        <w:t>RESNET®</w:t>
      </w:r>
      <w:r w:rsidRPr="33B9CF91">
        <w:rPr>
          <w:rFonts w:ascii="Aptos" w:eastAsia="Aptos" w:hAnsi="Aptos" w:cs="Aptos"/>
          <w:b/>
          <w:bCs/>
          <w:color w:val="000000" w:themeColor="text1"/>
          <w:sz w:val="32"/>
          <w:szCs w:val="32"/>
        </w:rPr>
        <w:t xml:space="preserve"> SDC 1550 Technical Task Group Meeting Minutes</w:t>
      </w:r>
    </w:p>
    <w:p w14:paraId="169FBC55" w14:textId="48430063" w:rsidR="00C517AF" w:rsidRDefault="7FE1EB24" w:rsidP="11DE0D35">
      <w:pPr>
        <w:jc w:val="center"/>
        <w:rPr>
          <w:rFonts w:ascii="Aptos" w:eastAsia="Aptos" w:hAnsi="Aptos" w:cs="Aptos"/>
          <w:color w:val="000000" w:themeColor="text1"/>
          <w:sz w:val="28"/>
          <w:szCs w:val="28"/>
        </w:rPr>
      </w:pPr>
      <w:r w:rsidRPr="56E8DDA8">
        <w:rPr>
          <w:rFonts w:ascii="Aptos" w:eastAsia="Aptos" w:hAnsi="Aptos" w:cs="Aptos"/>
          <w:color w:val="000000" w:themeColor="text1"/>
          <w:sz w:val="28"/>
          <w:szCs w:val="28"/>
        </w:rPr>
        <w:t>May</w:t>
      </w:r>
      <w:r w:rsidR="6C2A1530" w:rsidRPr="56E8DDA8">
        <w:rPr>
          <w:rFonts w:ascii="Aptos" w:eastAsia="Aptos" w:hAnsi="Aptos" w:cs="Aptos"/>
          <w:color w:val="000000" w:themeColor="text1"/>
          <w:sz w:val="28"/>
          <w:szCs w:val="28"/>
        </w:rPr>
        <w:t xml:space="preserve"> </w:t>
      </w:r>
      <w:r w:rsidR="68AE85A7" w:rsidRPr="56E8DDA8">
        <w:rPr>
          <w:rFonts w:ascii="Aptos" w:eastAsia="Aptos" w:hAnsi="Aptos" w:cs="Aptos"/>
          <w:color w:val="000000" w:themeColor="text1"/>
          <w:sz w:val="28"/>
          <w:szCs w:val="28"/>
        </w:rPr>
        <w:t>20</w:t>
      </w:r>
      <w:r w:rsidR="6C2A1530" w:rsidRPr="56E8DDA8">
        <w:rPr>
          <w:rFonts w:ascii="Aptos" w:eastAsia="Aptos" w:hAnsi="Aptos" w:cs="Aptos"/>
          <w:color w:val="000000" w:themeColor="text1"/>
          <w:sz w:val="28"/>
          <w:szCs w:val="28"/>
          <w:vertAlign w:val="superscript"/>
        </w:rPr>
        <w:t>th</w:t>
      </w:r>
      <w:r w:rsidR="6C2A1530" w:rsidRPr="56E8DDA8">
        <w:rPr>
          <w:rFonts w:ascii="Aptos" w:eastAsia="Aptos" w:hAnsi="Aptos" w:cs="Aptos"/>
          <w:color w:val="000000" w:themeColor="text1"/>
          <w:sz w:val="28"/>
          <w:szCs w:val="28"/>
        </w:rPr>
        <w:t>, 2025</w:t>
      </w:r>
    </w:p>
    <w:p w14:paraId="40AC4662" w14:textId="3F513C41" w:rsidR="00C517AF" w:rsidRDefault="6C2A1530" w:rsidP="202EA724">
      <w:pPr>
        <w:jc w:val="center"/>
        <w:rPr>
          <w:rFonts w:ascii="Aptos" w:eastAsia="Aptos" w:hAnsi="Aptos" w:cs="Aptos"/>
          <w:color w:val="000000" w:themeColor="text1"/>
          <w:sz w:val="28"/>
          <w:szCs w:val="28"/>
        </w:rPr>
      </w:pPr>
      <w:r w:rsidRPr="202EA724">
        <w:rPr>
          <w:rFonts w:ascii="Aptos" w:eastAsia="Aptos" w:hAnsi="Aptos" w:cs="Aptos"/>
          <w:color w:val="000000" w:themeColor="text1"/>
          <w:sz w:val="28"/>
          <w:szCs w:val="28"/>
        </w:rPr>
        <w:t>1</w:t>
      </w:r>
      <w:r w:rsidR="773497B0" w:rsidRPr="202EA724">
        <w:rPr>
          <w:rFonts w:ascii="Aptos" w:eastAsia="Aptos" w:hAnsi="Aptos" w:cs="Aptos"/>
          <w:color w:val="000000" w:themeColor="text1"/>
          <w:sz w:val="28"/>
          <w:szCs w:val="28"/>
        </w:rPr>
        <w:t>2:30 P</w:t>
      </w:r>
      <w:r w:rsidRPr="202EA724">
        <w:rPr>
          <w:rFonts w:ascii="Aptos" w:eastAsia="Aptos" w:hAnsi="Aptos" w:cs="Aptos"/>
          <w:color w:val="000000" w:themeColor="text1"/>
          <w:sz w:val="28"/>
          <w:szCs w:val="28"/>
        </w:rPr>
        <w:t>M – 1</w:t>
      </w:r>
      <w:r w:rsidR="2176331B" w:rsidRPr="202EA724">
        <w:rPr>
          <w:rFonts w:ascii="Aptos" w:eastAsia="Aptos" w:hAnsi="Aptos" w:cs="Aptos"/>
          <w:color w:val="000000" w:themeColor="text1"/>
          <w:sz w:val="28"/>
          <w:szCs w:val="28"/>
        </w:rPr>
        <w:t>:45</w:t>
      </w:r>
      <w:r w:rsidRPr="202EA724">
        <w:rPr>
          <w:rFonts w:ascii="Aptos" w:eastAsia="Aptos" w:hAnsi="Aptos" w:cs="Aptos"/>
          <w:color w:val="000000" w:themeColor="text1"/>
          <w:sz w:val="28"/>
          <w:szCs w:val="28"/>
        </w:rPr>
        <w:t xml:space="preserve"> PM ET</w:t>
      </w:r>
    </w:p>
    <w:p w14:paraId="68C2D90D" w14:textId="6ED6A147" w:rsidR="00C517AF" w:rsidRDefault="6C2A1530" w:rsidP="05DC5165">
      <w:pPr>
        <w:jc w:val="center"/>
        <w:rPr>
          <w:sz w:val="28"/>
          <w:szCs w:val="28"/>
        </w:rPr>
      </w:pPr>
      <w:hyperlink r:id="rId8">
        <w:r w:rsidRPr="33B9CF91">
          <w:rPr>
            <w:rStyle w:val="Hyperlink"/>
            <w:rFonts w:ascii="Aptos" w:eastAsia="Aptos" w:hAnsi="Aptos" w:cs="Aptos"/>
            <w:sz w:val="28"/>
            <w:szCs w:val="28"/>
          </w:rPr>
          <w:t>MEETING RECORDING</w:t>
        </w:r>
        <w:r>
          <w:br/>
        </w:r>
      </w:hyperlink>
      <w:r w:rsidR="557EFF3E" w:rsidRPr="33B9CF91">
        <w:rPr>
          <w:sz w:val="28"/>
          <w:szCs w:val="28"/>
        </w:rPr>
        <w:t>Passcode: Cbfpl$79</w:t>
      </w:r>
    </w:p>
    <w:p w14:paraId="2C078E63" w14:textId="093389A1" w:rsidR="00C517AF" w:rsidRDefault="6C2A1530" w:rsidP="11BFAC22">
      <w:r w:rsidRPr="11BFAC22">
        <w:t>Present:</w:t>
      </w:r>
      <w:r w:rsidR="3B25C778" w:rsidRPr="11BFAC22">
        <w:t xml:space="preserve"> </w:t>
      </w:r>
      <w:r w:rsidR="31985FDE" w:rsidRPr="11BFAC22">
        <w:t xml:space="preserve">Brian Shanks, Philip Squires, Amanda Hickman, Ariel </w:t>
      </w:r>
      <w:r w:rsidR="481A2AC1" w:rsidRPr="11BFAC22">
        <w:t xml:space="preserve">Brenner, </w:t>
      </w:r>
      <w:r w:rsidR="3CC47487" w:rsidRPr="11BFAC22">
        <w:t>Alexis Minniti, Chris Magwood, Jeff Bradley, Mike Browne, Erin Bordelon,</w:t>
      </w:r>
      <w:r w:rsidR="075B72D5" w:rsidRPr="11BFAC22">
        <w:t xml:space="preserve"> Tracy Huynh, Yatharth </w:t>
      </w:r>
      <w:proofErr w:type="spellStart"/>
      <w:r w:rsidR="075B72D5" w:rsidRPr="11BFAC22">
        <w:t>Vaishnani</w:t>
      </w:r>
      <w:proofErr w:type="spellEnd"/>
      <w:r w:rsidR="075B72D5" w:rsidRPr="11BFAC22">
        <w:t xml:space="preserve">, </w:t>
      </w:r>
      <w:r w:rsidR="498886A5" w:rsidRPr="11BFAC22">
        <w:t xml:space="preserve">Jacob </w:t>
      </w:r>
      <w:proofErr w:type="spellStart"/>
      <w:r w:rsidR="498886A5" w:rsidRPr="11BFAC22">
        <w:t>Racusin</w:t>
      </w:r>
      <w:proofErr w:type="spellEnd"/>
      <w:r w:rsidR="1C62EE2A" w:rsidRPr="11BFAC22">
        <w:t xml:space="preserve">, </w:t>
      </w:r>
      <w:r w:rsidR="72CB1FBA" w:rsidRPr="11BFAC22">
        <w:t>Charlie Haack</w:t>
      </w:r>
      <w:r w:rsidR="28F0DC85" w:rsidRPr="11BFAC22">
        <w:t>, Mathew Cooper</w:t>
      </w:r>
      <w:r w:rsidR="2BE405B3" w:rsidRPr="11BFAC22">
        <w:t>, Andy Buccino, Karla Butterfield</w:t>
      </w:r>
    </w:p>
    <w:p w14:paraId="501A128D" w14:textId="2C2DA9BB" w:rsidR="6C2A1530" w:rsidRDefault="6C2A1530" w:rsidP="11BFAC22">
      <w:r w:rsidRPr="11BFAC22">
        <w:t>Staff:</w:t>
      </w:r>
      <w:r w:rsidR="49ADD2EE" w:rsidRPr="11BFAC22">
        <w:t xml:space="preserve"> </w:t>
      </w:r>
      <w:r w:rsidR="1D9148E0" w:rsidRPr="11BFAC22">
        <w:t>Katie Stewart</w:t>
      </w:r>
    </w:p>
    <w:p w14:paraId="2D96ACC7" w14:textId="3D1D0D96" w:rsidR="5453497E" w:rsidRPr="00187447" w:rsidRDefault="00613A13" w:rsidP="11BFAC22">
      <w:r>
        <w:t>Meeting began at</w:t>
      </w:r>
      <w:r w:rsidR="6C2A1530">
        <w:t xml:space="preserve"> </w:t>
      </w:r>
      <w:r w:rsidR="22C763F7">
        <w:t>12:34 PM ET</w:t>
      </w:r>
    </w:p>
    <w:p w14:paraId="0BF8C6E6" w14:textId="1BD5AC4B" w:rsidR="6C2A1530" w:rsidRDefault="6C2A1530" w:rsidP="11BFAC22">
      <w:pPr>
        <w:spacing w:line="240" w:lineRule="auto"/>
      </w:pPr>
      <w:hyperlink r:id="rId9">
        <w:r w:rsidRPr="11BFAC22">
          <w:rPr>
            <w:rStyle w:val="Hyperlink"/>
          </w:rPr>
          <w:t>Link to Comments</w:t>
        </w:r>
      </w:hyperlink>
    </w:p>
    <w:p w14:paraId="71102AF3" w14:textId="4A0B24F9" w:rsidR="6C2A1530" w:rsidRDefault="6C2A1530" w:rsidP="11BFAC22">
      <w:pPr>
        <w:spacing w:line="240" w:lineRule="auto"/>
        <w:rPr>
          <w:color w:val="000000" w:themeColor="text1"/>
        </w:rPr>
      </w:pPr>
      <w:hyperlink r:id="rId10">
        <w:r w:rsidRPr="11BFAC22">
          <w:rPr>
            <w:rStyle w:val="Hyperlink"/>
          </w:rPr>
          <w:t>Link to Draft Standard PDS-01</w:t>
        </w:r>
      </w:hyperlink>
    </w:p>
    <w:p w14:paraId="503700C5" w14:textId="109FD541" w:rsidR="6C2A1530" w:rsidRDefault="6C2A1530" w:rsidP="11BFAC22">
      <w:pPr>
        <w:spacing w:line="240" w:lineRule="auto"/>
        <w:rPr>
          <w:b/>
          <w:bCs/>
          <w:color w:val="000000" w:themeColor="text1"/>
        </w:rPr>
      </w:pPr>
      <w:r w:rsidRPr="11BFAC22">
        <w:rPr>
          <w:color w:val="000000" w:themeColor="text1"/>
        </w:rPr>
        <w:t xml:space="preserve">Resume addressing </w:t>
      </w:r>
      <w:r w:rsidR="1CA6405A" w:rsidRPr="327667A3">
        <w:rPr>
          <w:color w:val="000000" w:themeColor="text1"/>
        </w:rPr>
        <w:t>Highlighted</w:t>
      </w:r>
      <w:r w:rsidR="5CDA0434" w:rsidRPr="327667A3">
        <w:rPr>
          <w:color w:val="000000" w:themeColor="text1"/>
        </w:rPr>
        <w:t xml:space="preserve"> Rows</w:t>
      </w:r>
    </w:p>
    <w:p w14:paraId="3B968308" w14:textId="768D27A3" w:rsidR="5DE3FB64" w:rsidRDefault="5CDA0434" w:rsidP="11BFAC22">
      <w:pPr>
        <w:spacing w:line="240" w:lineRule="auto"/>
        <w:rPr>
          <w:b/>
          <w:bCs/>
          <w:color w:val="000000" w:themeColor="text1"/>
        </w:rPr>
      </w:pPr>
      <w:r w:rsidRPr="11BFAC22">
        <w:rPr>
          <w:b/>
          <w:bCs/>
          <w:color w:val="000000" w:themeColor="text1"/>
        </w:rPr>
        <w:t>Row 5</w:t>
      </w:r>
    </w:p>
    <w:p w14:paraId="24F50EC5" w14:textId="608253C7" w:rsidR="1BA20944" w:rsidRDefault="1BA20944" w:rsidP="11BFAC22">
      <w:pPr>
        <w:spacing w:line="240" w:lineRule="auto"/>
        <w:rPr>
          <w:color w:val="000000" w:themeColor="text1"/>
        </w:rPr>
      </w:pPr>
      <w:r w:rsidRPr="11BFAC22">
        <w:rPr>
          <w:color w:val="000000" w:themeColor="text1"/>
        </w:rPr>
        <w:t>A general comment was made suggesting the addition of footnotes or an appendix citing sources for tables. This was passed on</w:t>
      </w:r>
      <w:r w:rsidR="1582242C" w:rsidRPr="11BFAC22" w:rsidDel="00ED0E63">
        <w:rPr>
          <w:color w:val="000000" w:themeColor="text1"/>
        </w:rPr>
        <w:t xml:space="preserve"> </w:t>
      </w:r>
      <w:r w:rsidRPr="11BFAC22">
        <w:rPr>
          <w:color w:val="000000" w:themeColor="text1"/>
        </w:rPr>
        <w:t xml:space="preserve">to Rick Dixon, whose response (see Column L) noted that including such references is not typical in standards. However, </w:t>
      </w:r>
      <w:r w:rsidR="73CC5B31" w:rsidRPr="11BFAC22">
        <w:rPr>
          <w:color w:val="000000" w:themeColor="text1"/>
        </w:rPr>
        <w:t xml:space="preserve">the committee </w:t>
      </w:r>
      <w:r w:rsidRPr="11BFAC22">
        <w:rPr>
          <w:color w:val="000000" w:themeColor="text1"/>
        </w:rPr>
        <w:t>could consider adding an informative note or publishing a separate external report. This would not be included in the standard itself.</w:t>
      </w:r>
    </w:p>
    <w:p w14:paraId="11F35F52" w14:textId="12D4E8C9" w:rsidR="5CDA0434" w:rsidRDefault="5CDA0434" w:rsidP="11BFAC22">
      <w:pPr>
        <w:spacing w:line="240" w:lineRule="auto"/>
        <w:rPr>
          <w:color w:val="000000" w:themeColor="text1"/>
        </w:rPr>
      </w:pPr>
      <w:r w:rsidRPr="11BFAC22">
        <w:rPr>
          <w:color w:val="000000" w:themeColor="text1"/>
        </w:rPr>
        <w:t>Rejected by the committee.</w:t>
      </w:r>
    </w:p>
    <w:p w14:paraId="24792ED8" w14:textId="25A836F0" w:rsidR="5DE3FB64" w:rsidRDefault="5CDA0434" w:rsidP="11BFAC22">
      <w:pPr>
        <w:spacing w:line="240" w:lineRule="auto"/>
        <w:rPr>
          <w:b/>
          <w:bCs/>
          <w:color w:val="000000" w:themeColor="text1"/>
        </w:rPr>
      </w:pPr>
      <w:r w:rsidRPr="11BFAC22">
        <w:rPr>
          <w:b/>
          <w:bCs/>
          <w:color w:val="000000" w:themeColor="text1"/>
        </w:rPr>
        <w:t>Row 23</w:t>
      </w:r>
    </w:p>
    <w:p w14:paraId="283F21F8" w14:textId="0C2780DB" w:rsidR="128B4C3A" w:rsidRDefault="128B4C3A" w:rsidP="11BFAC22">
      <w:pPr>
        <w:spacing w:line="240" w:lineRule="auto"/>
        <w:rPr>
          <w:color w:val="000000" w:themeColor="text1"/>
        </w:rPr>
      </w:pPr>
      <w:r w:rsidRPr="11BFAC22">
        <w:rPr>
          <w:color w:val="000000" w:themeColor="text1"/>
        </w:rPr>
        <w:t xml:space="preserve">The committee reviewed whether the commenter’s general suggestion </w:t>
      </w:r>
      <w:r w:rsidR="0009186F">
        <w:rPr>
          <w:color w:val="000000" w:themeColor="text1"/>
        </w:rPr>
        <w:t>had merit</w:t>
      </w:r>
      <w:r w:rsidRPr="11BFAC22">
        <w:rPr>
          <w:color w:val="000000" w:themeColor="text1"/>
        </w:rPr>
        <w:t>, though the group opted not to use their exact wording. The issue pertains to Section 5.4 regarding structured language for products not included in minimum assessed products. The consensus was that such products should not be included in the standard's main reporting but must be identified separately. See the revised text in Column L, which addresses this in the appendix.</w:t>
      </w:r>
    </w:p>
    <w:p w14:paraId="6A2A3C39" w14:textId="4BBFBE41" w:rsidR="128B4C3A" w:rsidRDefault="128B4C3A" w:rsidP="11BFAC22">
      <w:pPr>
        <w:spacing w:line="240" w:lineRule="auto"/>
        <w:rPr>
          <w:color w:val="000000" w:themeColor="text1"/>
        </w:rPr>
      </w:pPr>
      <w:r w:rsidRPr="11BFAC22">
        <w:rPr>
          <w:color w:val="000000" w:themeColor="text1"/>
        </w:rPr>
        <w:t>Accepted in principle.</w:t>
      </w:r>
    </w:p>
    <w:p w14:paraId="097E56AF" w14:textId="45675DE0" w:rsidR="4632AFB2" w:rsidRDefault="4632AFB2" w:rsidP="11BFAC22">
      <w:pPr>
        <w:spacing w:line="240" w:lineRule="auto"/>
        <w:rPr>
          <w:b/>
          <w:bCs/>
          <w:color w:val="000000" w:themeColor="text1"/>
        </w:rPr>
      </w:pPr>
      <w:r w:rsidRPr="11BFAC22">
        <w:rPr>
          <w:b/>
          <w:bCs/>
          <w:color w:val="000000" w:themeColor="text1"/>
        </w:rPr>
        <w:t>Row 39</w:t>
      </w:r>
    </w:p>
    <w:p w14:paraId="647C4C17" w14:textId="70368967" w:rsidR="7A1CF7DE" w:rsidRDefault="7A1CF7DE" w:rsidP="11BFAC22">
      <w:pPr>
        <w:spacing w:line="240" w:lineRule="auto"/>
        <w:rPr>
          <w:color w:val="000000" w:themeColor="text1"/>
        </w:rPr>
      </w:pPr>
      <w:r w:rsidRPr="11BFAC22">
        <w:rPr>
          <w:color w:val="000000" w:themeColor="text1"/>
        </w:rPr>
        <w:t xml:space="preserve">The comment addressed the waste values table. </w:t>
      </w:r>
      <w:r w:rsidR="40B32E86" w:rsidRPr="11BFAC22">
        <w:rPr>
          <w:color w:val="000000" w:themeColor="text1"/>
        </w:rPr>
        <w:t>The group</w:t>
      </w:r>
      <w:r w:rsidRPr="11BFAC22">
        <w:rPr>
          <w:color w:val="000000" w:themeColor="text1"/>
        </w:rPr>
        <w:t xml:space="preserve"> used waste factors from the ASRE 240P standard and Rick’s UK-based live carbon standard. The commenter suggested insulation material be listed at 8%, but reviewed discussions showed variance. The current </w:t>
      </w:r>
      <w:r w:rsidRPr="11BFAC22">
        <w:rPr>
          <w:color w:val="000000" w:themeColor="text1"/>
        </w:rPr>
        <w:lastRenderedPageBreak/>
        <w:t>table specifies a default 5% waste rate for materials not explicitly listed. The group decided to retain this language for consistency.</w:t>
      </w:r>
    </w:p>
    <w:p w14:paraId="322DAEA4" w14:textId="0F60003A" w:rsidR="22D149BC" w:rsidRDefault="22D149BC" w:rsidP="11BFAC22">
      <w:pPr>
        <w:spacing w:line="240" w:lineRule="auto"/>
        <w:rPr>
          <w:color w:val="000000" w:themeColor="text1"/>
        </w:rPr>
      </w:pPr>
      <w:r w:rsidRPr="11BFAC22">
        <w:rPr>
          <w:color w:val="000000" w:themeColor="text1"/>
        </w:rPr>
        <w:t>Rejected by the committee.</w:t>
      </w:r>
    </w:p>
    <w:p w14:paraId="6D325F4E" w14:textId="028A5909" w:rsidR="195FCCFF" w:rsidRDefault="195FCCFF" w:rsidP="11BFAC22">
      <w:pPr>
        <w:spacing w:line="240" w:lineRule="auto"/>
        <w:rPr>
          <w:b/>
          <w:bCs/>
          <w:color w:val="000000" w:themeColor="text1"/>
        </w:rPr>
      </w:pPr>
      <w:r w:rsidRPr="11BFAC22">
        <w:rPr>
          <w:b/>
          <w:bCs/>
          <w:color w:val="000000" w:themeColor="text1"/>
        </w:rPr>
        <w:t>Row 44</w:t>
      </w:r>
    </w:p>
    <w:p w14:paraId="557E501E" w14:textId="07AE6853" w:rsidR="47498EA0" w:rsidRDefault="47498EA0" w:rsidP="11BFAC22">
      <w:pPr>
        <w:spacing w:line="240" w:lineRule="auto"/>
        <w:rPr>
          <w:color w:val="000000" w:themeColor="text1"/>
        </w:rPr>
      </w:pPr>
      <w:r w:rsidRPr="11BFAC22">
        <w:rPr>
          <w:color w:val="000000" w:themeColor="text1"/>
        </w:rPr>
        <w:t>Another comment on the waste section suggested allowing custom waste rates, provided they are supported by documentation. Language was added (see Column L, in blue) stating that confirmed assessments may use custom rates if supported by documentation of specific mass removed from the site.</w:t>
      </w:r>
    </w:p>
    <w:p w14:paraId="223BB7D4" w14:textId="168B5BB5" w:rsidR="47498EA0" w:rsidRDefault="47498EA0" w:rsidP="11BFAC22">
      <w:pPr>
        <w:spacing w:line="240" w:lineRule="auto"/>
        <w:rPr>
          <w:color w:val="000000" w:themeColor="text1"/>
        </w:rPr>
      </w:pPr>
      <w:r w:rsidRPr="11BFAC22">
        <w:rPr>
          <w:color w:val="000000" w:themeColor="text1"/>
        </w:rPr>
        <w:t>Accepted in principle.</w:t>
      </w:r>
    </w:p>
    <w:p w14:paraId="27DB9F4B" w14:textId="5618C725" w:rsidR="74D58A43" w:rsidRDefault="74D58A43" w:rsidP="11BFAC22">
      <w:pPr>
        <w:spacing w:line="240" w:lineRule="auto"/>
        <w:rPr>
          <w:b/>
          <w:bCs/>
          <w:color w:val="000000" w:themeColor="text1"/>
        </w:rPr>
      </w:pPr>
      <w:r w:rsidRPr="11BFAC22">
        <w:rPr>
          <w:b/>
          <w:bCs/>
          <w:color w:val="000000" w:themeColor="text1"/>
        </w:rPr>
        <w:t>Row</w:t>
      </w:r>
      <w:r w:rsidR="00BD5223">
        <w:rPr>
          <w:b/>
          <w:bCs/>
          <w:color w:val="000000" w:themeColor="text1"/>
        </w:rPr>
        <w:t>s</w:t>
      </w:r>
      <w:r w:rsidRPr="11BFAC22">
        <w:rPr>
          <w:b/>
          <w:bCs/>
          <w:color w:val="000000" w:themeColor="text1"/>
        </w:rPr>
        <w:t xml:space="preserve"> </w:t>
      </w:r>
      <w:r w:rsidR="7998B6A1" w:rsidRPr="11BFAC22">
        <w:rPr>
          <w:b/>
          <w:bCs/>
          <w:color w:val="000000" w:themeColor="text1"/>
        </w:rPr>
        <w:t>66–68 (Document Retention)</w:t>
      </w:r>
    </w:p>
    <w:p w14:paraId="1D293ABB" w14:textId="2824B8C6" w:rsidR="7998B6A1" w:rsidRDefault="7998B6A1" w:rsidP="11BFAC22">
      <w:pPr>
        <w:spacing w:line="240" w:lineRule="auto"/>
        <w:rPr>
          <w:color w:val="000000" w:themeColor="text1"/>
        </w:rPr>
      </w:pPr>
      <w:r w:rsidRPr="11BFAC22">
        <w:rPr>
          <w:color w:val="000000" w:themeColor="text1"/>
        </w:rPr>
        <w:t xml:space="preserve">Regarding the length of time documents must be retained post-assessment, the group agreed to remove these requirements from this standard. Document retention is already covered in other RESNET standards. Brian </w:t>
      </w:r>
      <w:r w:rsidR="23BB7843" w:rsidRPr="11BFAC22">
        <w:rPr>
          <w:color w:val="000000" w:themeColor="text1"/>
        </w:rPr>
        <w:t xml:space="preserve">Shanks </w:t>
      </w:r>
      <w:r w:rsidRPr="11BFAC22">
        <w:rPr>
          <w:color w:val="000000" w:themeColor="text1"/>
        </w:rPr>
        <w:t>supported this removal, and the committee agreed to eliminate Section 7.2.3.</w:t>
      </w:r>
    </w:p>
    <w:p w14:paraId="17494CBE" w14:textId="06C173D8" w:rsidR="7998B6A1" w:rsidRDefault="7998B6A1" w:rsidP="11BFAC22">
      <w:pPr>
        <w:spacing w:line="240" w:lineRule="auto"/>
        <w:rPr>
          <w:color w:val="000000" w:themeColor="text1"/>
        </w:rPr>
      </w:pPr>
      <w:r w:rsidRPr="11BFAC22">
        <w:rPr>
          <w:color w:val="000000" w:themeColor="text1"/>
        </w:rPr>
        <w:t>Accepted in principle.</w:t>
      </w:r>
    </w:p>
    <w:p w14:paraId="4FF50D1B" w14:textId="0C3F18C1" w:rsidR="335C2B24" w:rsidRDefault="335C2B24" w:rsidP="11BFAC22">
      <w:pPr>
        <w:spacing w:line="240" w:lineRule="auto"/>
        <w:rPr>
          <w:b/>
          <w:bCs/>
          <w:color w:val="000000" w:themeColor="text1"/>
        </w:rPr>
      </w:pPr>
      <w:r w:rsidRPr="11BFAC22">
        <w:rPr>
          <w:b/>
          <w:bCs/>
          <w:color w:val="000000" w:themeColor="text1"/>
        </w:rPr>
        <w:t>Row 67</w:t>
      </w:r>
    </w:p>
    <w:p w14:paraId="3E741BF6" w14:textId="7B64F9AD" w:rsidR="42D21A19" w:rsidRDefault="42D21A19" w:rsidP="11BFAC22">
      <w:pPr>
        <w:spacing w:line="240" w:lineRule="auto"/>
        <w:rPr>
          <w:color w:val="000000" w:themeColor="text1"/>
        </w:rPr>
      </w:pPr>
      <w:r w:rsidRPr="11BFAC22">
        <w:rPr>
          <w:color w:val="000000" w:themeColor="text1"/>
        </w:rPr>
        <w:t>The committee agreed to remove the requirement for documentation destruction. Instead, it will refer to the record retention policy of the adopting entity.</w:t>
      </w:r>
    </w:p>
    <w:p w14:paraId="4ADEADDC" w14:textId="07DD96A4" w:rsidR="42D21A19" w:rsidRDefault="42D21A19" w:rsidP="11BFAC22">
      <w:pPr>
        <w:spacing w:line="240" w:lineRule="auto"/>
        <w:rPr>
          <w:color w:val="000000" w:themeColor="text1"/>
        </w:rPr>
      </w:pPr>
      <w:r w:rsidRPr="11BFAC22">
        <w:rPr>
          <w:color w:val="000000" w:themeColor="text1"/>
        </w:rPr>
        <w:t>Accepted by the committee.</w:t>
      </w:r>
    </w:p>
    <w:p w14:paraId="2816374D" w14:textId="26A796B2" w:rsidR="335C2B24" w:rsidRDefault="335C2B24" w:rsidP="11BFAC22">
      <w:pPr>
        <w:spacing w:line="240" w:lineRule="auto"/>
        <w:rPr>
          <w:b/>
          <w:bCs/>
          <w:color w:val="000000" w:themeColor="text1"/>
        </w:rPr>
      </w:pPr>
      <w:r w:rsidRPr="11BFAC22">
        <w:rPr>
          <w:b/>
          <w:bCs/>
          <w:color w:val="000000" w:themeColor="text1"/>
        </w:rPr>
        <w:t>Row 68</w:t>
      </w:r>
    </w:p>
    <w:p w14:paraId="67FDC318" w14:textId="49CB5672" w:rsidR="02768EC1" w:rsidRDefault="00AA59C8" w:rsidP="11BFAC22">
      <w:pPr>
        <w:spacing w:line="240" w:lineRule="auto"/>
        <w:rPr>
          <w:color w:val="000000" w:themeColor="text1"/>
        </w:rPr>
      </w:pPr>
      <w:r w:rsidRPr="28993252">
        <w:rPr>
          <w:color w:val="000000" w:themeColor="text1"/>
        </w:rPr>
        <w:t>See</w:t>
      </w:r>
      <w:r>
        <w:rPr>
          <w:color w:val="000000" w:themeColor="text1"/>
        </w:rPr>
        <w:t xml:space="preserve"> Row 67</w:t>
      </w:r>
      <w:r w:rsidR="02768EC1" w:rsidRPr="11BFAC22">
        <w:rPr>
          <w:color w:val="000000" w:themeColor="text1"/>
        </w:rPr>
        <w:t xml:space="preserve"> — the requirement for destruction of documents will be removed and deferred to the adopting entity’s policy.</w:t>
      </w:r>
    </w:p>
    <w:p w14:paraId="0CF8B1EB" w14:textId="0C60E18E" w:rsidR="02768EC1" w:rsidRDefault="02768EC1" w:rsidP="11BFAC22">
      <w:pPr>
        <w:spacing w:line="240" w:lineRule="auto"/>
        <w:rPr>
          <w:color w:val="000000" w:themeColor="text1"/>
        </w:rPr>
      </w:pPr>
      <w:r w:rsidRPr="11BFAC22">
        <w:rPr>
          <w:color w:val="000000" w:themeColor="text1"/>
        </w:rPr>
        <w:t>Accepted in principle.</w:t>
      </w:r>
    </w:p>
    <w:p w14:paraId="0E04BFE4" w14:textId="296B1F03" w:rsidR="6FE4C770" w:rsidRDefault="6FE4C770" w:rsidP="11BFAC22">
      <w:pPr>
        <w:spacing w:line="240" w:lineRule="auto"/>
        <w:rPr>
          <w:b/>
          <w:bCs/>
          <w:color w:val="000000" w:themeColor="text1"/>
        </w:rPr>
      </w:pPr>
      <w:r w:rsidRPr="11BFAC22">
        <w:rPr>
          <w:b/>
          <w:bCs/>
          <w:color w:val="000000" w:themeColor="text1"/>
        </w:rPr>
        <w:t xml:space="preserve">Row 82 </w:t>
      </w:r>
    </w:p>
    <w:p w14:paraId="59A38AC0" w14:textId="15090011" w:rsidR="52B6C4B8" w:rsidRDefault="52B6C4B8" w:rsidP="11BFAC22">
      <w:pPr>
        <w:spacing w:line="240" w:lineRule="auto"/>
        <w:rPr>
          <w:color w:val="000000" w:themeColor="text1"/>
        </w:rPr>
      </w:pPr>
      <w:r w:rsidRPr="11BFAC22">
        <w:rPr>
          <w:color w:val="000000" w:themeColor="text1"/>
        </w:rPr>
        <w:t>Duplicate of a previous comment allowing custom waste rates with supporting documentation.</w:t>
      </w:r>
    </w:p>
    <w:p w14:paraId="686D8486" w14:textId="2F916FFE" w:rsidR="52B6C4B8" w:rsidRDefault="52B6C4B8" w:rsidP="11BFAC22">
      <w:pPr>
        <w:spacing w:line="240" w:lineRule="auto"/>
        <w:rPr>
          <w:color w:val="000000" w:themeColor="text1"/>
        </w:rPr>
      </w:pPr>
      <w:r w:rsidRPr="11BFAC22">
        <w:rPr>
          <w:color w:val="000000" w:themeColor="text1"/>
        </w:rPr>
        <w:t>Accepted in principle.</w:t>
      </w:r>
    </w:p>
    <w:p w14:paraId="3F43A34C" w14:textId="4376096E" w:rsidR="6FE4C770" w:rsidRDefault="6FE4C770" w:rsidP="11BFAC22">
      <w:pPr>
        <w:spacing w:line="240" w:lineRule="auto"/>
        <w:rPr>
          <w:b/>
          <w:bCs/>
          <w:color w:val="000000" w:themeColor="text1"/>
        </w:rPr>
      </w:pPr>
      <w:r w:rsidRPr="11BFAC22">
        <w:rPr>
          <w:b/>
          <w:bCs/>
          <w:color w:val="000000" w:themeColor="text1"/>
        </w:rPr>
        <w:t>Row 87</w:t>
      </w:r>
      <w:r w:rsidR="36BD5CC4" w:rsidRPr="11BFAC22">
        <w:rPr>
          <w:b/>
          <w:bCs/>
          <w:color w:val="000000" w:themeColor="text1"/>
        </w:rPr>
        <w:t xml:space="preserve"> – </w:t>
      </w:r>
      <w:r w:rsidR="0CEDDBE0" w:rsidRPr="11BFAC22">
        <w:rPr>
          <w:b/>
          <w:bCs/>
          <w:color w:val="000000" w:themeColor="text1"/>
        </w:rPr>
        <w:t>C</w:t>
      </w:r>
      <w:r w:rsidR="36BD5CC4" w:rsidRPr="11BFAC22">
        <w:rPr>
          <w:b/>
          <w:bCs/>
          <w:color w:val="000000" w:themeColor="text1"/>
        </w:rPr>
        <w:t>omment 93.2</w:t>
      </w:r>
    </w:p>
    <w:p w14:paraId="29D5F741" w14:textId="3CD800B9" w:rsidR="084E51F9" w:rsidRDefault="084E51F9" w:rsidP="11BFAC22">
      <w:pPr>
        <w:spacing w:line="240" w:lineRule="auto"/>
        <w:rPr>
          <w:color w:val="000000" w:themeColor="text1"/>
        </w:rPr>
      </w:pPr>
      <w:r w:rsidRPr="11BFAC22">
        <w:rPr>
          <w:color w:val="000000" w:themeColor="text1"/>
        </w:rPr>
        <w:t>A detailed comment regarding Appendix 10.5 and the limitations of the standard. The original section was significantly revised based on feedback — shortened, and specific justifications and outdated references were removed. The section now reflects the omission of end-of-life considerations and no longer includes speculative language about future module expansions. A5.3 was added, along with updates from other comments.</w:t>
      </w:r>
    </w:p>
    <w:p w14:paraId="6CA2DA3E" w14:textId="56595798" w:rsidR="084E51F9" w:rsidRDefault="084E51F9" w:rsidP="11BFAC22">
      <w:pPr>
        <w:spacing w:line="240" w:lineRule="auto"/>
        <w:rPr>
          <w:color w:val="000000" w:themeColor="text1"/>
        </w:rPr>
      </w:pPr>
      <w:r w:rsidRPr="11BFAC22">
        <w:rPr>
          <w:color w:val="000000" w:themeColor="text1"/>
        </w:rPr>
        <w:lastRenderedPageBreak/>
        <w:t>Accepted in principle.</w:t>
      </w:r>
    </w:p>
    <w:p w14:paraId="3C7DDB68" w14:textId="53D13FF0" w:rsidR="6400484B" w:rsidRDefault="6400484B" w:rsidP="11BFAC22">
      <w:pPr>
        <w:spacing w:line="240" w:lineRule="auto"/>
        <w:rPr>
          <w:color w:val="000000" w:themeColor="text1"/>
        </w:rPr>
      </w:pPr>
      <w:r w:rsidRPr="11BFAC22">
        <w:rPr>
          <w:b/>
          <w:bCs/>
          <w:color w:val="000000" w:themeColor="text1"/>
        </w:rPr>
        <w:t>Row 88</w:t>
      </w:r>
    </w:p>
    <w:p w14:paraId="2ADDC837" w14:textId="264B04BB" w:rsidR="12B7A848" w:rsidRDefault="12B7A848" w:rsidP="11BFAC22">
      <w:pPr>
        <w:spacing w:line="240" w:lineRule="auto"/>
        <w:rPr>
          <w:color w:val="000000" w:themeColor="text1"/>
        </w:rPr>
      </w:pPr>
      <w:r w:rsidRPr="11BFAC22">
        <w:rPr>
          <w:color w:val="000000" w:themeColor="text1"/>
        </w:rPr>
        <w:t>This follow-up comment concerns limitations in modeling refrigerant systems. A suggestion was made to clarify that the modeling applies to smaller, split-based systems with 3/8” refrigerant lines. There was no dispute about the accuracy, only the scope. The committee decided no changes were necessary.</w:t>
      </w:r>
    </w:p>
    <w:p w14:paraId="56F1E468" w14:textId="15F5786E" w:rsidR="12B7A848" w:rsidRDefault="12B7A848" w:rsidP="11BFAC22">
      <w:pPr>
        <w:spacing w:line="240" w:lineRule="auto"/>
        <w:rPr>
          <w:color w:val="000000" w:themeColor="text1"/>
        </w:rPr>
      </w:pPr>
      <w:r w:rsidRPr="11BFAC22">
        <w:rPr>
          <w:color w:val="000000" w:themeColor="text1"/>
        </w:rPr>
        <w:t>Rejected by the committee.</w:t>
      </w:r>
    </w:p>
    <w:p w14:paraId="3E97E27F" w14:textId="61F5280E" w:rsidR="6400484B" w:rsidRDefault="6400484B" w:rsidP="11BFAC22">
      <w:pPr>
        <w:spacing w:line="240" w:lineRule="auto"/>
        <w:rPr>
          <w:b/>
          <w:bCs/>
          <w:color w:val="000000" w:themeColor="text1"/>
        </w:rPr>
      </w:pPr>
      <w:r w:rsidRPr="11BFAC22">
        <w:rPr>
          <w:b/>
          <w:bCs/>
          <w:color w:val="000000" w:themeColor="text1"/>
        </w:rPr>
        <w:t>Row 92</w:t>
      </w:r>
    </w:p>
    <w:p w14:paraId="5E97EF09" w14:textId="5372EDA2" w:rsidR="516C19D1" w:rsidRDefault="516C19D1" w:rsidP="11BFAC22">
      <w:pPr>
        <w:spacing w:line="240" w:lineRule="auto"/>
        <w:rPr>
          <w:color w:val="000000" w:themeColor="text1"/>
        </w:rPr>
      </w:pPr>
      <w:r w:rsidRPr="11BFAC22">
        <w:rPr>
          <w:color w:val="000000" w:themeColor="text1"/>
        </w:rPr>
        <w:t>Several comments were received regarding comparable product types. The standard intends to allow comparison between different types, e.g., mineral wool bats, based on composition. The committee supports the proposed text in Column L, which clarifies this distinction.</w:t>
      </w:r>
    </w:p>
    <w:p w14:paraId="1B4AB817" w14:textId="489C883F" w:rsidR="516C19D1" w:rsidRDefault="516C19D1" w:rsidP="11BFAC22">
      <w:pPr>
        <w:spacing w:line="240" w:lineRule="auto"/>
        <w:rPr>
          <w:color w:val="000000" w:themeColor="text1"/>
        </w:rPr>
      </w:pPr>
      <w:r w:rsidRPr="11BFAC22">
        <w:rPr>
          <w:color w:val="000000" w:themeColor="text1"/>
        </w:rPr>
        <w:t>Accepted in principle.</w:t>
      </w:r>
    </w:p>
    <w:p w14:paraId="08767C54" w14:textId="0D8FCF4C" w:rsidR="6400484B" w:rsidRDefault="6400484B" w:rsidP="11BFAC22">
      <w:pPr>
        <w:spacing w:line="240" w:lineRule="auto"/>
        <w:rPr>
          <w:b/>
          <w:bCs/>
          <w:color w:val="000000" w:themeColor="text1"/>
        </w:rPr>
      </w:pPr>
      <w:r w:rsidRPr="11BFAC22">
        <w:rPr>
          <w:b/>
          <w:bCs/>
          <w:color w:val="000000" w:themeColor="text1"/>
        </w:rPr>
        <w:t xml:space="preserve">Row </w:t>
      </w:r>
      <w:r w:rsidR="0B8D3560" w:rsidRPr="11BFAC22">
        <w:rPr>
          <w:b/>
          <w:bCs/>
          <w:color w:val="000000" w:themeColor="text1"/>
        </w:rPr>
        <w:t>96</w:t>
      </w:r>
    </w:p>
    <w:p w14:paraId="3FD79C75" w14:textId="1D31E2C2" w:rsidR="4DED02B1" w:rsidRDefault="4DED02B1" w:rsidP="11BFAC22">
      <w:pPr>
        <w:spacing w:line="240" w:lineRule="auto"/>
        <w:rPr>
          <w:color w:val="000000" w:themeColor="text1"/>
        </w:rPr>
      </w:pPr>
      <w:r w:rsidRPr="11BFAC22">
        <w:rPr>
          <w:color w:val="000000" w:themeColor="text1"/>
        </w:rPr>
        <w:t>Comment on use of italics. Rick</w:t>
      </w:r>
      <w:r w:rsidR="00715D6B">
        <w:rPr>
          <w:color w:val="000000" w:themeColor="text1"/>
        </w:rPr>
        <w:t>,</w:t>
      </w:r>
      <w:r w:rsidRPr="11BFAC22">
        <w:rPr>
          <w:color w:val="000000" w:themeColor="text1"/>
        </w:rPr>
        <w:t xml:space="preserve"> </w:t>
      </w:r>
      <w:r w:rsidR="2ABA46D7" w:rsidRPr="11BFAC22">
        <w:rPr>
          <w:color w:val="000000" w:themeColor="text1"/>
        </w:rPr>
        <w:t>in response</w:t>
      </w:r>
      <w:r w:rsidR="00715D6B">
        <w:rPr>
          <w:color w:val="000000" w:themeColor="text1"/>
        </w:rPr>
        <w:t>,</w:t>
      </w:r>
      <w:r w:rsidR="2ABA46D7" w:rsidRPr="11BFAC22">
        <w:rPr>
          <w:color w:val="000000" w:themeColor="text1"/>
        </w:rPr>
        <w:t xml:space="preserve"> </w:t>
      </w:r>
      <w:r w:rsidRPr="11BFAC22">
        <w:rPr>
          <w:color w:val="000000" w:themeColor="text1"/>
        </w:rPr>
        <w:t>noted that italics are not used in the ICC style guide, which will be followed in the published standard.</w:t>
      </w:r>
    </w:p>
    <w:p w14:paraId="65F9E8E1" w14:textId="035CF5AE" w:rsidR="4DED02B1" w:rsidRDefault="4DED02B1" w:rsidP="11BFAC22">
      <w:pPr>
        <w:spacing w:line="240" w:lineRule="auto"/>
        <w:rPr>
          <w:color w:val="000000" w:themeColor="text1"/>
        </w:rPr>
      </w:pPr>
      <w:r w:rsidRPr="11BFAC22">
        <w:rPr>
          <w:color w:val="000000" w:themeColor="text1"/>
        </w:rPr>
        <w:t>Rejected by the committee.</w:t>
      </w:r>
    </w:p>
    <w:p w14:paraId="6F07B40D" w14:textId="49E48CA0" w:rsidR="0B8D3560" w:rsidRDefault="0B8D3560" w:rsidP="11BFAC22">
      <w:pPr>
        <w:spacing w:line="240" w:lineRule="auto"/>
        <w:rPr>
          <w:b/>
          <w:bCs/>
          <w:color w:val="000000" w:themeColor="text1"/>
        </w:rPr>
      </w:pPr>
      <w:r w:rsidRPr="11BFAC22">
        <w:rPr>
          <w:b/>
          <w:bCs/>
          <w:color w:val="000000" w:themeColor="text1"/>
        </w:rPr>
        <w:t>Row 97</w:t>
      </w:r>
    </w:p>
    <w:p w14:paraId="717C0235" w14:textId="4C0038ED" w:rsidR="642AE504" w:rsidRDefault="642AE504" w:rsidP="11BFAC22">
      <w:pPr>
        <w:spacing w:line="240" w:lineRule="auto"/>
        <w:rPr>
          <w:color w:val="000000" w:themeColor="text1"/>
        </w:rPr>
      </w:pPr>
      <w:r w:rsidRPr="11BFAC22">
        <w:rPr>
          <w:color w:val="000000" w:themeColor="text1"/>
        </w:rPr>
        <w:t>This comment addressed definitions for excluded items under Section 5.2. The committee agreed no formal definitions were necessary, as standard dictionary definitions suffice.</w:t>
      </w:r>
    </w:p>
    <w:p w14:paraId="1A199E89" w14:textId="1C3B0DA8" w:rsidR="642AE504" w:rsidRDefault="642AE504" w:rsidP="11BFAC22">
      <w:pPr>
        <w:spacing w:line="240" w:lineRule="auto"/>
        <w:rPr>
          <w:color w:val="000000" w:themeColor="text1"/>
        </w:rPr>
      </w:pPr>
      <w:r w:rsidRPr="11BFAC22">
        <w:rPr>
          <w:color w:val="000000" w:themeColor="text1"/>
        </w:rPr>
        <w:t>Rejected by the committee.</w:t>
      </w:r>
    </w:p>
    <w:p w14:paraId="7C252624" w14:textId="20CA9DEF" w:rsidR="6FE7D338" w:rsidRDefault="6FE7D338" w:rsidP="11BFAC22">
      <w:pPr>
        <w:spacing w:line="240" w:lineRule="auto"/>
        <w:rPr>
          <w:color w:val="000000" w:themeColor="text1"/>
        </w:rPr>
      </w:pPr>
      <w:r w:rsidRPr="11BFAC22">
        <w:rPr>
          <w:b/>
          <w:bCs/>
          <w:color w:val="000000" w:themeColor="text1"/>
        </w:rPr>
        <w:t xml:space="preserve">Row </w:t>
      </w:r>
      <w:r w:rsidR="06ED1AB6" w:rsidRPr="11BFAC22">
        <w:rPr>
          <w:b/>
          <w:bCs/>
          <w:color w:val="000000" w:themeColor="text1"/>
        </w:rPr>
        <w:t>121</w:t>
      </w:r>
      <w:r w:rsidR="06ED1AB6" w:rsidRPr="11BFAC22">
        <w:rPr>
          <w:color w:val="000000" w:themeColor="text1"/>
        </w:rPr>
        <w:t xml:space="preserve"> </w:t>
      </w:r>
    </w:p>
    <w:p w14:paraId="1228F968" w14:textId="32885193" w:rsidR="55D2031F" w:rsidRDefault="55D2031F" w:rsidP="11BFAC22">
      <w:pPr>
        <w:spacing w:line="240" w:lineRule="auto"/>
        <w:rPr>
          <w:color w:val="000000" w:themeColor="text1"/>
        </w:rPr>
      </w:pPr>
      <w:r w:rsidRPr="11BFAC22">
        <w:rPr>
          <w:color w:val="000000" w:themeColor="text1"/>
        </w:rPr>
        <w:t>Comment asked for clarification on use of international product data. The standard will require that EPDs be geographically representative, using local datasets when available. Proxy values should be avoided when more accurate regional data exists.</w:t>
      </w:r>
    </w:p>
    <w:p w14:paraId="1BBECED2" w14:textId="4DCA6711" w:rsidR="55D2031F" w:rsidRDefault="55D2031F" w:rsidP="11BFAC22">
      <w:pPr>
        <w:spacing w:line="240" w:lineRule="auto"/>
        <w:rPr>
          <w:color w:val="000000" w:themeColor="text1"/>
        </w:rPr>
      </w:pPr>
      <w:r w:rsidRPr="11BFAC22">
        <w:rPr>
          <w:color w:val="000000" w:themeColor="text1"/>
        </w:rPr>
        <w:t>Accepted in principle.</w:t>
      </w:r>
    </w:p>
    <w:p w14:paraId="0F8178C2" w14:textId="69507935" w:rsidR="42E7C19B" w:rsidRDefault="42E7C19B" w:rsidP="11BFAC22">
      <w:pPr>
        <w:spacing w:line="240" w:lineRule="auto"/>
        <w:rPr>
          <w:b/>
          <w:bCs/>
          <w:color w:val="000000" w:themeColor="text1"/>
        </w:rPr>
      </w:pPr>
      <w:r w:rsidRPr="11BFAC22">
        <w:rPr>
          <w:b/>
          <w:bCs/>
          <w:color w:val="000000" w:themeColor="text1"/>
        </w:rPr>
        <w:t>Row 12</w:t>
      </w:r>
      <w:r w:rsidR="197E4745" w:rsidRPr="11BFAC22">
        <w:rPr>
          <w:b/>
          <w:bCs/>
          <w:color w:val="000000" w:themeColor="text1"/>
        </w:rPr>
        <w:t>2</w:t>
      </w:r>
      <w:r w:rsidRPr="11BFAC22">
        <w:rPr>
          <w:b/>
          <w:bCs/>
          <w:color w:val="000000" w:themeColor="text1"/>
        </w:rPr>
        <w:t xml:space="preserve"> </w:t>
      </w:r>
    </w:p>
    <w:p w14:paraId="4F4A48B9" w14:textId="4AD01E9D" w:rsidR="06BE78AE" w:rsidRDefault="007D4505" w:rsidP="11BFAC22">
      <w:pPr>
        <w:spacing w:line="240" w:lineRule="auto"/>
        <w:rPr>
          <w:color w:val="000000" w:themeColor="text1"/>
        </w:rPr>
      </w:pPr>
      <w:r w:rsidRPr="599A75CA">
        <w:rPr>
          <w:color w:val="000000" w:themeColor="text1"/>
        </w:rPr>
        <w:t>S</w:t>
      </w:r>
      <w:r w:rsidR="00EC7271" w:rsidRPr="599A75CA">
        <w:rPr>
          <w:color w:val="000000" w:themeColor="text1"/>
        </w:rPr>
        <w:t>ee</w:t>
      </w:r>
      <w:r w:rsidR="06BE78AE" w:rsidRPr="11BFAC22">
        <w:rPr>
          <w:color w:val="000000" w:themeColor="text1"/>
        </w:rPr>
        <w:t xml:space="preserve"> Row 121. Also relates to Row 124, which will be brought back to the Task Group for further review.</w:t>
      </w:r>
    </w:p>
    <w:p w14:paraId="0C471983" w14:textId="3DD07796" w:rsidR="06BE78AE" w:rsidRDefault="06BE78AE" w:rsidP="11BFAC22">
      <w:pPr>
        <w:spacing w:line="240" w:lineRule="auto"/>
        <w:rPr>
          <w:color w:val="000000" w:themeColor="text1"/>
        </w:rPr>
      </w:pPr>
      <w:r w:rsidRPr="11BFAC22">
        <w:rPr>
          <w:color w:val="000000" w:themeColor="text1"/>
        </w:rPr>
        <w:t>Accepted in principle.</w:t>
      </w:r>
    </w:p>
    <w:p w14:paraId="76DACC49" w14:textId="1F87A708" w:rsidR="42E7C19B" w:rsidRDefault="42E7C19B" w:rsidP="11BFAC22">
      <w:pPr>
        <w:spacing w:line="240" w:lineRule="auto"/>
        <w:rPr>
          <w:b/>
          <w:bCs/>
          <w:color w:val="000000" w:themeColor="text1"/>
        </w:rPr>
      </w:pPr>
      <w:r w:rsidRPr="11BFAC22">
        <w:rPr>
          <w:b/>
          <w:bCs/>
          <w:color w:val="000000" w:themeColor="text1"/>
        </w:rPr>
        <w:t>Row 123</w:t>
      </w:r>
    </w:p>
    <w:p w14:paraId="3DABA32E" w14:textId="0ADE213B" w:rsidR="78A35D6F" w:rsidRDefault="78A35D6F" w:rsidP="11BFAC22">
      <w:pPr>
        <w:spacing w:line="240" w:lineRule="auto"/>
        <w:rPr>
          <w:color w:val="000000" w:themeColor="text1"/>
        </w:rPr>
      </w:pPr>
      <w:r w:rsidRPr="11BFAC22">
        <w:rPr>
          <w:color w:val="000000" w:themeColor="text1"/>
        </w:rPr>
        <w:lastRenderedPageBreak/>
        <w:t>Request for the standard to list recommended software/databases. Forwarded to Rick, who confirmed this is not standard practice. Instead, compliant software will be listed in the HERS</w:t>
      </w:r>
      <w:r w:rsidR="00D1334B">
        <w:rPr>
          <w:color w:val="000000" w:themeColor="text1"/>
        </w:rPr>
        <w:t>®</w:t>
      </w:r>
      <w:r w:rsidRPr="11BFAC22">
        <w:rPr>
          <w:color w:val="000000" w:themeColor="text1"/>
        </w:rPr>
        <w:t xml:space="preserve"> registry once vendors respond post-publication.</w:t>
      </w:r>
    </w:p>
    <w:p w14:paraId="54B16895" w14:textId="02F7F6C6" w:rsidR="78A35D6F" w:rsidRDefault="78A35D6F" w:rsidP="11BFAC22">
      <w:pPr>
        <w:spacing w:line="240" w:lineRule="auto"/>
        <w:rPr>
          <w:color w:val="000000" w:themeColor="text1"/>
        </w:rPr>
      </w:pPr>
      <w:r w:rsidRPr="11BFAC22">
        <w:rPr>
          <w:color w:val="000000" w:themeColor="text1"/>
        </w:rPr>
        <w:t>Rejected by the committee.</w:t>
      </w:r>
    </w:p>
    <w:p w14:paraId="08E60C48" w14:textId="00127B4F" w:rsidR="010C9E00" w:rsidRDefault="010C9E00" w:rsidP="11BFAC22">
      <w:pPr>
        <w:spacing w:line="240" w:lineRule="auto"/>
        <w:rPr>
          <w:b/>
          <w:bCs/>
          <w:color w:val="000000" w:themeColor="text1"/>
        </w:rPr>
      </w:pPr>
      <w:r w:rsidRPr="11BFAC22">
        <w:rPr>
          <w:b/>
          <w:bCs/>
          <w:color w:val="000000" w:themeColor="text1"/>
        </w:rPr>
        <w:t>Row 124</w:t>
      </w:r>
    </w:p>
    <w:p w14:paraId="3B00FAD1" w14:textId="3057941E" w:rsidR="7241E369" w:rsidRDefault="7241E369" w:rsidP="11BFAC22">
      <w:pPr>
        <w:spacing w:line="240" w:lineRule="auto"/>
        <w:rPr>
          <w:color w:val="000000" w:themeColor="text1"/>
        </w:rPr>
      </w:pPr>
      <w:r w:rsidRPr="11BFAC22">
        <w:rPr>
          <w:color w:val="000000" w:themeColor="text1"/>
        </w:rPr>
        <w:t>This comment discussed benchmarking GWP factors. The committee agreed to remove percentile-based methods (e.g., 80th percentile, 1.2x factor) and instead use the highest GWP factor for comparable products as the default.</w:t>
      </w:r>
    </w:p>
    <w:p w14:paraId="634109A7" w14:textId="56121391" w:rsidR="7241E369" w:rsidRDefault="7241E369" w:rsidP="11BFAC22">
      <w:pPr>
        <w:spacing w:line="240" w:lineRule="auto"/>
        <w:rPr>
          <w:color w:val="000000" w:themeColor="text1"/>
        </w:rPr>
      </w:pPr>
      <w:r w:rsidRPr="11BFAC22">
        <w:rPr>
          <w:color w:val="000000" w:themeColor="text1"/>
        </w:rPr>
        <w:t>Accepted in principle.</w:t>
      </w:r>
    </w:p>
    <w:p w14:paraId="6D54E490" w14:textId="7C405C9C" w:rsidR="394A77FD" w:rsidRDefault="394A77FD" w:rsidP="11BFAC22">
      <w:pPr>
        <w:spacing w:line="240" w:lineRule="auto"/>
        <w:rPr>
          <w:b/>
          <w:bCs/>
          <w:color w:val="000000" w:themeColor="text1"/>
        </w:rPr>
      </w:pPr>
      <w:r w:rsidRPr="11BFAC22">
        <w:rPr>
          <w:b/>
          <w:bCs/>
          <w:color w:val="000000" w:themeColor="text1"/>
        </w:rPr>
        <w:t>Row 126</w:t>
      </w:r>
    </w:p>
    <w:p w14:paraId="75FC08FE" w14:textId="50A1A3D9" w:rsidR="1548425B" w:rsidRDefault="1548425B" w:rsidP="11BFAC22">
      <w:pPr>
        <w:spacing w:line="240" w:lineRule="auto"/>
        <w:rPr>
          <w:color w:val="000000" w:themeColor="text1"/>
        </w:rPr>
      </w:pPr>
      <w:r w:rsidRPr="11BFAC22">
        <w:rPr>
          <w:color w:val="000000" w:themeColor="text1"/>
        </w:rPr>
        <w:t>Reiterates decisions in Row 124.</w:t>
      </w:r>
    </w:p>
    <w:p w14:paraId="23B35105" w14:textId="53C3CF30" w:rsidR="1548425B" w:rsidRDefault="1548425B" w:rsidP="11BFAC22">
      <w:pPr>
        <w:spacing w:line="240" w:lineRule="auto"/>
        <w:rPr>
          <w:color w:val="000000" w:themeColor="text1"/>
        </w:rPr>
      </w:pPr>
      <w:r w:rsidRPr="11BFAC22">
        <w:rPr>
          <w:color w:val="000000" w:themeColor="text1"/>
        </w:rPr>
        <w:t>Accepted in principle.</w:t>
      </w:r>
    </w:p>
    <w:p w14:paraId="72C41264" w14:textId="5BF493EF" w:rsidR="394A77FD" w:rsidRDefault="394A77FD" w:rsidP="11BFAC22">
      <w:pPr>
        <w:spacing w:line="240" w:lineRule="auto"/>
        <w:rPr>
          <w:b/>
          <w:bCs/>
          <w:color w:val="000000" w:themeColor="text1"/>
        </w:rPr>
      </w:pPr>
      <w:r w:rsidRPr="11BFAC22">
        <w:rPr>
          <w:b/>
          <w:bCs/>
          <w:color w:val="000000" w:themeColor="text1"/>
        </w:rPr>
        <w:t>Row 138</w:t>
      </w:r>
    </w:p>
    <w:p w14:paraId="37D1E21E" w14:textId="155A1AFD" w:rsidR="5E667860" w:rsidRDefault="5E667860" w:rsidP="11BFAC22">
      <w:pPr>
        <w:spacing w:line="240" w:lineRule="auto"/>
        <w:rPr>
          <w:color w:val="000000" w:themeColor="text1"/>
        </w:rPr>
      </w:pPr>
      <w:r w:rsidRPr="11BFAC22">
        <w:rPr>
          <w:color w:val="000000" w:themeColor="text1"/>
        </w:rPr>
        <w:t xml:space="preserve">Comments on refrigerant GWP factors. </w:t>
      </w:r>
      <w:r w:rsidR="484C915F" w:rsidRPr="11BFAC22">
        <w:rPr>
          <w:color w:val="000000" w:themeColor="text1"/>
        </w:rPr>
        <w:t xml:space="preserve">Jacob </w:t>
      </w:r>
      <w:proofErr w:type="spellStart"/>
      <w:r w:rsidR="484C915F" w:rsidRPr="11BFAC22">
        <w:rPr>
          <w:color w:val="000000" w:themeColor="text1"/>
        </w:rPr>
        <w:t>Racusin</w:t>
      </w:r>
      <w:proofErr w:type="spellEnd"/>
      <w:r w:rsidR="484C915F" w:rsidRPr="11BFAC22">
        <w:rPr>
          <w:color w:val="000000" w:themeColor="text1"/>
        </w:rPr>
        <w:t xml:space="preserve"> </w:t>
      </w:r>
      <w:r w:rsidRPr="11BFAC22">
        <w:rPr>
          <w:color w:val="000000" w:themeColor="text1"/>
        </w:rPr>
        <w:t xml:space="preserve">clarified the intent of limiting refrigerants with GWP &gt;700 </w:t>
      </w:r>
      <w:proofErr w:type="spellStart"/>
      <w:r w:rsidRPr="11BFAC22">
        <w:rPr>
          <w:color w:val="000000" w:themeColor="text1"/>
        </w:rPr>
        <w:t>CO₂e</w:t>
      </w:r>
      <w:proofErr w:type="spellEnd"/>
      <w:r w:rsidRPr="11BFAC22">
        <w:rPr>
          <w:color w:val="000000" w:themeColor="text1"/>
        </w:rPr>
        <w:t xml:space="preserve">. R410A values remain unchanged due to continued market use. R454B was added as an emerging low-GWP alternative. Concerns were raised about the current emissions formula, particularly for large systems and alternative refrigerant data sources. </w:t>
      </w:r>
      <w:r w:rsidR="60302118" w:rsidRPr="11BFAC22">
        <w:rPr>
          <w:color w:val="000000" w:themeColor="text1"/>
        </w:rPr>
        <w:t xml:space="preserve">Jacob </w:t>
      </w:r>
      <w:r w:rsidRPr="11BFAC22">
        <w:rPr>
          <w:color w:val="000000" w:themeColor="text1"/>
        </w:rPr>
        <w:t>agreed to revise the formula to improve accuracy and accommodate broader use cases, maintaining it as voluntary for now.</w:t>
      </w:r>
    </w:p>
    <w:p w14:paraId="55BF4055" w14:textId="2345EEC0" w:rsidR="165D93FD" w:rsidRDefault="165D93FD" w:rsidP="11BFAC22">
      <w:pPr>
        <w:spacing w:line="240" w:lineRule="auto"/>
        <w:ind w:left="720"/>
        <w:rPr>
          <w:color w:val="000000" w:themeColor="text1"/>
        </w:rPr>
      </w:pPr>
      <w:r w:rsidRPr="11BFAC22">
        <w:rPr>
          <w:color w:val="000000" w:themeColor="text1"/>
        </w:rPr>
        <w:t xml:space="preserve">GWPRF= refrigerant emission factor (kg </w:t>
      </w:r>
      <w:proofErr w:type="spellStart"/>
      <w:r w:rsidR="60D8555B" w:rsidRPr="5395FF53">
        <w:rPr>
          <w:color w:val="000000" w:themeColor="text1"/>
        </w:rPr>
        <w:t>CO₂e</w:t>
      </w:r>
      <w:proofErr w:type="spellEnd"/>
      <w:r w:rsidR="60D8555B" w:rsidRPr="24139FA3">
        <w:rPr>
          <w:color w:val="000000" w:themeColor="text1"/>
        </w:rPr>
        <w:t>.</w:t>
      </w:r>
      <w:r w:rsidRPr="24139FA3">
        <w:rPr>
          <w:color w:val="000000" w:themeColor="text1"/>
        </w:rPr>
        <w:t>/</w:t>
      </w:r>
      <w:r w:rsidRPr="11BFAC22">
        <w:rPr>
          <w:color w:val="000000" w:themeColor="text1"/>
        </w:rPr>
        <w:t xml:space="preserve">kg); assume 2,088 kg </w:t>
      </w:r>
      <w:proofErr w:type="spellStart"/>
      <w:r w:rsidR="4F6BC943" w:rsidRPr="4BC20FD1">
        <w:rPr>
          <w:color w:val="000000" w:themeColor="text1"/>
        </w:rPr>
        <w:t>CO₂e</w:t>
      </w:r>
      <w:proofErr w:type="spellEnd"/>
      <w:r w:rsidR="4F6BC943" w:rsidRPr="4BC20FD1">
        <w:rPr>
          <w:color w:val="000000" w:themeColor="text1"/>
        </w:rPr>
        <w:t>.</w:t>
      </w:r>
      <w:r w:rsidRPr="4BC20FD1">
        <w:rPr>
          <w:color w:val="000000" w:themeColor="text1"/>
        </w:rPr>
        <w:t>/</w:t>
      </w:r>
      <w:r w:rsidRPr="11BFAC22">
        <w:rPr>
          <w:color w:val="000000" w:themeColor="text1"/>
        </w:rPr>
        <w:t>kg for R410a</w:t>
      </w:r>
      <w:r w:rsidRPr="11BFAC22">
        <w:rPr>
          <w:color w:val="0070C0"/>
        </w:rPr>
        <w:t xml:space="preserve">, 466 kg </w:t>
      </w:r>
      <w:proofErr w:type="spellStart"/>
      <w:r w:rsidR="1668F021" w:rsidRPr="5632107D">
        <w:rPr>
          <w:color w:val="0070C0"/>
        </w:rPr>
        <w:t>CO₂e</w:t>
      </w:r>
      <w:proofErr w:type="spellEnd"/>
      <w:r w:rsidR="1668F021" w:rsidRPr="5632107D">
        <w:rPr>
          <w:color w:val="0070C0"/>
        </w:rPr>
        <w:t>.</w:t>
      </w:r>
      <w:r w:rsidRPr="316DCED8">
        <w:rPr>
          <w:color w:val="0070C0"/>
        </w:rPr>
        <w:t>/</w:t>
      </w:r>
      <w:r w:rsidRPr="11BFAC22">
        <w:rPr>
          <w:color w:val="0070C0"/>
        </w:rPr>
        <w:t>kg for R454B</w:t>
      </w:r>
      <w:r w:rsidRPr="11BFAC22">
        <w:rPr>
          <w:color w:val="000000" w:themeColor="text1"/>
        </w:rPr>
        <w:t xml:space="preserve">, and 675 kg </w:t>
      </w:r>
      <w:proofErr w:type="spellStart"/>
      <w:r w:rsidR="4BD4A9C3" w:rsidRPr="79846507">
        <w:rPr>
          <w:color w:val="000000" w:themeColor="text1"/>
        </w:rPr>
        <w:t>CO₂e</w:t>
      </w:r>
      <w:proofErr w:type="spellEnd"/>
      <w:r w:rsidR="4BD4A9C3" w:rsidRPr="1E651B9F">
        <w:rPr>
          <w:color w:val="000000" w:themeColor="text1"/>
        </w:rPr>
        <w:t>.</w:t>
      </w:r>
      <w:r w:rsidRPr="1E651B9F">
        <w:rPr>
          <w:color w:val="000000" w:themeColor="text1"/>
        </w:rPr>
        <w:t>/</w:t>
      </w:r>
      <w:r w:rsidRPr="11BFAC22">
        <w:rPr>
          <w:color w:val="000000" w:themeColor="text1"/>
        </w:rPr>
        <w:t>kg for R32.</w:t>
      </w:r>
    </w:p>
    <w:p w14:paraId="71487EC1" w14:textId="546A8CDD" w:rsidR="632FA17C" w:rsidRDefault="632FA17C" w:rsidP="11BFAC22">
      <w:pPr>
        <w:spacing w:line="240" w:lineRule="auto"/>
        <w:rPr>
          <w:color w:val="000000" w:themeColor="text1"/>
        </w:rPr>
      </w:pPr>
      <w:r w:rsidRPr="11BFAC22">
        <w:rPr>
          <w:color w:val="000000" w:themeColor="text1"/>
        </w:rPr>
        <w:t>Accepted in principle.</w:t>
      </w:r>
    </w:p>
    <w:p w14:paraId="640856DD" w14:textId="7D55F48F" w:rsidR="29F8038E" w:rsidRDefault="00190B50" w:rsidP="11BFAC22">
      <w:pPr>
        <w:spacing w:line="240" w:lineRule="auto"/>
        <w:rPr>
          <w:b/>
          <w:bCs/>
          <w:color w:val="000000" w:themeColor="text1"/>
        </w:rPr>
      </w:pPr>
      <w:r>
        <w:rPr>
          <w:b/>
          <w:bCs/>
          <w:color w:val="000000" w:themeColor="text1"/>
        </w:rPr>
        <w:t>All open and outstanding comments have been addressed.</w:t>
      </w:r>
    </w:p>
    <w:p w14:paraId="58A8BB58" w14:textId="5CF15214" w:rsidR="11BFAC22" w:rsidRDefault="11BFAC22" w:rsidP="11BFAC22">
      <w:pPr>
        <w:spacing w:line="240" w:lineRule="auto"/>
        <w:rPr>
          <w:b/>
          <w:bCs/>
          <w:color w:val="000000" w:themeColor="text1"/>
        </w:rPr>
      </w:pPr>
    </w:p>
    <w:p w14:paraId="6FEE42EB" w14:textId="56144E58" w:rsidR="2E05A640" w:rsidRDefault="2E05A640" w:rsidP="11BFAC22">
      <w:pPr>
        <w:spacing w:line="240" w:lineRule="auto"/>
        <w:rPr>
          <w:b/>
          <w:bCs/>
          <w:color w:val="000000" w:themeColor="text1"/>
        </w:rPr>
      </w:pPr>
      <w:r w:rsidRPr="11BFAC22">
        <w:rPr>
          <w:b/>
          <w:bCs/>
          <w:color w:val="000000" w:themeColor="text1"/>
        </w:rPr>
        <w:t>Next Items</w:t>
      </w:r>
    </w:p>
    <w:p w14:paraId="0DCFCEF6" w14:textId="20FC1223" w:rsidR="75C81216" w:rsidRDefault="20E3950F" w:rsidP="11BFAC22">
      <w:pPr>
        <w:pStyle w:val="ListParagraph"/>
        <w:numPr>
          <w:ilvl w:val="0"/>
          <w:numId w:val="1"/>
        </w:numPr>
        <w:spacing w:line="240" w:lineRule="auto"/>
        <w:rPr>
          <w:color w:val="000000" w:themeColor="text1"/>
        </w:rPr>
      </w:pPr>
      <w:r w:rsidRPr="11BFAC22">
        <w:rPr>
          <w:color w:val="000000" w:themeColor="text1"/>
        </w:rPr>
        <w:t xml:space="preserve">Within the next few days, </w:t>
      </w:r>
      <w:r w:rsidR="0801730E" w:rsidRPr="11BFAC22">
        <w:rPr>
          <w:color w:val="000000" w:themeColor="text1"/>
        </w:rPr>
        <w:t xml:space="preserve">Chris Magwood </w:t>
      </w:r>
      <w:r w:rsidRPr="11BFAC22">
        <w:rPr>
          <w:color w:val="000000" w:themeColor="text1"/>
        </w:rPr>
        <w:t xml:space="preserve">and </w:t>
      </w:r>
      <w:r w:rsidR="4D2E1045" w:rsidRPr="11BFAC22">
        <w:rPr>
          <w:color w:val="000000" w:themeColor="text1"/>
        </w:rPr>
        <w:t xml:space="preserve">Tracy Huynh </w:t>
      </w:r>
      <w:r w:rsidRPr="11BFAC22">
        <w:rPr>
          <w:color w:val="000000" w:themeColor="text1"/>
        </w:rPr>
        <w:t xml:space="preserve">will send out a redlined version of the standard reflecting all changes. </w:t>
      </w:r>
    </w:p>
    <w:p w14:paraId="3087F280" w14:textId="39E55CE6" w:rsidR="75C81216" w:rsidRDefault="20E3950F" w:rsidP="11BFAC22">
      <w:pPr>
        <w:pStyle w:val="ListParagraph"/>
        <w:numPr>
          <w:ilvl w:val="0"/>
          <w:numId w:val="1"/>
        </w:numPr>
        <w:spacing w:line="240" w:lineRule="auto"/>
        <w:rPr>
          <w:color w:val="000000" w:themeColor="text1"/>
        </w:rPr>
      </w:pPr>
      <w:r w:rsidRPr="11BFAC22">
        <w:rPr>
          <w:color w:val="000000" w:themeColor="text1"/>
        </w:rPr>
        <w:t>An updated spreadsheet with finalized committee responses in Column K will also be shared. Some wording may currently be rough</w:t>
      </w:r>
      <w:r w:rsidR="00A317A2">
        <w:rPr>
          <w:color w:val="000000" w:themeColor="text1"/>
        </w:rPr>
        <w:t>,</w:t>
      </w:r>
      <w:r w:rsidRPr="11BFAC22">
        <w:rPr>
          <w:color w:val="000000" w:themeColor="text1"/>
        </w:rPr>
        <w:t xml:space="preserve"> but </w:t>
      </w:r>
      <w:r w:rsidR="0F165CE3" w:rsidRPr="3741172D">
        <w:rPr>
          <w:color w:val="000000" w:themeColor="text1"/>
        </w:rPr>
        <w:t xml:space="preserve">these </w:t>
      </w:r>
      <w:r w:rsidRPr="3741172D">
        <w:rPr>
          <w:color w:val="000000" w:themeColor="text1"/>
        </w:rPr>
        <w:t>will</w:t>
      </w:r>
      <w:r w:rsidRPr="11BFAC22">
        <w:rPr>
          <w:color w:val="000000" w:themeColor="text1"/>
        </w:rPr>
        <w:t xml:space="preserve"> be polished in the final version. </w:t>
      </w:r>
    </w:p>
    <w:p w14:paraId="1D0EB961" w14:textId="0A616F17" w:rsidR="75C81216" w:rsidRDefault="20E3950F" w:rsidP="11BFAC22">
      <w:pPr>
        <w:pStyle w:val="ListParagraph"/>
        <w:numPr>
          <w:ilvl w:val="0"/>
          <w:numId w:val="1"/>
        </w:numPr>
        <w:spacing w:line="240" w:lineRule="auto"/>
        <w:rPr>
          <w:color w:val="000000" w:themeColor="text1"/>
        </w:rPr>
      </w:pPr>
      <w:r w:rsidRPr="11BFAC22">
        <w:rPr>
          <w:color w:val="000000" w:themeColor="text1"/>
        </w:rPr>
        <w:t>Watch for an email with the updated documents. Once received, the next step is a vote to advance the draft to the full SDC.</w:t>
      </w:r>
    </w:p>
    <w:p w14:paraId="1B6B8A1C" w14:textId="05078E66" w:rsidR="75C81216" w:rsidRPr="00187447" w:rsidRDefault="00562A6E" w:rsidP="11BFAC22">
      <w:pPr>
        <w:spacing w:line="240" w:lineRule="auto"/>
      </w:pPr>
      <w:r>
        <w:t>Meeting ended</w:t>
      </w:r>
      <w:r w:rsidR="75C81216">
        <w:t xml:space="preserve"> at </w:t>
      </w:r>
      <w:r w:rsidR="30E0633D">
        <w:t>1:19 PM ET</w:t>
      </w:r>
    </w:p>
    <w:sectPr w:rsidR="75C81216" w:rsidRPr="00187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91BEB"/>
    <w:multiLevelType w:val="hybridMultilevel"/>
    <w:tmpl w:val="FFFFFFFF"/>
    <w:lvl w:ilvl="0" w:tplc="C2327E86">
      <w:start w:val="1"/>
      <w:numFmt w:val="decimal"/>
      <w:lvlText w:val="%1."/>
      <w:lvlJc w:val="left"/>
      <w:pPr>
        <w:ind w:left="720" w:hanging="360"/>
      </w:pPr>
    </w:lvl>
    <w:lvl w:ilvl="1" w:tplc="50380D18">
      <w:start w:val="1"/>
      <w:numFmt w:val="lowerLetter"/>
      <w:lvlText w:val="%2."/>
      <w:lvlJc w:val="left"/>
      <w:pPr>
        <w:ind w:left="1440" w:hanging="360"/>
      </w:pPr>
    </w:lvl>
    <w:lvl w:ilvl="2" w:tplc="9624713C">
      <w:start w:val="1"/>
      <w:numFmt w:val="lowerRoman"/>
      <w:lvlText w:val="%3."/>
      <w:lvlJc w:val="right"/>
      <w:pPr>
        <w:ind w:left="2160" w:hanging="180"/>
      </w:pPr>
    </w:lvl>
    <w:lvl w:ilvl="3" w:tplc="67D6EFBA">
      <w:start w:val="1"/>
      <w:numFmt w:val="decimal"/>
      <w:lvlText w:val="%4."/>
      <w:lvlJc w:val="left"/>
      <w:pPr>
        <w:ind w:left="2880" w:hanging="360"/>
      </w:pPr>
    </w:lvl>
    <w:lvl w:ilvl="4" w:tplc="492480EE">
      <w:start w:val="1"/>
      <w:numFmt w:val="lowerLetter"/>
      <w:lvlText w:val="%5."/>
      <w:lvlJc w:val="left"/>
      <w:pPr>
        <w:ind w:left="3600" w:hanging="360"/>
      </w:pPr>
    </w:lvl>
    <w:lvl w:ilvl="5" w:tplc="AB1CE414">
      <w:start w:val="1"/>
      <w:numFmt w:val="lowerRoman"/>
      <w:lvlText w:val="%6."/>
      <w:lvlJc w:val="right"/>
      <w:pPr>
        <w:ind w:left="4320" w:hanging="180"/>
      </w:pPr>
    </w:lvl>
    <w:lvl w:ilvl="6" w:tplc="8BFE2B18">
      <w:start w:val="1"/>
      <w:numFmt w:val="decimal"/>
      <w:lvlText w:val="%7."/>
      <w:lvlJc w:val="left"/>
      <w:pPr>
        <w:ind w:left="5040" w:hanging="360"/>
      </w:pPr>
    </w:lvl>
    <w:lvl w:ilvl="7" w:tplc="BEFAF272">
      <w:start w:val="1"/>
      <w:numFmt w:val="lowerLetter"/>
      <w:lvlText w:val="%8."/>
      <w:lvlJc w:val="left"/>
      <w:pPr>
        <w:ind w:left="5760" w:hanging="360"/>
      </w:pPr>
    </w:lvl>
    <w:lvl w:ilvl="8" w:tplc="B596B7B2">
      <w:start w:val="1"/>
      <w:numFmt w:val="lowerRoman"/>
      <w:lvlText w:val="%9."/>
      <w:lvlJc w:val="right"/>
      <w:pPr>
        <w:ind w:left="6480" w:hanging="180"/>
      </w:pPr>
    </w:lvl>
  </w:abstractNum>
  <w:num w:numId="1" w16cid:durableId="363486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4CC9A8"/>
    <w:rsid w:val="0009186F"/>
    <w:rsid w:val="000D5963"/>
    <w:rsid w:val="000E74B1"/>
    <w:rsid w:val="0015138C"/>
    <w:rsid w:val="0017249C"/>
    <w:rsid w:val="00187447"/>
    <w:rsid w:val="00190B50"/>
    <w:rsid w:val="00196A09"/>
    <w:rsid w:val="001C0222"/>
    <w:rsid w:val="001E68EF"/>
    <w:rsid w:val="00266BA8"/>
    <w:rsid w:val="00293B93"/>
    <w:rsid w:val="002A1649"/>
    <w:rsid w:val="002C030F"/>
    <w:rsid w:val="002E2CDC"/>
    <w:rsid w:val="002E6D62"/>
    <w:rsid w:val="0031537E"/>
    <w:rsid w:val="003533C0"/>
    <w:rsid w:val="003A49C9"/>
    <w:rsid w:val="003D6EE1"/>
    <w:rsid w:val="00423D88"/>
    <w:rsid w:val="00527822"/>
    <w:rsid w:val="00532611"/>
    <w:rsid w:val="005462C1"/>
    <w:rsid w:val="00547C45"/>
    <w:rsid w:val="00562A6E"/>
    <w:rsid w:val="00576B75"/>
    <w:rsid w:val="00585411"/>
    <w:rsid w:val="005B31BF"/>
    <w:rsid w:val="005D324D"/>
    <w:rsid w:val="005D5CED"/>
    <w:rsid w:val="005E2AA0"/>
    <w:rsid w:val="005E6A68"/>
    <w:rsid w:val="0060151A"/>
    <w:rsid w:val="00613A13"/>
    <w:rsid w:val="00642552"/>
    <w:rsid w:val="0064516F"/>
    <w:rsid w:val="00650B74"/>
    <w:rsid w:val="00712EFA"/>
    <w:rsid w:val="00715D6B"/>
    <w:rsid w:val="00752483"/>
    <w:rsid w:val="00760EB8"/>
    <w:rsid w:val="007622CA"/>
    <w:rsid w:val="007754EB"/>
    <w:rsid w:val="007B7158"/>
    <w:rsid w:val="007D4505"/>
    <w:rsid w:val="00831AB8"/>
    <w:rsid w:val="0087074D"/>
    <w:rsid w:val="008E5B0F"/>
    <w:rsid w:val="008F1018"/>
    <w:rsid w:val="00926BAD"/>
    <w:rsid w:val="009D1D5C"/>
    <w:rsid w:val="00A27942"/>
    <w:rsid w:val="00A317A2"/>
    <w:rsid w:val="00A55ACC"/>
    <w:rsid w:val="00A947D8"/>
    <w:rsid w:val="00AA59C8"/>
    <w:rsid w:val="00AB5C5A"/>
    <w:rsid w:val="00AF1F25"/>
    <w:rsid w:val="00B21851"/>
    <w:rsid w:val="00B57BCD"/>
    <w:rsid w:val="00B711C4"/>
    <w:rsid w:val="00BD5223"/>
    <w:rsid w:val="00BF7D1B"/>
    <w:rsid w:val="00C01335"/>
    <w:rsid w:val="00C517AF"/>
    <w:rsid w:val="00C6330D"/>
    <w:rsid w:val="00CC08D1"/>
    <w:rsid w:val="00D0644A"/>
    <w:rsid w:val="00D11D19"/>
    <w:rsid w:val="00D1334B"/>
    <w:rsid w:val="00D2107D"/>
    <w:rsid w:val="00D24E1F"/>
    <w:rsid w:val="00D978FB"/>
    <w:rsid w:val="00DC4BF2"/>
    <w:rsid w:val="00DD4D64"/>
    <w:rsid w:val="00EA1A4B"/>
    <w:rsid w:val="00EB445E"/>
    <w:rsid w:val="00EC7271"/>
    <w:rsid w:val="00ED0E63"/>
    <w:rsid w:val="00F66B78"/>
    <w:rsid w:val="00FC63B5"/>
    <w:rsid w:val="010C9E00"/>
    <w:rsid w:val="012E8BCE"/>
    <w:rsid w:val="01A0F7DB"/>
    <w:rsid w:val="01F2B361"/>
    <w:rsid w:val="02019E12"/>
    <w:rsid w:val="0218C5E9"/>
    <w:rsid w:val="02292F8C"/>
    <w:rsid w:val="02768EC1"/>
    <w:rsid w:val="03179D4D"/>
    <w:rsid w:val="038206A3"/>
    <w:rsid w:val="039AFF8D"/>
    <w:rsid w:val="046CB21A"/>
    <w:rsid w:val="053D7E38"/>
    <w:rsid w:val="0556D342"/>
    <w:rsid w:val="05C27228"/>
    <w:rsid w:val="05DC5165"/>
    <w:rsid w:val="05E409D1"/>
    <w:rsid w:val="061AB355"/>
    <w:rsid w:val="0660DADB"/>
    <w:rsid w:val="06BE78AE"/>
    <w:rsid w:val="06E302D7"/>
    <w:rsid w:val="06ED1AB6"/>
    <w:rsid w:val="0709A0F4"/>
    <w:rsid w:val="074F50AA"/>
    <w:rsid w:val="075B72D5"/>
    <w:rsid w:val="07B9C790"/>
    <w:rsid w:val="07CFEBD3"/>
    <w:rsid w:val="0801730E"/>
    <w:rsid w:val="083DA7F1"/>
    <w:rsid w:val="084E51F9"/>
    <w:rsid w:val="08E55060"/>
    <w:rsid w:val="092D8461"/>
    <w:rsid w:val="09943D7D"/>
    <w:rsid w:val="0A582761"/>
    <w:rsid w:val="0A71FCD7"/>
    <w:rsid w:val="0A921164"/>
    <w:rsid w:val="0B26918C"/>
    <w:rsid w:val="0B8D3560"/>
    <w:rsid w:val="0BABF994"/>
    <w:rsid w:val="0C56546D"/>
    <w:rsid w:val="0CD708EC"/>
    <w:rsid w:val="0CEDDBE0"/>
    <w:rsid w:val="0D3B7138"/>
    <w:rsid w:val="0DDED1C4"/>
    <w:rsid w:val="0E1CEEC5"/>
    <w:rsid w:val="0E1E3F97"/>
    <w:rsid w:val="0F165CE3"/>
    <w:rsid w:val="0FBF6A49"/>
    <w:rsid w:val="0FDE5FB2"/>
    <w:rsid w:val="10030F3B"/>
    <w:rsid w:val="10AD4146"/>
    <w:rsid w:val="10AF4923"/>
    <w:rsid w:val="10E60FEE"/>
    <w:rsid w:val="1106020F"/>
    <w:rsid w:val="1117C751"/>
    <w:rsid w:val="11717A8C"/>
    <w:rsid w:val="119A47EB"/>
    <w:rsid w:val="11B050E1"/>
    <w:rsid w:val="11BFAC22"/>
    <w:rsid w:val="11DE0D35"/>
    <w:rsid w:val="121AF24A"/>
    <w:rsid w:val="128B4C3A"/>
    <w:rsid w:val="12B7A848"/>
    <w:rsid w:val="12C1B62E"/>
    <w:rsid w:val="12EC867C"/>
    <w:rsid w:val="13370540"/>
    <w:rsid w:val="1337C770"/>
    <w:rsid w:val="1371FC75"/>
    <w:rsid w:val="13B3AAA6"/>
    <w:rsid w:val="1406F4D5"/>
    <w:rsid w:val="14137805"/>
    <w:rsid w:val="141A4619"/>
    <w:rsid w:val="143289E0"/>
    <w:rsid w:val="144EDAFB"/>
    <w:rsid w:val="149D2551"/>
    <w:rsid w:val="14D53A62"/>
    <w:rsid w:val="14D8F4A4"/>
    <w:rsid w:val="14ED92F6"/>
    <w:rsid w:val="1508B767"/>
    <w:rsid w:val="1548425B"/>
    <w:rsid w:val="154D9AA1"/>
    <w:rsid w:val="154E154F"/>
    <w:rsid w:val="1582242C"/>
    <w:rsid w:val="159D4393"/>
    <w:rsid w:val="162D3E07"/>
    <w:rsid w:val="16310457"/>
    <w:rsid w:val="16315AEB"/>
    <w:rsid w:val="165D93FD"/>
    <w:rsid w:val="1668F021"/>
    <w:rsid w:val="16C7F009"/>
    <w:rsid w:val="17668039"/>
    <w:rsid w:val="177CBE75"/>
    <w:rsid w:val="17C26687"/>
    <w:rsid w:val="1809CE86"/>
    <w:rsid w:val="185DAD9B"/>
    <w:rsid w:val="187E3BA3"/>
    <w:rsid w:val="1883556D"/>
    <w:rsid w:val="1885F74A"/>
    <w:rsid w:val="18A48D54"/>
    <w:rsid w:val="18D4BAC2"/>
    <w:rsid w:val="18DC5708"/>
    <w:rsid w:val="18FD56B9"/>
    <w:rsid w:val="190B672F"/>
    <w:rsid w:val="1942AC6C"/>
    <w:rsid w:val="195FCCFF"/>
    <w:rsid w:val="1970B420"/>
    <w:rsid w:val="197E4745"/>
    <w:rsid w:val="19B2DEC1"/>
    <w:rsid w:val="19F4F4D1"/>
    <w:rsid w:val="1A164E2D"/>
    <w:rsid w:val="1A463A4F"/>
    <w:rsid w:val="1B4654A1"/>
    <w:rsid w:val="1B9C97A8"/>
    <w:rsid w:val="1BA20944"/>
    <w:rsid w:val="1BA76271"/>
    <w:rsid w:val="1C463C3D"/>
    <w:rsid w:val="1C48DF34"/>
    <w:rsid w:val="1C62EE2A"/>
    <w:rsid w:val="1C6B9B13"/>
    <w:rsid w:val="1CA6405A"/>
    <w:rsid w:val="1CBE8455"/>
    <w:rsid w:val="1D2E4D9C"/>
    <w:rsid w:val="1D5CEF8A"/>
    <w:rsid w:val="1D6A1E9A"/>
    <w:rsid w:val="1D9148E0"/>
    <w:rsid w:val="1D927ECD"/>
    <w:rsid w:val="1DAE0D6C"/>
    <w:rsid w:val="1DC64CBE"/>
    <w:rsid w:val="1DF880E2"/>
    <w:rsid w:val="1E3E4971"/>
    <w:rsid w:val="1E5D52DF"/>
    <w:rsid w:val="1E651B9F"/>
    <w:rsid w:val="1E87CCDC"/>
    <w:rsid w:val="1E9BAC50"/>
    <w:rsid w:val="1E9D69AB"/>
    <w:rsid w:val="1EFC3B25"/>
    <w:rsid w:val="1F259344"/>
    <w:rsid w:val="1F4B9FE8"/>
    <w:rsid w:val="1F57F328"/>
    <w:rsid w:val="1F6B54CB"/>
    <w:rsid w:val="1FB03F57"/>
    <w:rsid w:val="1FC626C4"/>
    <w:rsid w:val="1FD7DA2B"/>
    <w:rsid w:val="1FDF74CD"/>
    <w:rsid w:val="1FF0B724"/>
    <w:rsid w:val="20159EC5"/>
    <w:rsid w:val="202EA724"/>
    <w:rsid w:val="202F9BB6"/>
    <w:rsid w:val="20935055"/>
    <w:rsid w:val="20E3950F"/>
    <w:rsid w:val="2176331B"/>
    <w:rsid w:val="2203BB7A"/>
    <w:rsid w:val="2281D759"/>
    <w:rsid w:val="22C763F7"/>
    <w:rsid w:val="22D149BC"/>
    <w:rsid w:val="23BB7843"/>
    <w:rsid w:val="24139FA3"/>
    <w:rsid w:val="24615F7C"/>
    <w:rsid w:val="24A4D826"/>
    <w:rsid w:val="24C2660A"/>
    <w:rsid w:val="250C2DB9"/>
    <w:rsid w:val="250ED34E"/>
    <w:rsid w:val="251ACE3E"/>
    <w:rsid w:val="25720436"/>
    <w:rsid w:val="25752687"/>
    <w:rsid w:val="25D27F06"/>
    <w:rsid w:val="2609B3DE"/>
    <w:rsid w:val="263E8CD9"/>
    <w:rsid w:val="264CDF1E"/>
    <w:rsid w:val="266F3EB8"/>
    <w:rsid w:val="26A21863"/>
    <w:rsid w:val="272A356E"/>
    <w:rsid w:val="274426BA"/>
    <w:rsid w:val="279C4F6B"/>
    <w:rsid w:val="282F17BA"/>
    <w:rsid w:val="283DDC04"/>
    <w:rsid w:val="28993252"/>
    <w:rsid w:val="28B0C384"/>
    <w:rsid w:val="28F0DC85"/>
    <w:rsid w:val="29213DE1"/>
    <w:rsid w:val="29697CAB"/>
    <w:rsid w:val="29738CC1"/>
    <w:rsid w:val="297943C9"/>
    <w:rsid w:val="29C1C19C"/>
    <w:rsid w:val="29EE4DA6"/>
    <w:rsid w:val="29F8038E"/>
    <w:rsid w:val="2ABA46D7"/>
    <w:rsid w:val="2ACE3F21"/>
    <w:rsid w:val="2B4CC9A8"/>
    <w:rsid w:val="2BAD1610"/>
    <w:rsid w:val="2BBE18A2"/>
    <w:rsid w:val="2BDE0E28"/>
    <w:rsid w:val="2BE405B3"/>
    <w:rsid w:val="2C3C95B2"/>
    <w:rsid w:val="2D8C0103"/>
    <w:rsid w:val="2DA42F12"/>
    <w:rsid w:val="2DF37407"/>
    <w:rsid w:val="2DF40817"/>
    <w:rsid w:val="2E05A640"/>
    <w:rsid w:val="2E290F47"/>
    <w:rsid w:val="2E5EC857"/>
    <w:rsid w:val="2EC532F3"/>
    <w:rsid w:val="2ED02519"/>
    <w:rsid w:val="2FA7800A"/>
    <w:rsid w:val="2FC80058"/>
    <w:rsid w:val="2FDA561A"/>
    <w:rsid w:val="300980A1"/>
    <w:rsid w:val="30329E4B"/>
    <w:rsid w:val="30E0633D"/>
    <w:rsid w:val="3121D5EB"/>
    <w:rsid w:val="316DCED8"/>
    <w:rsid w:val="317BB67F"/>
    <w:rsid w:val="31985FDE"/>
    <w:rsid w:val="31DD2AFE"/>
    <w:rsid w:val="3262C5CC"/>
    <w:rsid w:val="3264B215"/>
    <w:rsid w:val="327667A3"/>
    <w:rsid w:val="32D930C9"/>
    <w:rsid w:val="330A548F"/>
    <w:rsid w:val="3312EE9C"/>
    <w:rsid w:val="3325C50E"/>
    <w:rsid w:val="332A0125"/>
    <w:rsid w:val="335C2B24"/>
    <w:rsid w:val="338A705E"/>
    <w:rsid w:val="33B9CF91"/>
    <w:rsid w:val="342A28A7"/>
    <w:rsid w:val="342D7161"/>
    <w:rsid w:val="34E2E394"/>
    <w:rsid w:val="352A8C72"/>
    <w:rsid w:val="35783CCD"/>
    <w:rsid w:val="3630AFD4"/>
    <w:rsid w:val="36BD5CC4"/>
    <w:rsid w:val="36F83E5E"/>
    <w:rsid w:val="373EF767"/>
    <w:rsid w:val="3741172D"/>
    <w:rsid w:val="376E517D"/>
    <w:rsid w:val="3775B1B6"/>
    <w:rsid w:val="379CBEA4"/>
    <w:rsid w:val="37D302F3"/>
    <w:rsid w:val="381AB76F"/>
    <w:rsid w:val="386B4A49"/>
    <w:rsid w:val="387BCC6C"/>
    <w:rsid w:val="3910F28C"/>
    <w:rsid w:val="391A3D16"/>
    <w:rsid w:val="391ECE13"/>
    <w:rsid w:val="394750C1"/>
    <w:rsid w:val="394A77FD"/>
    <w:rsid w:val="3953A0BE"/>
    <w:rsid w:val="3953BD7F"/>
    <w:rsid w:val="398C2F08"/>
    <w:rsid w:val="399CF0FB"/>
    <w:rsid w:val="39B942E8"/>
    <w:rsid w:val="39BA8523"/>
    <w:rsid w:val="3A286D15"/>
    <w:rsid w:val="3A339B88"/>
    <w:rsid w:val="3A68082B"/>
    <w:rsid w:val="3A85E4C3"/>
    <w:rsid w:val="3ACC9A8A"/>
    <w:rsid w:val="3B25C778"/>
    <w:rsid w:val="3B635055"/>
    <w:rsid w:val="3C7D0BEC"/>
    <w:rsid w:val="3CB698D2"/>
    <w:rsid w:val="3CB9C783"/>
    <w:rsid w:val="3CC47487"/>
    <w:rsid w:val="3D4722C4"/>
    <w:rsid w:val="3D55F763"/>
    <w:rsid w:val="3DCEDA12"/>
    <w:rsid w:val="3E541CBC"/>
    <w:rsid w:val="3E7C1747"/>
    <w:rsid w:val="3EAD804B"/>
    <w:rsid w:val="3F4F3AD1"/>
    <w:rsid w:val="3F840A47"/>
    <w:rsid w:val="3FD9205D"/>
    <w:rsid w:val="3FDC637D"/>
    <w:rsid w:val="4021006D"/>
    <w:rsid w:val="405169B8"/>
    <w:rsid w:val="4081A609"/>
    <w:rsid w:val="40B32E86"/>
    <w:rsid w:val="40E7FE9B"/>
    <w:rsid w:val="40FC025F"/>
    <w:rsid w:val="411A37BC"/>
    <w:rsid w:val="4124CDED"/>
    <w:rsid w:val="416FD6AA"/>
    <w:rsid w:val="41A6B0A5"/>
    <w:rsid w:val="41AC3657"/>
    <w:rsid w:val="41D35105"/>
    <w:rsid w:val="41F50309"/>
    <w:rsid w:val="42281EAB"/>
    <w:rsid w:val="422C474D"/>
    <w:rsid w:val="423D0F28"/>
    <w:rsid w:val="425FC1F2"/>
    <w:rsid w:val="4286B04F"/>
    <w:rsid w:val="428FF31E"/>
    <w:rsid w:val="429B2342"/>
    <w:rsid w:val="42B0CADA"/>
    <w:rsid w:val="42D21A19"/>
    <w:rsid w:val="42E7C19B"/>
    <w:rsid w:val="4378EB48"/>
    <w:rsid w:val="437B452A"/>
    <w:rsid w:val="447727BE"/>
    <w:rsid w:val="4498DF0F"/>
    <w:rsid w:val="44A79E03"/>
    <w:rsid w:val="44D78944"/>
    <w:rsid w:val="4527115F"/>
    <w:rsid w:val="459C120C"/>
    <w:rsid w:val="4602A998"/>
    <w:rsid w:val="4632AFB2"/>
    <w:rsid w:val="46F415D1"/>
    <w:rsid w:val="470569DC"/>
    <w:rsid w:val="47131344"/>
    <w:rsid w:val="471887C3"/>
    <w:rsid w:val="47498EA0"/>
    <w:rsid w:val="476B26E9"/>
    <w:rsid w:val="478B3619"/>
    <w:rsid w:val="47A7E593"/>
    <w:rsid w:val="47E17039"/>
    <w:rsid w:val="4802847F"/>
    <w:rsid w:val="481A2AC1"/>
    <w:rsid w:val="484C915F"/>
    <w:rsid w:val="487DF239"/>
    <w:rsid w:val="489BD7DD"/>
    <w:rsid w:val="4930ECC0"/>
    <w:rsid w:val="498886A5"/>
    <w:rsid w:val="49ADD2EE"/>
    <w:rsid w:val="49D49E2A"/>
    <w:rsid w:val="4A08DA44"/>
    <w:rsid w:val="4A477927"/>
    <w:rsid w:val="4A590993"/>
    <w:rsid w:val="4A6F913B"/>
    <w:rsid w:val="4ADFBAE0"/>
    <w:rsid w:val="4AE07BE0"/>
    <w:rsid w:val="4B22771E"/>
    <w:rsid w:val="4B31081D"/>
    <w:rsid w:val="4B32A691"/>
    <w:rsid w:val="4B567B76"/>
    <w:rsid w:val="4B727AF0"/>
    <w:rsid w:val="4BC20FD1"/>
    <w:rsid w:val="4BD4A9C3"/>
    <w:rsid w:val="4C136590"/>
    <w:rsid w:val="4CC6CF8B"/>
    <w:rsid w:val="4D2E1045"/>
    <w:rsid w:val="4D573FD6"/>
    <w:rsid w:val="4D79529D"/>
    <w:rsid w:val="4D8C25DA"/>
    <w:rsid w:val="4D9411A8"/>
    <w:rsid w:val="4DA95BA8"/>
    <w:rsid w:val="4DED02B1"/>
    <w:rsid w:val="4E06ABC0"/>
    <w:rsid w:val="4E473D76"/>
    <w:rsid w:val="4E570091"/>
    <w:rsid w:val="4E78251B"/>
    <w:rsid w:val="4EBBF741"/>
    <w:rsid w:val="4ECB3172"/>
    <w:rsid w:val="4EDFA93D"/>
    <w:rsid w:val="4F2F5F3C"/>
    <w:rsid w:val="4F3AD0C2"/>
    <w:rsid w:val="4F6BC943"/>
    <w:rsid w:val="4F849BC5"/>
    <w:rsid w:val="4FA92B17"/>
    <w:rsid w:val="516C19D1"/>
    <w:rsid w:val="51BA04D9"/>
    <w:rsid w:val="52B6C4B8"/>
    <w:rsid w:val="53273153"/>
    <w:rsid w:val="5395FF53"/>
    <w:rsid w:val="53F8C202"/>
    <w:rsid w:val="5453497E"/>
    <w:rsid w:val="54719A6B"/>
    <w:rsid w:val="54D4872D"/>
    <w:rsid w:val="555EA775"/>
    <w:rsid w:val="557EFF3E"/>
    <w:rsid w:val="55D2031F"/>
    <w:rsid w:val="55EF97FD"/>
    <w:rsid w:val="5632107D"/>
    <w:rsid w:val="56457091"/>
    <w:rsid w:val="5656B01C"/>
    <w:rsid w:val="5689ED12"/>
    <w:rsid w:val="56A0D8B9"/>
    <w:rsid w:val="56D8B60D"/>
    <w:rsid w:val="56E8DDA8"/>
    <w:rsid w:val="573256E2"/>
    <w:rsid w:val="5741CE8F"/>
    <w:rsid w:val="579450DE"/>
    <w:rsid w:val="5843AE86"/>
    <w:rsid w:val="58769A2D"/>
    <w:rsid w:val="58A92CF4"/>
    <w:rsid w:val="59518A6B"/>
    <w:rsid w:val="5976B893"/>
    <w:rsid w:val="599A75CA"/>
    <w:rsid w:val="59CC5F0A"/>
    <w:rsid w:val="5A0316F3"/>
    <w:rsid w:val="5A12479E"/>
    <w:rsid w:val="5A3CC3BB"/>
    <w:rsid w:val="5AAA64B8"/>
    <w:rsid w:val="5B217304"/>
    <w:rsid w:val="5B67C15D"/>
    <w:rsid w:val="5B7599DA"/>
    <w:rsid w:val="5B9D6878"/>
    <w:rsid w:val="5BA79C04"/>
    <w:rsid w:val="5BC53174"/>
    <w:rsid w:val="5C9AC21B"/>
    <w:rsid w:val="5C9FFBEC"/>
    <w:rsid w:val="5CDA0434"/>
    <w:rsid w:val="5CE652CE"/>
    <w:rsid w:val="5D0F1B3F"/>
    <w:rsid w:val="5D4D45E1"/>
    <w:rsid w:val="5D657D1E"/>
    <w:rsid w:val="5DD5D61F"/>
    <w:rsid w:val="5DE3FB64"/>
    <w:rsid w:val="5E1F30B3"/>
    <w:rsid w:val="5E3BA1A7"/>
    <w:rsid w:val="5E4077EA"/>
    <w:rsid w:val="5E667860"/>
    <w:rsid w:val="5EAC5F3D"/>
    <w:rsid w:val="5EDB1FAF"/>
    <w:rsid w:val="5EE6F996"/>
    <w:rsid w:val="5EE99508"/>
    <w:rsid w:val="5EF37799"/>
    <w:rsid w:val="60302118"/>
    <w:rsid w:val="60491137"/>
    <w:rsid w:val="605371F6"/>
    <w:rsid w:val="6061B06D"/>
    <w:rsid w:val="607B102D"/>
    <w:rsid w:val="60D8555B"/>
    <w:rsid w:val="60E907B0"/>
    <w:rsid w:val="612059EF"/>
    <w:rsid w:val="614A1BA5"/>
    <w:rsid w:val="61860AA9"/>
    <w:rsid w:val="62593580"/>
    <w:rsid w:val="6316B9FD"/>
    <w:rsid w:val="632FA17C"/>
    <w:rsid w:val="63606CCE"/>
    <w:rsid w:val="63654F36"/>
    <w:rsid w:val="6400484B"/>
    <w:rsid w:val="642AE504"/>
    <w:rsid w:val="64C7BCE8"/>
    <w:rsid w:val="64E25C8C"/>
    <w:rsid w:val="65202284"/>
    <w:rsid w:val="6548E027"/>
    <w:rsid w:val="656DB7F1"/>
    <w:rsid w:val="65AB5807"/>
    <w:rsid w:val="65D23326"/>
    <w:rsid w:val="65D9F138"/>
    <w:rsid w:val="65FCA97B"/>
    <w:rsid w:val="6601CFA5"/>
    <w:rsid w:val="661736AD"/>
    <w:rsid w:val="66391331"/>
    <w:rsid w:val="665D128E"/>
    <w:rsid w:val="6668EFAA"/>
    <w:rsid w:val="6688CD4C"/>
    <w:rsid w:val="66C40D7E"/>
    <w:rsid w:val="67356EE5"/>
    <w:rsid w:val="67720AB9"/>
    <w:rsid w:val="67BD510F"/>
    <w:rsid w:val="67CC3EE4"/>
    <w:rsid w:val="688735DF"/>
    <w:rsid w:val="68AE85A7"/>
    <w:rsid w:val="68B59CF4"/>
    <w:rsid w:val="691F6F93"/>
    <w:rsid w:val="6972ED98"/>
    <w:rsid w:val="6A12C651"/>
    <w:rsid w:val="6A204467"/>
    <w:rsid w:val="6A765CF5"/>
    <w:rsid w:val="6AE17A0F"/>
    <w:rsid w:val="6B20D588"/>
    <w:rsid w:val="6B3AFC35"/>
    <w:rsid w:val="6B3EFEB7"/>
    <w:rsid w:val="6B47DE0D"/>
    <w:rsid w:val="6B74EF36"/>
    <w:rsid w:val="6BBB422D"/>
    <w:rsid w:val="6C2A1530"/>
    <w:rsid w:val="6C33F2AB"/>
    <w:rsid w:val="6C4C29E8"/>
    <w:rsid w:val="6C700E06"/>
    <w:rsid w:val="6CA0ADE2"/>
    <w:rsid w:val="6CEBC88F"/>
    <w:rsid w:val="6CF186D6"/>
    <w:rsid w:val="6CF9F365"/>
    <w:rsid w:val="6D32E5CB"/>
    <w:rsid w:val="6D55A140"/>
    <w:rsid w:val="6E0E60CC"/>
    <w:rsid w:val="6E3155FE"/>
    <w:rsid w:val="6E83F187"/>
    <w:rsid w:val="6EC357E7"/>
    <w:rsid w:val="6F2293AC"/>
    <w:rsid w:val="6F69F2AF"/>
    <w:rsid w:val="6F6B0E82"/>
    <w:rsid w:val="6F6C10DF"/>
    <w:rsid w:val="6FE4C770"/>
    <w:rsid w:val="6FE7D338"/>
    <w:rsid w:val="71990B29"/>
    <w:rsid w:val="71B4B07B"/>
    <w:rsid w:val="71BC0A74"/>
    <w:rsid w:val="71D93BD7"/>
    <w:rsid w:val="720645F7"/>
    <w:rsid w:val="7241E369"/>
    <w:rsid w:val="7250F418"/>
    <w:rsid w:val="72CB1FBA"/>
    <w:rsid w:val="732AB3BD"/>
    <w:rsid w:val="7343E0CA"/>
    <w:rsid w:val="734932D5"/>
    <w:rsid w:val="7357254D"/>
    <w:rsid w:val="7360B277"/>
    <w:rsid w:val="73B7725E"/>
    <w:rsid w:val="73CC5B31"/>
    <w:rsid w:val="742E33DA"/>
    <w:rsid w:val="7439FCD3"/>
    <w:rsid w:val="7477F320"/>
    <w:rsid w:val="74C13B9B"/>
    <w:rsid w:val="74CB401F"/>
    <w:rsid w:val="74D58A43"/>
    <w:rsid w:val="7505541E"/>
    <w:rsid w:val="75240253"/>
    <w:rsid w:val="75468BC5"/>
    <w:rsid w:val="75C81216"/>
    <w:rsid w:val="767C1DE1"/>
    <w:rsid w:val="76974271"/>
    <w:rsid w:val="76A56DA7"/>
    <w:rsid w:val="76AD6B0E"/>
    <w:rsid w:val="773497B0"/>
    <w:rsid w:val="778FAEEA"/>
    <w:rsid w:val="77B9CF9A"/>
    <w:rsid w:val="785E5D92"/>
    <w:rsid w:val="78A35D6F"/>
    <w:rsid w:val="78ABA4B3"/>
    <w:rsid w:val="78F705CF"/>
    <w:rsid w:val="791DD497"/>
    <w:rsid w:val="79846507"/>
    <w:rsid w:val="798ADC19"/>
    <w:rsid w:val="7998B6A1"/>
    <w:rsid w:val="79D20D89"/>
    <w:rsid w:val="7A120064"/>
    <w:rsid w:val="7A1CF7DE"/>
    <w:rsid w:val="7A31AF48"/>
    <w:rsid w:val="7A60E54C"/>
    <w:rsid w:val="7A624CC7"/>
    <w:rsid w:val="7A95D921"/>
    <w:rsid w:val="7AA22512"/>
    <w:rsid w:val="7ADA7F9A"/>
    <w:rsid w:val="7B4F4B84"/>
    <w:rsid w:val="7B82E944"/>
    <w:rsid w:val="7B987172"/>
    <w:rsid w:val="7BC08AB3"/>
    <w:rsid w:val="7C324369"/>
    <w:rsid w:val="7C60178E"/>
    <w:rsid w:val="7C911158"/>
    <w:rsid w:val="7E2B73FC"/>
    <w:rsid w:val="7E4B3699"/>
    <w:rsid w:val="7E7857B9"/>
    <w:rsid w:val="7EAC3BD7"/>
    <w:rsid w:val="7EFB0E9D"/>
    <w:rsid w:val="7F905DB5"/>
    <w:rsid w:val="7FE1EB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B4CC9A8"/>
  <w15:chartTrackingRefBased/>
  <w15:docId w15:val="{C9721D12-AB2C-40AD-85CE-0264F82A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1DE0D35"/>
    <w:rPr>
      <w:color w:val="467886"/>
      <w:u w:val="single"/>
    </w:rPr>
  </w:style>
  <w:style w:type="character" w:styleId="FollowedHyperlink">
    <w:name w:val="FollowedHyperlink"/>
    <w:basedOn w:val="DefaultParagraphFont"/>
    <w:uiPriority w:val="99"/>
    <w:semiHidden/>
    <w:unhideWhenUsed/>
    <w:rsid w:val="00266BA8"/>
    <w:rPr>
      <w:color w:val="96607D" w:themeColor="followedHyperlink"/>
      <w:u w:val="single"/>
    </w:rPr>
  </w:style>
  <w:style w:type="paragraph" w:styleId="Revision">
    <w:name w:val="Revision"/>
    <w:hidden/>
    <w:uiPriority w:val="99"/>
    <w:semiHidden/>
    <w:rsid w:val="00FC63B5"/>
    <w:pPr>
      <w:spacing w:after="0" w:line="240" w:lineRule="auto"/>
    </w:pPr>
  </w:style>
  <w:style w:type="paragraph" w:styleId="ListParagraph">
    <w:name w:val="List Paragraph"/>
    <w:basedOn w:val="Normal"/>
    <w:uiPriority w:val="34"/>
    <w:qFormat/>
    <w:rsid w:val="11BFA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rec/share/_S011rzRPweIzk4vFGUr_MhkalirtWUMa2_Cs3shZ1OjresSz66ni_jxgXQcq1Lb.K1butpVFRn1ZXMVu?startTime=174775881400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ropbox.com/scl/fi/4ine3cvrj4hs91lh8v8t2/250306_PDS02-RESNET-C1550.docx?rlkey=ldaow0956tyw1qiflzc69ewco&amp;e=2&amp;st=bldtfv8p&amp;dl=0" TargetMode="External"/><Relationship Id="rId4" Type="http://schemas.openxmlformats.org/officeDocument/2006/relationships/numbering" Target="numbering.xml"/><Relationship Id="rId9" Type="http://schemas.openxmlformats.org/officeDocument/2006/relationships/hyperlink" Target="https://www.dropbox.com/scl/fi/q3hav075rr9lqavu8v7zt/250306_1550-Comments_PDS01.xlsx?rlkey=qsse0tkxemk66xzfqyqlpixze&amp;e=2&amp;st=0he7g79s&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5279A-1ABF-4ED7-AFA0-4165F2A8CB3D}">
  <ds:schemaRefs>
    <ds:schemaRef ds:uri="http://schemas.microsoft.com/sharepoint/v3/contenttype/forms"/>
  </ds:schemaRefs>
</ds:datastoreItem>
</file>

<file path=customXml/itemProps2.xml><?xml version="1.0" encoding="utf-8"?>
<ds:datastoreItem xmlns:ds="http://schemas.openxmlformats.org/officeDocument/2006/customXml" ds:itemID="{E3405281-ACBC-4003-8A69-C00435B1C63C}">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3.xml><?xml version="1.0" encoding="utf-8"?>
<ds:datastoreItem xmlns:ds="http://schemas.openxmlformats.org/officeDocument/2006/customXml" ds:itemID="{EEB5006C-4B9C-4CC8-8D2C-FF07E95D8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6067</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Stewart</dc:creator>
  <cp:keywords/>
  <dc:description/>
  <cp:lastModifiedBy>Katie Stewart</cp:lastModifiedBy>
  <cp:revision>19</cp:revision>
  <dcterms:created xsi:type="dcterms:W3CDTF">2025-04-29T10:46:00Z</dcterms:created>
  <dcterms:modified xsi:type="dcterms:W3CDTF">2025-05-20T20:40:00Z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