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2BDA5FE6" w14:textId="33F3D4DD" w:rsidR="003B35B9" w:rsidRDefault="00DF19BB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17</w:t>
      </w:r>
      <w:r w:rsidRPr="00DF19B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2024</w:t>
      </w:r>
    </w:p>
    <w:p w14:paraId="739DC721" w14:textId="0D7CC16F" w:rsidR="003B35B9" w:rsidRDefault="000F1FA5" w:rsidP="003B35B9">
      <w:pPr>
        <w:jc w:val="center"/>
        <w:rPr>
          <w:i/>
          <w:iCs/>
          <w:sz w:val="22"/>
          <w:szCs w:val="22"/>
        </w:rPr>
      </w:pPr>
      <w:hyperlink r:id="rId10" w:history="1">
        <w:r w:rsidR="003B35B9" w:rsidRPr="000F1FA5">
          <w:rPr>
            <w:rStyle w:val="Hyperlink"/>
            <w:i/>
            <w:iCs/>
            <w:sz w:val="22"/>
            <w:szCs w:val="22"/>
          </w:rPr>
          <w:t>MEETING RECORDING HERE</w:t>
        </w:r>
      </w:hyperlink>
    </w:p>
    <w:p w14:paraId="2E57DFE9" w14:textId="42013C00" w:rsidR="000F1FA5" w:rsidRDefault="000F1FA5" w:rsidP="000F1FA5">
      <w:pPr>
        <w:jc w:val="center"/>
        <w:rPr>
          <w:i/>
          <w:iCs/>
          <w:sz w:val="22"/>
          <w:szCs w:val="22"/>
        </w:rPr>
      </w:pPr>
      <w:r w:rsidRPr="000F1FA5">
        <w:rPr>
          <w:i/>
          <w:iCs/>
          <w:sz w:val="22"/>
          <w:szCs w:val="22"/>
        </w:rPr>
        <w:t>Passcode: $v5L2F@G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B35B9" w14:paraId="045FECA0" w14:textId="77777777" w:rsidTr="00332E22">
        <w:trPr>
          <w:trHeight w:val="323"/>
        </w:trPr>
        <w:tc>
          <w:tcPr>
            <w:tcW w:w="3102" w:type="dxa"/>
          </w:tcPr>
          <w:p w14:paraId="3733D018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03" w:type="dxa"/>
          </w:tcPr>
          <w:p w14:paraId="59C3039B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296E37D0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3B35B9" w14:paraId="4D458753" w14:textId="77777777" w:rsidTr="00332E22">
        <w:trPr>
          <w:trHeight w:val="3824"/>
        </w:trPr>
        <w:tc>
          <w:tcPr>
            <w:tcW w:w="3102" w:type="dxa"/>
          </w:tcPr>
          <w:p w14:paraId="6F05633B" w14:textId="77777777" w:rsidR="003B35B9" w:rsidRDefault="003B35B9" w:rsidP="00332E22">
            <w:r>
              <w:t>SDC MEMBERS</w:t>
            </w:r>
          </w:p>
          <w:p w14:paraId="5F14824E" w14:textId="77777777" w:rsidR="003B35B9" w:rsidRDefault="00460C9D" w:rsidP="00DF19BB">
            <w:r>
              <w:t>David Goldstein</w:t>
            </w:r>
          </w:p>
          <w:p w14:paraId="38B63650" w14:textId="77777777" w:rsidR="00460C9D" w:rsidRDefault="00460C9D" w:rsidP="00DF19BB">
            <w:r>
              <w:t>Leo Jansen</w:t>
            </w:r>
          </w:p>
          <w:p w14:paraId="2BD95BAE" w14:textId="77777777" w:rsidR="00460C9D" w:rsidRDefault="00460C9D" w:rsidP="00DF19BB">
            <w:r>
              <w:t>Mike Browne</w:t>
            </w:r>
          </w:p>
          <w:p w14:paraId="4999FC2A" w14:textId="77777777" w:rsidR="00460C9D" w:rsidRDefault="00460C9D" w:rsidP="00DF19BB">
            <w:r>
              <w:t xml:space="preserve">Roland </w:t>
            </w:r>
            <w:proofErr w:type="spellStart"/>
            <w:r>
              <w:t>Rissser</w:t>
            </w:r>
            <w:proofErr w:type="spellEnd"/>
          </w:p>
          <w:p w14:paraId="42A666F7" w14:textId="77777777" w:rsidR="00460C9D" w:rsidRDefault="00460C9D" w:rsidP="00DF19BB">
            <w:r>
              <w:t>Brendan O’Brien</w:t>
            </w:r>
          </w:p>
          <w:p w14:paraId="3BD06F1C" w14:textId="77777777" w:rsidR="00460C9D" w:rsidRDefault="00460C9D" w:rsidP="00DF19BB">
            <w:r>
              <w:t>Anna Kelly</w:t>
            </w:r>
          </w:p>
          <w:p w14:paraId="1D07EC22" w14:textId="77777777" w:rsidR="00460C9D" w:rsidRDefault="00460C9D" w:rsidP="00DF19BB">
            <w:r>
              <w:t>Craig Sinnamon</w:t>
            </w:r>
          </w:p>
          <w:p w14:paraId="630C9DDA" w14:textId="33CD8C99" w:rsidR="00347962" w:rsidRDefault="00347962" w:rsidP="00DF19BB">
            <w:r>
              <w:t>Jonath</w:t>
            </w:r>
            <w:r w:rsidR="00FA7A91">
              <w:t>o</w:t>
            </w:r>
            <w:r>
              <w:t>n Arnold (12:07 PM ET)</w:t>
            </w:r>
          </w:p>
        </w:tc>
        <w:tc>
          <w:tcPr>
            <w:tcW w:w="3103" w:type="dxa"/>
          </w:tcPr>
          <w:p w14:paraId="4E649ABB" w14:textId="77777777" w:rsidR="003B35B9" w:rsidRDefault="00AD4D3D" w:rsidP="00332E22">
            <w:r>
              <w:t>Philip Fairey</w:t>
            </w:r>
          </w:p>
          <w:p w14:paraId="25C36CEF" w14:textId="77777777" w:rsidR="00AD4D3D" w:rsidRDefault="00AD4D3D" w:rsidP="00332E22">
            <w:r>
              <w:t>Asa Foss</w:t>
            </w:r>
          </w:p>
          <w:p w14:paraId="153B7598" w14:textId="77777777" w:rsidR="0093643B" w:rsidRDefault="0093643B" w:rsidP="00332E22">
            <w:r>
              <w:t>Steve Byers</w:t>
            </w:r>
          </w:p>
          <w:p w14:paraId="7610A81B" w14:textId="3A97B7FE" w:rsidR="0093643B" w:rsidRDefault="0093643B" w:rsidP="00332E22"/>
        </w:tc>
        <w:tc>
          <w:tcPr>
            <w:tcW w:w="3103" w:type="dxa"/>
          </w:tcPr>
          <w:p w14:paraId="62B8874B" w14:textId="77777777" w:rsidR="003B35B9" w:rsidRDefault="00460C9D" w:rsidP="00DF19BB">
            <w:r>
              <w:t>RESNET Staff</w:t>
            </w:r>
          </w:p>
          <w:p w14:paraId="266FAFEC" w14:textId="77777777" w:rsidR="00460C9D" w:rsidRDefault="00460C9D" w:rsidP="00DF19BB">
            <w:r>
              <w:t>Noah Kibbe</w:t>
            </w:r>
          </w:p>
          <w:p w14:paraId="0C9F106B" w14:textId="2750E39A" w:rsidR="00460C9D" w:rsidRDefault="00460C9D" w:rsidP="00DF19BB">
            <w:r>
              <w:t>Rick Dixon</w:t>
            </w:r>
          </w:p>
        </w:tc>
      </w:tr>
    </w:tbl>
    <w:p w14:paraId="3D8CB36F" w14:textId="77777777" w:rsidR="003B35B9" w:rsidRPr="003B35B9" w:rsidRDefault="003B35B9" w:rsidP="003B35B9">
      <w:pPr>
        <w:jc w:val="center"/>
        <w:rPr>
          <w:i/>
          <w:iCs/>
          <w:sz w:val="22"/>
          <w:szCs w:val="22"/>
        </w:rPr>
      </w:pPr>
    </w:p>
    <w:p w14:paraId="4CF1927B" w14:textId="511AC06D" w:rsidR="003B35B9" w:rsidRDefault="00EA04BD" w:rsidP="00EA04BD">
      <w:r>
        <w:t xml:space="preserve">Meeting called to order </w:t>
      </w:r>
      <w:r w:rsidR="00DF19BB">
        <w:t xml:space="preserve">at </w:t>
      </w:r>
      <w:r w:rsidR="00315936">
        <w:t>12:04 PM ET</w:t>
      </w:r>
    </w:p>
    <w:p w14:paraId="31116833" w14:textId="77777777" w:rsidR="00E333DB" w:rsidRDefault="00E333DB" w:rsidP="00EA04BD"/>
    <w:p w14:paraId="24478390" w14:textId="02FE0DC9" w:rsidR="00A5729F" w:rsidRPr="00A5729F" w:rsidRDefault="00A5729F" w:rsidP="00EA04BD">
      <w:pPr>
        <w:rPr>
          <w:b/>
          <w:bCs/>
        </w:rPr>
      </w:pPr>
      <w:r>
        <w:rPr>
          <w:b/>
          <w:bCs/>
        </w:rPr>
        <w:t>Review Agenda</w:t>
      </w:r>
    </w:p>
    <w:p w14:paraId="1913BFA8" w14:textId="77777777" w:rsidR="00DF19BB" w:rsidRDefault="00DF19BB" w:rsidP="003B35B9"/>
    <w:p w14:paraId="022636C7" w14:textId="0F5FC199" w:rsidR="00795215" w:rsidRPr="00E333DB" w:rsidRDefault="00795215" w:rsidP="00795215">
      <w:pPr>
        <w:rPr>
          <w:b/>
          <w:bCs/>
        </w:rPr>
      </w:pPr>
      <w:r w:rsidRPr="00795215">
        <w:rPr>
          <w:b/>
          <w:bCs/>
        </w:rPr>
        <w:t xml:space="preserve">Review of </w:t>
      </w:r>
      <w:r w:rsidR="00A5729F">
        <w:rPr>
          <w:b/>
          <w:bCs/>
        </w:rPr>
        <w:t>May Meeting Minutes</w:t>
      </w:r>
    </w:p>
    <w:p w14:paraId="55A0071F" w14:textId="6A4FD0E7" w:rsidR="00795215" w:rsidRDefault="00A5729F" w:rsidP="00795215">
      <w:r>
        <w:t>Roland moved to approve the minutes. Anna seconded. The motion was passed unanimously.</w:t>
      </w:r>
    </w:p>
    <w:p w14:paraId="3DF0E162" w14:textId="77777777" w:rsidR="00795215" w:rsidRPr="00795215" w:rsidRDefault="00795215" w:rsidP="00795215"/>
    <w:p w14:paraId="0F10268B" w14:textId="3483001A" w:rsidR="00795215" w:rsidRDefault="00795215" w:rsidP="00795215">
      <w:pPr>
        <w:rPr>
          <w:b/>
          <w:bCs/>
        </w:rPr>
      </w:pPr>
      <w:r w:rsidRPr="00795215">
        <w:rPr>
          <w:b/>
          <w:bCs/>
        </w:rPr>
        <w:t>Report of T</w:t>
      </w:r>
      <w:r w:rsidR="00CC5BAA">
        <w:rPr>
          <w:b/>
          <w:bCs/>
        </w:rPr>
        <w:t>ask Group</w:t>
      </w:r>
    </w:p>
    <w:p w14:paraId="63CBB689" w14:textId="2CBF536E" w:rsidR="00795215" w:rsidRDefault="00347962" w:rsidP="00795215">
      <w:r>
        <w:t>The assignment of the Task Group was to assign draft language for the Standard with a Foreword outlining the assignment.</w:t>
      </w:r>
    </w:p>
    <w:p w14:paraId="5DA74D99" w14:textId="4723A8BD" w:rsidR="00CC5BAA" w:rsidRDefault="00CC5BAA" w:rsidP="00795215">
      <w:r>
        <w:t>This process parallels Standard 301.</w:t>
      </w:r>
    </w:p>
    <w:p w14:paraId="7D90AFC0" w14:textId="3335CDFB" w:rsidR="00EF6104" w:rsidRDefault="00803F63" w:rsidP="00795215">
      <w:r>
        <w:t xml:space="preserve">The Task Group suggested inviting the author of the </w:t>
      </w:r>
      <w:r w:rsidR="00A94222">
        <w:t>Cambium</w:t>
      </w:r>
      <w:r w:rsidR="00EF6104">
        <w:t xml:space="preserve"> </w:t>
      </w:r>
      <w:r>
        <w:t xml:space="preserve">database to the meeting to ensure accuracy. </w:t>
      </w:r>
    </w:p>
    <w:p w14:paraId="75F4007C" w14:textId="37F643B8" w:rsidR="00803F63" w:rsidRDefault="00803F63" w:rsidP="00795215">
      <w:r>
        <w:t>The Task Group met twice.</w:t>
      </w:r>
    </w:p>
    <w:p w14:paraId="00F89C3E" w14:textId="58C662CF" w:rsidR="00803F63" w:rsidRDefault="00803F63" w:rsidP="00EF6104">
      <w:pPr>
        <w:pStyle w:val="ListParagraph"/>
        <w:numPr>
          <w:ilvl w:val="0"/>
          <w:numId w:val="1"/>
        </w:numPr>
      </w:pPr>
      <w:r>
        <w:t>The first meeting focused on refinements to the language.</w:t>
      </w:r>
    </w:p>
    <w:p w14:paraId="4B67CDC9" w14:textId="1C937E91" w:rsidR="00803F63" w:rsidRDefault="00803F63" w:rsidP="00EF6104">
      <w:pPr>
        <w:pStyle w:val="ListParagraph"/>
        <w:numPr>
          <w:ilvl w:val="0"/>
          <w:numId w:val="1"/>
        </w:numPr>
      </w:pPr>
      <w:r>
        <w:t xml:space="preserve">The second meeting was technically focused on what </w:t>
      </w:r>
      <w:r w:rsidR="00EF6104">
        <w:t>details were in/correct.</w:t>
      </w:r>
    </w:p>
    <w:p w14:paraId="3AB79592" w14:textId="373DE0AE" w:rsidR="00EF6104" w:rsidRDefault="001E3B58" w:rsidP="00EF6104">
      <w:r>
        <w:t xml:space="preserve">The Task Group will propose that </w:t>
      </w:r>
      <w:r w:rsidR="00304022">
        <w:t>eight</w:t>
      </w:r>
      <w:r>
        <w:t xml:space="preserve"> years be the look-ahead period as opposed to Standard 301’s </w:t>
      </w:r>
      <w:r w:rsidR="00304022">
        <w:t>25</w:t>
      </w:r>
      <w:r>
        <w:t xml:space="preserve"> years. </w:t>
      </w:r>
    </w:p>
    <w:p w14:paraId="6EFC3506" w14:textId="395B5C86" w:rsidR="00AA4BEE" w:rsidRDefault="00AA4BEE" w:rsidP="003B3CE3">
      <w:pPr>
        <w:pStyle w:val="ListParagraph"/>
        <w:numPr>
          <w:ilvl w:val="0"/>
          <w:numId w:val="1"/>
        </w:numPr>
      </w:pPr>
      <w:r>
        <w:t>Leo asked if this is refreshed annually or every eight years.</w:t>
      </w:r>
    </w:p>
    <w:p w14:paraId="75CDF79E" w14:textId="57461835" w:rsidR="00AA4BEE" w:rsidRDefault="00AA4BEE" w:rsidP="00AA4BEE">
      <w:pPr>
        <w:pStyle w:val="ListParagraph"/>
        <w:numPr>
          <w:ilvl w:val="0"/>
          <w:numId w:val="1"/>
        </w:numPr>
      </w:pPr>
      <w:r>
        <w:t xml:space="preserve">David said that the decision is up to the SDC. David said it should be refreshed every 5 years but shorter the first time to account for uncertainties. </w:t>
      </w:r>
    </w:p>
    <w:p w14:paraId="004B0301" w14:textId="29762AC6" w:rsidR="00417D15" w:rsidRDefault="00417D15" w:rsidP="00417D15">
      <w:pPr>
        <w:pStyle w:val="ListParagraph"/>
        <w:numPr>
          <w:ilvl w:val="0"/>
          <w:numId w:val="1"/>
        </w:numPr>
      </w:pPr>
      <w:r>
        <w:t>Rick clarified that 5 years is the maximum look-ahead period.</w:t>
      </w:r>
    </w:p>
    <w:p w14:paraId="6D625D75" w14:textId="74D2C444" w:rsidR="001E4BE2" w:rsidRDefault="001E4BE2" w:rsidP="00417D15">
      <w:pPr>
        <w:pStyle w:val="ListParagraph"/>
        <w:numPr>
          <w:ilvl w:val="0"/>
          <w:numId w:val="1"/>
        </w:numPr>
      </w:pPr>
      <w:r>
        <w:t>Mike asked what the downfall of a shorter period would be.</w:t>
      </w:r>
    </w:p>
    <w:p w14:paraId="72E095FA" w14:textId="03F0B60E" w:rsidR="001E4BE2" w:rsidRDefault="001E4BE2" w:rsidP="001E4BE2">
      <w:pPr>
        <w:pStyle w:val="ListParagraph"/>
        <w:numPr>
          <w:ilvl w:val="1"/>
          <w:numId w:val="1"/>
        </w:numPr>
      </w:pPr>
      <w:r>
        <w:lastRenderedPageBreak/>
        <w:t>David noted if the Standard is stable over 5 years, it is easier to compare energy performance in 2023 with 2024, 2025, etc.</w:t>
      </w:r>
    </w:p>
    <w:p w14:paraId="0BB5B733" w14:textId="3363024A" w:rsidR="00AA4BEE" w:rsidRDefault="00AA4BEE" w:rsidP="00EF6104">
      <w:r>
        <w:t>The Task Group hopes to have a draft for the SDC to review at the next meeting.</w:t>
      </w:r>
    </w:p>
    <w:p w14:paraId="23E5244C" w14:textId="26397D6F" w:rsidR="00795215" w:rsidRDefault="00147ED0" w:rsidP="00795215">
      <w:r>
        <w:t>Rick said Standard 301 has evolved rapidly</w:t>
      </w:r>
      <w:r w:rsidR="00500A18">
        <w:t xml:space="preserve"> and has had many addenda attached. Standard 301 follows a 3-year look-ahead period.</w:t>
      </w:r>
    </w:p>
    <w:p w14:paraId="7D1C8A9E" w14:textId="77777777" w:rsidR="00B317C2" w:rsidRPr="00795215" w:rsidRDefault="00B317C2" w:rsidP="00795215"/>
    <w:p w14:paraId="79A36974" w14:textId="77777777" w:rsidR="00795215" w:rsidRPr="00E333DB" w:rsidRDefault="00795215" w:rsidP="00795215">
      <w:pPr>
        <w:rPr>
          <w:b/>
          <w:bCs/>
        </w:rPr>
      </w:pPr>
      <w:r w:rsidRPr="00795215">
        <w:rPr>
          <w:b/>
          <w:bCs/>
        </w:rPr>
        <w:t>Review of Foreword</w:t>
      </w:r>
    </w:p>
    <w:p w14:paraId="60C61DBD" w14:textId="6C9E6C73" w:rsidR="00FA7A91" w:rsidRDefault="00253F8C" w:rsidP="00795215">
      <w:r>
        <w:t xml:space="preserve">David said </w:t>
      </w:r>
      <w:r w:rsidR="003D5B96">
        <w:t xml:space="preserve">many Strategic Energy Management </w:t>
      </w:r>
      <w:r w:rsidR="00D11AF4">
        <w:t xml:space="preserve">(SEM) </w:t>
      </w:r>
      <w:r w:rsidR="003D5B96">
        <w:t xml:space="preserve">programs are based on ISO 50001. The problem is </w:t>
      </w:r>
      <w:r w:rsidR="00A65BA1">
        <w:t xml:space="preserve">there is no universal standard for calculating carbon emissions. </w:t>
      </w:r>
      <w:r w:rsidR="00FA7A91">
        <w:t xml:space="preserve">Paragraphs two and three discuss this issue. </w:t>
      </w:r>
    </w:p>
    <w:p w14:paraId="7A2779B9" w14:textId="14906C95" w:rsidR="00795215" w:rsidRDefault="00621B23" w:rsidP="00FA7A91">
      <w:pPr>
        <w:pStyle w:val="ListParagraph"/>
        <w:numPr>
          <w:ilvl w:val="0"/>
          <w:numId w:val="1"/>
        </w:numPr>
      </w:pPr>
      <w:r>
        <w:t xml:space="preserve">Roland asked via chat if the proposed Standard would also </w:t>
      </w:r>
      <w:r w:rsidR="00E8024D">
        <w:t>apply</w:t>
      </w:r>
      <w:r>
        <w:t xml:space="preserve"> to commercial buildings. David said yes.</w:t>
      </w:r>
    </w:p>
    <w:p w14:paraId="59C1700A" w14:textId="6BB7B267" w:rsidR="00206F0D" w:rsidRDefault="00206F0D" w:rsidP="00FA7A91">
      <w:pPr>
        <w:pStyle w:val="ListParagraph"/>
        <w:numPr>
          <w:ilvl w:val="0"/>
          <w:numId w:val="1"/>
        </w:numPr>
      </w:pPr>
      <w:r>
        <w:t>David asked the committee to review and highlight areas that need clarification.</w:t>
      </w:r>
    </w:p>
    <w:p w14:paraId="0272E9B6" w14:textId="4BDBC1ED" w:rsidR="00E8024D" w:rsidRDefault="00E8024D" w:rsidP="00E8024D">
      <w:r>
        <w:t xml:space="preserve">Jonathan asked if Standard 301 is looking at </w:t>
      </w:r>
      <w:r w:rsidR="000F5995">
        <w:t>level</w:t>
      </w:r>
      <w:r w:rsidR="005754F8">
        <w:t>ized future emissions</w:t>
      </w:r>
      <w:r>
        <w:t xml:space="preserve"> season</w:t>
      </w:r>
      <w:r w:rsidR="00F3703F">
        <w:t>al</w:t>
      </w:r>
      <w:r>
        <w:t>ly</w:t>
      </w:r>
      <w:r w:rsidR="005754F8">
        <w:t xml:space="preserve"> as well as hourly</w:t>
      </w:r>
      <w:r>
        <w:t xml:space="preserve">. </w:t>
      </w:r>
      <w:r w:rsidR="005754F8">
        <w:t>David said yes.</w:t>
      </w:r>
    </w:p>
    <w:p w14:paraId="71A5E4CF" w14:textId="6AD5E673" w:rsidR="005754F8" w:rsidRDefault="005754F8" w:rsidP="005754F8">
      <w:pPr>
        <w:pStyle w:val="ListParagraph"/>
        <w:numPr>
          <w:ilvl w:val="0"/>
          <w:numId w:val="1"/>
        </w:numPr>
      </w:pPr>
      <w:r>
        <w:t>David said month/hour would make more sense in this case.</w:t>
      </w:r>
    </w:p>
    <w:p w14:paraId="5511DD93" w14:textId="753BBF80" w:rsidR="005754F8" w:rsidRDefault="005B7F08" w:rsidP="005B7F08">
      <w:r>
        <w:t>Leo asked if the hourly model is also geography-based as different regions will perform differently in different weather events.</w:t>
      </w:r>
    </w:p>
    <w:p w14:paraId="23A309E9" w14:textId="3387D628" w:rsidR="00181BC7" w:rsidRDefault="00E3572E" w:rsidP="00181BC7">
      <w:pPr>
        <w:pStyle w:val="ListParagraph"/>
        <w:numPr>
          <w:ilvl w:val="0"/>
          <w:numId w:val="1"/>
        </w:numPr>
      </w:pPr>
      <w:r>
        <w:t>301 is very localized; it takes the nearest weather data and there are 1,000+ climates that can be used based on local weather.</w:t>
      </w:r>
    </w:p>
    <w:p w14:paraId="22EB2BBE" w14:textId="4FFE3D66" w:rsidR="00E3572E" w:rsidRDefault="00E3572E" w:rsidP="00181BC7">
      <w:pPr>
        <w:pStyle w:val="ListParagraph"/>
        <w:numPr>
          <w:ilvl w:val="0"/>
          <w:numId w:val="1"/>
        </w:numPr>
      </w:pPr>
      <w:r>
        <w:t xml:space="preserve">The </w:t>
      </w:r>
      <w:r w:rsidR="0053419E">
        <w:t xml:space="preserve">utility </w:t>
      </w:r>
      <w:r>
        <w:t>grid section is based on 20 regions in the United States.</w:t>
      </w:r>
    </w:p>
    <w:p w14:paraId="1F91F749" w14:textId="6E202480" w:rsidR="0053419E" w:rsidRDefault="0053419E" w:rsidP="00181BC7">
      <w:pPr>
        <w:pStyle w:val="ListParagraph"/>
        <w:numPr>
          <w:ilvl w:val="0"/>
          <w:numId w:val="1"/>
        </w:numPr>
      </w:pPr>
      <w:r>
        <w:t xml:space="preserve">Local weather does </w:t>
      </w:r>
      <w:r w:rsidR="00A00689">
        <w:t>a</w:t>
      </w:r>
      <w:r>
        <w:t xml:space="preserve">ffect energy usage, but utilities are not </w:t>
      </w:r>
      <w:r w:rsidR="00A00689">
        <w:t>a</w:t>
      </w:r>
      <w:r>
        <w:t xml:space="preserve">ffected as severely. </w:t>
      </w:r>
    </w:p>
    <w:p w14:paraId="6035F3ED" w14:textId="4FCDB187" w:rsidR="008F33E4" w:rsidRDefault="002B163A" w:rsidP="008F33E4">
      <w:r>
        <w:t>Convers</w:t>
      </w:r>
      <w:r w:rsidR="004C3461">
        <w:t>at</w:t>
      </w:r>
      <w:r>
        <w:t xml:space="preserve">ions with NREL determined that when there is a source of error, these should be noted transparently. If </w:t>
      </w:r>
      <w:r w:rsidR="00F2648B">
        <w:t>an issue</w:t>
      </w:r>
      <w:r>
        <w:t xml:space="preserve"> is brought up in Public Comment and not noted </w:t>
      </w:r>
      <w:r w:rsidR="00F2648B">
        <w:t>by the committee</w:t>
      </w:r>
      <w:r>
        <w:t>, it could be problematic.</w:t>
      </w:r>
    </w:p>
    <w:p w14:paraId="5B92CF04" w14:textId="75F36CD6" w:rsidR="00D74C29" w:rsidRDefault="00D74C29" w:rsidP="008F33E4">
      <w:r>
        <w:t xml:space="preserve">Jonathan asked if using </w:t>
      </w:r>
      <w:r w:rsidR="00D11AF4">
        <w:t>SEM</w:t>
      </w:r>
      <w:r>
        <w:t xml:space="preserve"> projections would be the source of the related data.</w:t>
      </w:r>
    </w:p>
    <w:p w14:paraId="34C81878" w14:textId="7F91D9AB" w:rsidR="00D74C29" w:rsidRDefault="00D74C29" w:rsidP="00D74C29">
      <w:pPr>
        <w:pStyle w:val="ListParagraph"/>
        <w:numPr>
          <w:ilvl w:val="0"/>
          <w:numId w:val="1"/>
        </w:numPr>
      </w:pPr>
      <w:r>
        <w:t xml:space="preserve">David said no. The source is NREL’s projection about the supply and demand of clean energy and efficiency. </w:t>
      </w:r>
    </w:p>
    <w:p w14:paraId="471F9C6F" w14:textId="614B332C" w:rsidR="00D11AF4" w:rsidRDefault="00D11AF4" w:rsidP="00D74C29">
      <w:pPr>
        <w:pStyle w:val="ListParagraph"/>
        <w:numPr>
          <w:ilvl w:val="0"/>
          <w:numId w:val="1"/>
        </w:numPr>
      </w:pPr>
      <w:r>
        <w:t xml:space="preserve">SEM projections are made by the utility customer, not the utility company. </w:t>
      </w:r>
    </w:p>
    <w:p w14:paraId="11F4EE76" w14:textId="1EA27696" w:rsidR="00D11AF4" w:rsidRDefault="00D11AF4" w:rsidP="00D74C29">
      <w:pPr>
        <w:pStyle w:val="ListParagraph"/>
        <w:numPr>
          <w:ilvl w:val="0"/>
          <w:numId w:val="1"/>
        </w:numPr>
      </w:pPr>
      <w:r>
        <w:t>Anna said there is significant data on SEM programs comparing their goals.</w:t>
      </w:r>
    </w:p>
    <w:p w14:paraId="75795DA8" w14:textId="1F12A30C" w:rsidR="00F52FED" w:rsidRDefault="00EB1655" w:rsidP="00F52FED">
      <w:r>
        <w:t>A representative from EPA’s Energy Star Program was present at the last Task Group.</w:t>
      </w:r>
    </w:p>
    <w:p w14:paraId="5D212BF2" w14:textId="402D4500" w:rsidR="00EB1655" w:rsidRDefault="00EB1655" w:rsidP="00EB1655">
      <w:pPr>
        <w:pStyle w:val="ListParagraph"/>
        <w:numPr>
          <w:ilvl w:val="0"/>
          <w:numId w:val="1"/>
        </w:numPr>
      </w:pPr>
      <w:r>
        <w:t>Asa will no longer be an active member of this group.</w:t>
      </w:r>
    </w:p>
    <w:p w14:paraId="20AF959C" w14:textId="48F59FC5" w:rsidR="00EB1655" w:rsidRDefault="00EB1655" w:rsidP="00EB1655">
      <w:pPr>
        <w:pStyle w:val="ListParagraph"/>
        <w:numPr>
          <w:ilvl w:val="0"/>
          <w:numId w:val="1"/>
        </w:numPr>
      </w:pPr>
      <w:r>
        <w:t>David asked for suggestions on potential replacements from EPA Energy Star.</w:t>
      </w:r>
    </w:p>
    <w:p w14:paraId="4B0BEA3D" w14:textId="7B1C7A5F" w:rsidR="00F54349" w:rsidRDefault="00F54349" w:rsidP="00F54349">
      <w:r>
        <w:t xml:space="preserve">An additional Task Group meeting will be scheduled in the coming weeks. </w:t>
      </w:r>
    </w:p>
    <w:p w14:paraId="1B346328" w14:textId="2F30E68E" w:rsidR="005134C2" w:rsidRDefault="005134C2" w:rsidP="00F54349">
      <w:r>
        <w:t xml:space="preserve">Mike said in the northeast there are options to purchase electricity from different suppliers through the grid. Mike asked if there is a process in place to manage this. </w:t>
      </w:r>
    </w:p>
    <w:p w14:paraId="745FA47C" w14:textId="4E948291" w:rsidR="005134C2" w:rsidRDefault="005134C2" w:rsidP="005134C2">
      <w:pPr>
        <w:pStyle w:val="ListParagraph"/>
        <w:numPr>
          <w:ilvl w:val="0"/>
          <w:numId w:val="1"/>
        </w:numPr>
      </w:pPr>
      <w:r>
        <w:t>David said at this time there is not.</w:t>
      </w:r>
    </w:p>
    <w:p w14:paraId="2B0A5B46" w14:textId="506C47B0" w:rsidR="00786FA1" w:rsidRDefault="00786FA1" w:rsidP="005134C2">
      <w:pPr>
        <w:pStyle w:val="ListParagraph"/>
        <w:numPr>
          <w:ilvl w:val="0"/>
          <w:numId w:val="1"/>
        </w:numPr>
      </w:pPr>
      <w:r>
        <w:t xml:space="preserve">Mike asked if there are manufacturers that are currently doing this and could provide feedback. David asked if anyone had suggestions for finding this out. </w:t>
      </w:r>
    </w:p>
    <w:p w14:paraId="547ECB37" w14:textId="77777777" w:rsidR="00795215" w:rsidRPr="00795215" w:rsidRDefault="00795215" w:rsidP="00795215"/>
    <w:p w14:paraId="40B70EA0" w14:textId="1B76D9AE" w:rsidR="00795215" w:rsidRPr="00795215" w:rsidRDefault="00795215" w:rsidP="00795215">
      <w:pPr>
        <w:rPr>
          <w:b/>
          <w:bCs/>
        </w:rPr>
      </w:pPr>
      <w:r w:rsidRPr="00795215">
        <w:rPr>
          <w:b/>
          <w:bCs/>
        </w:rPr>
        <w:t>Likelihood of TG having a first draft text for next meeting. Solicitation of issues that you want addressed or are concerned about that TG could consider in advance of next meeting.</w:t>
      </w:r>
    </w:p>
    <w:p w14:paraId="6077F7ED" w14:textId="77777777" w:rsidR="00DF19BB" w:rsidRDefault="00DF19BB" w:rsidP="003B35B9"/>
    <w:p w14:paraId="17FC6BE9" w14:textId="77777777" w:rsidR="00DF19BB" w:rsidRDefault="00DF19BB" w:rsidP="003B35B9"/>
    <w:p w14:paraId="2A7A43A0" w14:textId="775F09DA" w:rsidR="004201A7" w:rsidRDefault="003B35B9" w:rsidP="003B35B9">
      <w:r>
        <w:t>Meeting adjourned</w:t>
      </w:r>
      <w:r w:rsidR="00DF19BB">
        <w:t xml:space="preserve"> at XX</w:t>
      </w:r>
    </w:p>
    <w:sectPr w:rsidR="00420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B173" w14:textId="77777777" w:rsidR="003B35B9" w:rsidRDefault="003B35B9" w:rsidP="003B35B9">
      <w:r>
        <w:separator/>
      </w:r>
    </w:p>
  </w:endnote>
  <w:endnote w:type="continuationSeparator" w:id="0">
    <w:p w14:paraId="187A3831" w14:textId="77777777" w:rsidR="003B35B9" w:rsidRDefault="003B35B9" w:rsidP="003B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34D3" w14:textId="77777777" w:rsidR="003B35B9" w:rsidRDefault="003B35B9" w:rsidP="003B35B9">
      <w:r>
        <w:separator/>
      </w:r>
    </w:p>
  </w:footnote>
  <w:footnote w:type="continuationSeparator" w:id="0">
    <w:p w14:paraId="3CFC4722" w14:textId="77777777" w:rsidR="003B35B9" w:rsidRDefault="003B35B9" w:rsidP="003B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65614"/>
    <w:rsid w:val="000F1FA5"/>
    <w:rsid w:val="000F23E5"/>
    <w:rsid w:val="000F5995"/>
    <w:rsid w:val="0011156C"/>
    <w:rsid w:val="00147ED0"/>
    <w:rsid w:val="00181BC7"/>
    <w:rsid w:val="001B3090"/>
    <w:rsid w:val="001C2840"/>
    <w:rsid w:val="001C56A3"/>
    <w:rsid w:val="001E3B58"/>
    <w:rsid w:val="001E4BE2"/>
    <w:rsid w:val="00206F0D"/>
    <w:rsid w:val="00253F8C"/>
    <w:rsid w:val="002B163A"/>
    <w:rsid w:val="00304022"/>
    <w:rsid w:val="003072ED"/>
    <w:rsid w:val="00315936"/>
    <w:rsid w:val="00316621"/>
    <w:rsid w:val="00347962"/>
    <w:rsid w:val="003B35B9"/>
    <w:rsid w:val="003B3CE3"/>
    <w:rsid w:val="003D5B96"/>
    <w:rsid w:val="00417D15"/>
    <w:rsid w:val="004201A7"/>
    <w:rsid w:val="00460C9D"/>
    <w:rsid w:val="004C3461"/>
    <w:rsid w:val="00500A18"/>
    <w:rsid w:val="005134C2"/>
    <w:rsid w:val="0053419E"/>
    <w:rsid w:val="005754F8"/>
    <w:rsid w:val="005B7F08"/>
    <w:rsid w:val="00621B23"/>
    <w:rsid w:val="00704216"/>
    <w:rsid w:val="0071141D"/>
    <w:rsid w:val="0072378B"/>
    <w:rsid w:val="00732304"/>
    <w:rsid w:val="00786909"/>
    <w:rsid w:val="00786FA1"/>
    <w:rsid w:val="00795215"/>
    <w:rsid w:val="007D72FE"/>
    <w:rsid w:val="00803F63"/>
    <w:rsid w:val="008F33E4"/>
    <w:rsid w:val="0093643B"/>
    <w:rsid w:val="00990A2B"/>
    <w:rsid w:val="00A00689"/>
    <w:rsid w:val="00A1266A"/>
    <w:rsid w:val="00A37A8F"/>
    <w:rsid w:val="00A5729F"/>
    <w:rsid w:val="00A65BA1"/>
    <w:rsid w:val="00A94222"/>
    <w:rsid w:val="00AA4BEE"/>
    <w:rsid w:val="00AD4D3D"/>
    <w:rsid w:val="00AE778F"/>
    <w:rsid w:val="00B317C2"/>
    <w:rsid w:val="00B74A24"/>
    <w:rsid w:val="00BD0584"/>
    <w:rsid w:val="00C41B65"/>
    <w:rsid w:val="00CC5BAA"/>
    <w:rsid w:val="00D11AF4"/>
    <w:rsid w:val="00D74C29"/>
    <w:rsid w:val="00D76FD3"/>
    <w:rsid w:val="00DF19BB"/>
    <w:rsid w:val="00E10628"/>
    <w:rsid w:val="00E333DB"/>
    <w:rsid w:val="00E3572E"/>
    <w:rsid w:val="00E8024D"/>
    <w:rsid w:val="00EA04BD"/>
    <w:rsid w:val="00EB1655"/>
    <w:rsid w:val="00EF6104"/>
    <w:rsid w:val="00F03B8A"/>
    <w:rsid w:val="00F2648B"/>
    <w:rsid w:val="00F3703F"/>
    <w:rsid w:val="00F52FED"/>
    <w:rsid w:val="00F54349"/>
    <w:rsid w:val="00F654FA"/>
    <w:rsid w:val="00FA72E7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oom.us/rec/share/lOnenCzab3vFzIhYvQN7NPuMgqx9S3ut4nZKRV7OL_2XKf5Xi6jH_5ag8NxYLQ_6.NunVFM4egbUwJpI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65</cp:revision>
  <dcterms:created xsi:type="dcterms:W3CDTF">2024-05-20T21:50:00Z</dcterms:created>
  <dcterms:modified xsi:type="dcterms:W3CDTF">2024-06-17T20:06:00Z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