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Comment/Explanation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: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Include your justification for your proposed change to the draft standard below.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10.1.5 Reference table for residential MEP component default GWP values pg 34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Comment: We are supportive of the inclusion of MEP products in this standard and feel that the reference table provides reasonable and valuable defaults.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Proposed Change to the Draft Standard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Use “strikethrough” and “underline” formatting to indicate all proposed changes. Changes must be shown with “hard-formatting” strikethrough and underline,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i w:val="1"/>
          <w:sz w:val="20"/>
          <w:szCs w:val="20"/>
          <w:rtl w:val="0"/>
        </w:rPr>
        <w:t xml:space="preserve"> “track changes”.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Use a color other than red to indicate proposed changes to the draft.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RESNET® Standards Public Comment and Proposed Change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379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79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79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79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792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792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792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792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792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379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379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79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792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792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79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792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u0+Qy9ZE2QD/EcKZNut7siJoQ==">CgMxLjA4AHIhMUdhS1ZqYnd1clhTc1NObjZ1OFQ4cmh6WDdjU0JlbGFi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2024-08-23T12:43:00Z</dcterms:created>
  <dc:creator>Ryan Meres</dc:creator>
</cp:coreProperties>
</file>