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B52A" w14:textId="2298D9A2" w:rsidR="005E11FD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E853F65" w14:textId="5B58FBAF" w:rsidR="008B5D59" w:rsidRDefault="008B5D59" w:rsidP="0000630F">
      <w:r>
        <w:t xml:space="preserve">The proposed text edits below reflect a couple of important </w:t>
      </w:r>
      <w:r w:rsidR="00EA29AB">
        <w:t>issues:</w:t>
      </w:r>
    </w:p>
    <w:p w14:paraId="24473B5E" w14:textId="56FCE988" w:rsidR="00470334" w:rsidRDefault="00470334" w:rsidP="00470334">
      <w:pPr>
        <w:pStyle w:val="ListParagraph"/>
        <w:numPr>
          <w:ilvl w:val="0"/>
          <w:numId w:val="10"/>
        </w:numPr>
      </w:pPr>
      <w:r>
        <w:t xml:space="preserve">In some </w:t>
      </w:r>
      <w:proofErr w:type="gramStart"/>
      <w:r>
        <w:t>cases</w:t>
      </w:r>
      <w:proofErr w:type="gramEnd"/>
      <w:r>
        <w:t xml:space="preserve"> dimensions are not what is used to determine a quantity.  This should be removed.</w:t>
      </w:r>
    </w:p>
    <w:p w14:paraId="40B3805C" w14:textId="0DF2EC10" w:rsidR="00470334" w:rsidRDefault="00470334" w:rsidP="00470334">
      <w:pPr>
        <w:pStyle w:val="ListParagraph"/>
        <w:numPr>
          <w:ilvl w:val="0"/>
          <w:numId w:val="10"/>
        </w:numPr>
      </w:pPr>
      <w:r>
        <w:t>5.6 – the last sentence is limiting.  This should not be prohibited.</w:t>
      </w:r>
    </w:p>
    <w:p w14:paraId="3ADFCCE6" w14:textId="6BDF412D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0A36AA0E" w14:textId="192EFCC4" w:rsidR="00470334" w:rsidRPr="006D00C9" w:rsidRDefault="00470334" w:rsidP="00470334">
      <w:pPr>
        <w:pStyle w:val="Heading2"/>
        <w:rPr>
          <w:color w:val="FF0000"/>
          <w:u w:val="single"/>
        </w:rPr>
      </w:pPr>
      <w:bookmarkStart w:id="0" w:name="_Toc1380147171"/>
      <w:bookmarkStart w:id="1" w:name="_Toc180680635"/>
      <w:r>
        <w:rPr>
          <w:color w:val="FF0000"/>
          <w:u w:val="single"/>
        </w:rPr>
        <w:t xml:space="preserve">5.5 </w:t>
      </w:r>
      <w:r w:rsidRPr="006D00C9">
        <w:rPr>
          <w:color w:val="FF0000"/>
          <w:u w:val="single"/>
        </w:rPr>
        <w:t>Establishing a Material Inventory</w:t>
      </w:r>
      <w:bookmarkEnd w:id="0"/>
      <w:bookmarkEnd w:id="1"/>
    </w:p>
    <w:p w14:paraId="6E269A3F" w14:textId="77777777" w:rsidR="00470334" w:rsidRPr="006D00C9" w:rsidRDefault="00470334" w:rsidP="00470334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Building </w:t>
      </w:r>
      <w:r w:rsidRPr="006D00C9">
        <w:rPr>
          <w:rFonts w:eastAsiaTheme="minorEastAsia"/>
          <w:i/>
          <w:iCs/>
          <w:color w:val="FF0000"/>
          <w:u w:val="single"/>
        </w:rPr>
        <w:t>construction documents</w:t>
      </w:r>
      <w:r w:rsidRPr="006D00C9">
        <w:rPr>
          <w:rFonts w:eastAsiaTheme="minorEastAsia"/>
          <w:color w:val="FF0000"/>
          <w:u w:val="single"/>
        </w:rPr>
        <w:t xml:space="preserve"> shall be used to </w:t>
      </w:r>
      <w:r w:rsidRPr="00B540E5">
        <w:rPr>
          <w:rFonts w:eastAsiaTheme="minorEastAsia"/>
          <w:strike/>
          <w:color w:val="FF0000"/>
          <w:highlight w:val="yellow"/>
          <w:u w:val="single"/>
        </w:rPr>
        <w:t>determine all dimensions required to</w:t>
      </w:r>
      <w:r w:rsidRPr="006D00C9">
        <w:rPr>
          <w:rFonts w:eastAsiaTheme="minorEastAsia"/>
          <w:color w:val="FF0000"/>
          <w:u w:val="single"/>
        </w:rPr>
        <w:t xml:space="preserve"> establish a material inventory for all </w:t>
      </w:r>
      <w:r w:rsidRPr="006D00C9">
        <w:rPr>
          <w:rFonts w:eastAsiaTheme="minorEastAsia"/>
          <w:i/>
          <w:iCs/>
          <w:color w:val="FF0000"/>
          <w:u w:val="single"/>
        </w:rPr>
        <w:t>Minimum Assessed Products</w:t>
      </w:r>
      <w:r w:rsidRPr="006D00C9">
        <w:rPr>
          <w:rFonts w:eastAsiaTheme="minorEastAsia"/>
          <w:color w:val="FF0000"/>
          <w:u w:val="single"/>
        </w:rPr>
        <w:t xml:space="preserve"> according to Tables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_Ref170134046 \r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rFonts w:eastAsiaTheme="minorEastAsia"/>
          <w:color w:val="FF0000"/>
          <w:u w:val="single"/>
        </w:rPr>
        <w:t>10.1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>.1 and 10.1.5.</w:t>
      </w:r>
    </w:p>
    <w:p w14:paraId="59F867CF" w14:textId="77777777" w:rsidR="00470334" w:rsidRPr="006D00C9" w:rsidRDefault="00470334" w:rsidP="00470334">
      <w:pPr>
        <w:pStyle w:val="Heading3"/>
        <w:spacing w:after="240"/>
        <w:rPr>
          <w:color w:val="FF0000"/>
          <w:u w:val="single"/>
        </w:rPr>
      </w:pPr>
      <w:r w:rsidRPr="006D00C9">
        <w:rPr>
          <w:color w:val="FF0000"/>
          <w:u w:val="single"/>
        </w:rPr>
        <w:t>For prefabricated components, manufacturer specifications and/or bills of materials are allowed to be used to determine a material inventory according to the requirements of Table 10.1.1.</w:t>
      </w:r>
    </w:p>
    <w:p w14:paraId="2FFA811E" w14:textId="105B7EA8" w:rsidR="00470334" w:rsidRPr="006D00C9" w:rsidRDefault="00470334" w:rsidP="00470334">
      <w:pPr>
        <w:pStyle w:val="Heading2"/>
        <w:rPr>
          <w:color w:val="FF0000"/>
          <w:u w:val="single"/>
        </w:rPr>
      </w:pPr>
      <w:bookmarkStart w:id="2" w:name="_Toc756573727"/>
      <w:bookmarkStart w:id="3" w:name="_Toc180680636"/>
      <w:r>
        <w:rPr>
          <w:i/>
          <w:iCs/>
          <w:color w:val="FF0000"/>
          <w:u w:val="single"/>
        </w:rPr>
        <w:t xml:space="preserve">5.6 </w:t>
      </w:r>
      <w:r w:rsidRPr="006D00C9">
        <w:rPr>
          <w:i/>
          <w:iCs/>
          <w:color w:val="FF0000"/>
          <w:u w:val="single"/>
        </w:rPr>
        <w:t>Existing Home Retrofit</w:t>
      </w:r>
      <w:r w:rsidRPr="006D00C9">
        <w:rPr>
          <w:color w:val="FF0000"/>
          <w:u w:val="single"/>
        </w:rPr>
        <w:t xml:space="preserve"> Scenarios</w:t>
      </w:r>
      <w:bookmarkEnd w:id="2"/>
      <w:bookmarkEnd w:id="3"/>
    </w:p>
    <w:p w14:paraId="383818F7" w14:textId="77777777" w:rsidR="00470334" w:rsidRPr="006D00C9" w:rsidRDefault="00470334" w:rsidP="00470334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Only newly installed building products shall be included in assessments for retrofit projects. Retained elements shall not contribute to the assessment. </w:t>
      </w:r>
      <w:r w:rsidRPr="006D00C9">
        <w:rPr>
          <w:rFonts w:eastAsiaTheme="minorEastAsia"/>
          <w:i/>
          <w:iCs/>
          <w:color w:val="FF0000"/>
          <w:u w:val="single"/>
        </w:rPr>
        <w:t>Existing home retrofit</w:t>
      </w:r>
      <w:r w:rsidRPr="006D00C9">
        <w:rPr>
          <w:rFonts w:eastAsiaTheme="minorEastAsia"/>
          <w:color w:val="FF0000"/>
          <w:u w:val="single"/>
        </w:rPr>
        <w:t xml:space="preserve"> assessments shall use the calculation procedures in this Standard for all </w:t>
      </w:r>
      <w:r w:rsidRPr="006D00C9">
        <w:rPr>
          <w:rFonts w:eastAsiaTheme="minorEastAsia"/>
          <w:i/>
          <w:iCs/>
          <w:color w:val="FF0000"/>
          <w:u w:val="single"/>
        </w:rPr>
        <w:t>Minimum Assessed Products</w:t>
      </w:r>
      <w:r w:rsidRPr="006D00C9">
        <w:rPr>
          <w:rFonts w:eastAsiaTheme="minorEastAsia"/>
          <w:color w:val="FF0000"/>
          <w:u w:val="single"/>
        </w:rPr>
        <w:t xml:space="preserve"> included in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_Ref170130996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noProof/>
          <w:color w:val="FF0000"/>
          <w:u w:val="single"/>
        </w:rPr>
        <w:t>5.4</w:t>
      </w:r>
      <w:r w:rsidRPr="006D00C9">
        <w:rPr>
          <w:color w:val="FF0000"/>
          <w:u w:val="single"/>
        </w:rPr>
        <w:t>.</w:t>
      </w:r>
      <w:r w:rsidRPr="006D00C9">
        <w:rPr>
          <w:noProof/>
          <w:color w:val="FF0000"/>
          <w:u w:val="single"/>
        </w:rPr>
        <w:t>1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 xml:space="preserve"> applied in the retrofit project. </w:t>
      </w:r>
    </w:p>
    <w:p w14:paraId="5B2296FE" w14:textId="77777777" w:rsidR="00470334" w:rsidRPr="00B540E5" w:rsidRDefault="00470334" w:rsidP="00470334">
      <w:pPr>
        <w:rPr>
          <w:rFonts w:eastAsiaTheme="minorEastAsia"/>
          <w:strike/>
          <w:color w:val="FF0000"/>
          <w:u w:val="single"/>
        </w:rPr>
      </w:pPr>
      <w:r w:rsidRPr="00B540E5">
        <w:rPr>
          <w:rFonts w:eastAsiaTheme="minorEastAsia"/>
          <w:strike/>
          <w:color w:val="FF0000"/>
          <w:highlight w:val="yellow"/>
          <w:u w:val="single"/>
        </w:rPr>
        <w:t>Emissions attributed to demolition work and disposal of materials removed from an existing home retrofit assessment shall not be reported.</w:t>
      </w:r>
    </w:p>
    <w:p w14:paraId="3E69A30B" w14:textId="77777777" w:rsidR="00F45BF7" w:rsidRDefault="00F45BF7" w:rsidP="0000630F">
      <w:pPr>
        <w:rPr>
          <w:sz w:val="20"/>
          <w:szCs w:val="20"/>
        </w:rPr>
      </w:pPr>
    </w:p>
    <w:sectPr w:rsidR="00F45B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71E9" w14:textId="77777777" w:rsidR="004D1725" w:rsidRDefault="004D1725" w:rsidP="00237923">
      <w:pPr>
        <w:spacing w:after="0" w:line="240" w:lineRule="auto"/>
      </w:pPr>
      <w:r>
        <w:separator/>
      </w:r>
    </w:p>
  </w:endnote>
  <w:endnote w:type="continuationSeparator" w:id="0">
    <w:p w14:paraId="308200BA" w14:textId="77777777" w:rsidR="004D1725" w:rsidRDefault="004D1725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44FE" w14:textId="77777777" w:rsidR="004D1725" w:rsidRDefault="004D1725" w:rsidP="00237923">
      <w:pPr>
        <w:spacing w:after="0" w:line="240" w:lineRule="auto"/>
      </w:pPr>
      <w:r>
        <w:separator/>
      </w:r>
    </w:p>
  </w:footnote>
  <w:footnote w:type="continuationSeparator" w:id="0">
    <w:p w14:paraId="1A62E71E" w14:textId="77777777" w:rsidR="004D1725" w:rsidRDefault="004D1725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36A"/>
    <w:multiLevelType w:val="hybridMultilevel"/>
    <w:tmpl w:val="6D6C4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B14"/>
    <w:multiLevelType w:val="hybridMultilevel"/>
    <w:tmpl w:val="085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5FEC"/>
    <w:multiLevelType w:val="hybridMultilevel"/>
    <w:tmpl w:val="7882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BF97"/>
    <w:multiLevelType w:val="hybridMultilevel"/>
    <w:tmpl w:val="98965A04"/>
    <w:lvl w:ilvl="0" w:tplc="D0F29002">
      <w:start w:val="1"/>
      <w:numFmt w:val="lowerRoman"/>
      <w:lvlText w:val="%1."/>
      <w:lvlJc w:val="right"/>
      <w:pPr>
        <w:ind w:left="720" w:hanging="360"/>
      </w:pPr>
    </w:lvl>
    <w:lvl w:ilvl="1" w:tplc="18944214">
      <w:start w:val="1"/>
      <w:numFmt w:val="lowerLetter"/>
      <w:lvlText w:val="%2."/>
      <w:lvlJc w:val="left"/>
      <w:pPr>
        <w:ind w:left="1440" w:hanging="360"/>
      </w:pPr>
    </w:lvl>
    <w:lvl w:ilvl="2" w:tplc="647451EE">
      <w:start w:val="1"/>
      <w:numFmt w:val="lowerRoman"/>
      <w:lvlText w:val="%3."/>
      <w:lvlJc w:val="right"/>
      <w:pPr>
        <w:ind w:left="2160" w:hanging="180"/>
      </w:pPr>
    </w:lvl>
    <w:lvl w:ilvl="3" w:tplc="78B05B1E">
      <w:start w:val="1"/>
      <w:numFmt w:val="decimal"/>
      <w:lvlText w:val="%4."/>
      <w:lvlJc w:val="left"/>
      <w:pPr>
        <w:ind w:left="2880" w:hanging="360"/>
      </w:pPr>
    </w:lvl>
    <w:lvl w:ilvl="4" w:tplc="22545FFE">
      <w:start w:val="1"/>
      <w:numFmt w:val="lowerLetter"/>
      <w:lvlText w:val="%5."/>
      <w:lvlJc w:val="left"/>
      <w:pPr>
        <w:ind w:left="3600" w:hanging="360"/>
      </w:pPr>
    </w:lvl>
    <w:lvl w:ilvl="5" w:tplc="F202B8B4">
      <w:start w:val="1"/>
      <w:numFmt w:val="lowerRoman"/>
      <w:lvlText w:val="%6."/>
      <w:lvlJc w:val="right"/>
      <w:pPr>
        <w:ind w:left="4320" w:hanging="180"/>
      </w:pPr>
    </w:lvl>
    <w:lvl w:ilvl="6" w:tplc="847CF3AE">
      <w:start w:val="1"/>
      <w:numFmt w:val="decimal"/>
      <w:lvlText w:val="%7."/>
      <w:lvlJc w:val="left"/>
      <w:pPr>
        <w:ind w:left="5040" w:hanging="360"/>
      </w:pPr>
    </w:lvl>
    <w:lvl w:ilvl="7" w:tplc="020256BC">
      <w:start w:val="1"/>
      <w:numFmt w:val="lowerLetter"/>
      <w:lvlText w:val="%8."/>
      <w:lvlJc w:val="left"/>
      <w:pPr>
        <w:ind w:left="5760" w:hanging="360"/>
      </w:pPr>
    </w:lvl>
    <w:lvl w:ilvl="8" w:tplc="CFFEF7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F216"/>
    <w:multiLevelType w:val="hybridMultilevel"/>
    <w:tmpl w:val="0AA6D4D6"/>
    <w:lvl w:ilvl="0" w:tplc="B7B893AA">
      <w:start w:val="1"/>
      <w:numFmt w:val="lowerRoman"/>
      <w:lvlText w:val="%1."/>
      <w:lvlJc w:val="right"/>
      <w:pPr>
        <w:ind w:left="720" w:hanging="360"/>
      </w:pPr>
    </w:lvl>
    <w:lvl w:ilvl="1" w:tplc="48D0D13A">
      <w:start w:val="1"/>
      <w:numFmt w:val="lowerLetter"/>
      <w:lvlText w:val="%2."/>
      <w:lvlJc w:val="left"/>
      <w:pPr>
        <w:ind w:left="1440" w:hanging="360"/>
      </w:pPr>
    </w:lvl>
    <w:lvl w:ilvl="2" w:tplc="29A05464">
      <w:start w:val="1"/>
      <w:numFmt w:val="lowerRoman"/>
      <w:lvlText w:val="%3."/>
      <w:lvlJc w:val="right"/>
      <w:pPr>
        <w:ind w:left="2160" w:hanging="180"/>
      </w:pPr>
    </w:lvl>
    <w:lvl w:ilvl="3" w:tplc="0D2006B6">
      <w:start w:val="1"/>
      <w:numFmt w:val="decimal"/>
      <w:lvlText w:val="%4."/>
      <w:lvlJc w:val="left"/>
      <w:pPr>
        <w:ind w:left="2880" w:hanging="360"/>
      </w:pPr>
    </w:lvl>
    <w:lvl w:ilvl="4" w:tplc="B6600836">
      <w:start w:val="1"/>
      <w:numFmt w:val="lowerLetter"/>
      <w:lvlText w:val="%5."/>
      <w:lvlJc w:val="left"/>
      <w:pPr>
        <w:ind w:left="3600" w:hanging="360"/>
      </w:pPr>
    </w:lvl>
    <w:lvl w:ilvl="5" w:tplc="5CF83244">
      <w:start w:val="1"/>
      <w:numFmt w:val="lowerRoman"/>
      <w:lvlText w:val="%6."/>
      <w:lvlJc w:val="right"/>
      <w:pPr>
        <w:ind w:left="4320" w:hanging="180"/>
      </w:pPr>
    </w:lvl>
    <w:lvl w:ilvl="6" w:tplc="E0AEF134">
      <w:start w:val="1"/>
      <w:numFmt w:val="decimal"/>
      <w:lvlText w:val="%7."/>
      <w:lvlJc w:val="left"/>
      <w:pPr>
        <w:ind w:left="5040" w:hanging="360"/>
      </w:pPr>
    </w:lvl>
    <w:lvl w:ilvl="7" w:tplc="F14A61CE">
      <w:start w:val="1"/>
      <w:numFmt w:val="lowerLetter"/>
      <w:lvlText w:val="%8."/>
      <w:lvlJc w:val="left"/>
      <w:pPr>
        <w:ind w:left="5760" w:hanging="360"/>
      </w:pPr>
    </w:lvl>
    <w:lvl w:ilvl="8" w:tplc="845C44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C2C7C"/>
    <w:multiLevelType w:val="hybridMultilevel"/>
    <w:tmpl w:val="859C2FB8"/>
    <w:lvl w:ilvl="0" w:tplc="335246AC">
      <w:start w:val="1"/>
      <w:numFmt w:val="upperLetter"/>
      <w:lvlText w:val="%1."/>
      <w:lvlJc w:val="left"/>
      <w:pPr>
        <w:ind w:left="360" w:hanging="360"/>
      </w:pPr>
    </w:lvl>
    <w:lvl w:ilvl="1" w:tplc="9C2CCE34">
      <w:start w:val="1"/>
      <w:numFmt w:val="lowerLetter"/>
      <w:lvlText w:val="%2."/>
      <w:lvlJc w:val="left"/>
      <w:pPr>
        <w:ind w:left="1080" w:hanging="360"/>
      </w:pPr>
    </w:lvl>
    <w:lvl w:ilvl="2" w:tplc="50121CE4">
      <w:start w:val="1"/>
      <w:numFmt w:val="lowerRoman"/>
      <w:lvlText w:val="%3."/>
      <w:lvlJc w:val="right"/>
      <w:pPr>
        <w:ind w:left="1800" w:hanging="180"/>
      </w:pPr>
    </w:lvl>
    <w:lvl w:ilvl="3" w:tplc="CBFAEE6E">
      <w:start w:val="1"/>
      <w:numFmt w:val="decimal"/>
      <w:lvlText w:val="%4."/>
      <w:lvlJc w:val="left"/>
      <w:pPr>
        <w:ind w:left="2520" w:hanging="360"/>
      </w:pPr>
    </w:lvl>
    <w:lvl w:ilvl="4" w:tplc="7FE2718A">
      <w:start w:val="1"/>
      <w:numFmt w:val="lowerLetter"/>
      <w:lvlText w:val="%5."/>
      <w:lvlJc w:val="left"/>
      <w:pPr>
        <w:ind w:left="3240" w:hanging="360"/>
      </w:pPr>
    </w:lvl>
    <w:lvl w:ilvl="5" w:tplc="5BAC422A">
      <w:start w:val="1"/>
      <w:numFmt w:val="lowerRoman"/>
      <w:lvlText w:val="%6."/>
      <w:lvlJc w:val="right"/>
      <w:pPr>
        <w:ind w:left="3960" w:hanging="180"/>
      </w:pPr>
    </w:lvl>
    <w:lvl w:ilvl="6" w:tplc="A58A2A70">
      <w:start w:val="1"/>
      <w:numFmt w:val="decimal"/>
      <w:lvlText w:val="%7."/>
      <w:lvlJc w:val="left"/>
      <w:pPr>
        <w:ind w:left="4680" w:hanging="360"/>
      </w:pPr>
    </w:lvl>
    <w:lvl w:ilvl="7" w:tplc="878CA0EC">
      <w:start w:val="1"/>
      <w:numFmt w:val="lowerLetter"/>
      <w:lvlText w:val="%8."/>
      <w:lvlJc w:val="left"/>
      <w:pPr>
        <w:ind w:left="5400" w:hanging="360"/>
      </w:pPr>
    </w:lvl>
    <w:lvl w:ilvl="8" w:tplc="30A8FAD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4D6E1"/>
    <w:multiLevelType w:val="hybridMultilevel"/>
    <w:tmpl w:val="80AE3758"/>
    <w:lvl w:ilvl="0" w:tplc="7B141CBC">
      <w:start w:val="1"/>
      <w:numFmt w:val="lowerRoman"/>
      <w:lvlText w:val="%1."/>
      <w:lvlJc w:val="right"/>
      <w:pPr>
        <w:ind w:left="720" w:hanging="360"/>
      </w:pPr>
    </w:lvl>
    <w:lvl w:ilvl="1" w:tplc="A210E828">
      <w:start w:val="1"/>
      <w:numFmt w:val="lowerLetter"/>
      <w:lvlText w:val="%2."/>
      <w:lvlJc w:val="left"/>
      <w:pPr>
        <w:ind w:left="1440" w:hanging="360"/>
      </w:pPr>
    </w:lvl>
    <w:lvl w:ilvl="2" w:tplc="D9A8A4BC">
      <w:start w:val="1"/>
      <w:numFmt w:val="lowerRoman"/>
      <w:lvlText w:val="%3."/>
      <w:lvlJc w:val="right"/>
      <w:pPr>
        <w:ind w:left="2160" w:hanging="180"/>
      </w:pPr>
    </w:lvl>
    <w:lvl w:ilvl="3" w:tplc="42A4F0B6">
      <w:start w:val="1"/>
      <w:numFmt w:val="decimal"/>
      <w:lvlText w:val="%4."/>
      <w:lvlJc w:val="left"/>
      <w:pPr>
        <w:ind w:left="2880" w:hanging="360"/>
      </w:pPr>
    </w:lvl>
    <w:lvl w:ilvl="4" w:tplc="3B06BC40">
      <w:start w:val="1"/>
      <w:numFmt w:val="lowerLetter"/>
      <w:lvlText w:val="%5."/>
      <w:lvlJc w:val="left"/>
      <w:pPr>
        <w:ind w:left="3600" w:hanging="360"/>
      </w:pPr>
    </w:lvl>
    <w:lvl w:ilvl="5" w:tplc="6960F95A">
      <w:start w:val="1"/>
      <w:numFmt w:val="lowerRoman"/>
      <w:lvlText w:val="%6."/>
      <w:lvlJc w:val="right"/>
      <w:pPr>
        <w:ind w:left="4320" w:hanging="180"/>
      </w:pPr>
    </w:lvl>
    <w:lvl w:ilvl="6" w:tplc="76FAB298">
      <w:start w:val="1"/>
      <w:numFmt w:val="decimal"/>
      <w:lvlText w:val="%7."/>
      <w:lvlJc w:val="left"/>
      <w:pPr>
        <w:ind w:left="5040" w:hanging="360"/>
      </w:pPr>
    </w:lvl>
    <w:lvl w:ilvl="7" w:tplc="2496D338">
      <w:start w:val="1"/>
      <w:numFmt w:val="lowerLetter"/>
      <w:lvlText w:val="%8."/>
      <w:lvlJc w:val="left"/>
      <w:pPr>
        <w:ind w:left="5760" w:hanging="360"/>
      </w:pPr>
    </w:lvl>
    <w:lvl w:ilvl="8" w:tplc="A52AC3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019A7"/>
    <w:multiLevelType w:val="hybridMultilevel"/>
    <w:tmpl w:val="B078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113A"/>
    <w:multiLevelType w:val="hybridMultilevel"/>
    <w:tmpl w:val="396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77B84"/>
    <w:multiLevelType w:val="hybridMultilevel"/>
    <w:tmpl w:val="88B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4208">
    <w:abstractNumId w:val="1"/>
  </w:num>
  <w:num w:numId="2" w16cid:durableId="855341459">
    <w:abstractNumId w:val="7"/>
  </w:num>
  <w:num w:numId="3" w16cid:durableId="625698953">
    <w:abstractNumId w:val="0"/>
  </w:num>
  <w:num w:numId="4" w16cid:durableId="1259292676">
    <w:abstractNumId w:val="5"/>
  </w:num>
  <w:num w:numId="5" w16cid:durableId="805660714">
    <w:abstractNumId w:val="3"/>
  </w:num>
  <w:num w:numId="6" w16cid:durableId="731078519">
    <w:abstractNumId w:val="4"/>
  </w:num>
  <w:num w:numId="7" w16cid:durableId="1948272157">
    <w:abstractNumId w:val="6"/>
  </w:num>
  <w:num w:numId="8" w16cid:durableId="322006689">
    <w:abstractNumId w:val="8"/>
  </w:num>
  <w:num w:numId="9" w16cid:durableId="1807159586">
    <w:abstractNumId w:val="9"/>
  </w:num>
  <w:num w:numId="10" w16cid:durableId="203576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7667E"/>
    <w:rsid w:val="000B303E"/>
    <w:rsid w:val="000B4F1C"/>
    <w:rsid w:val="000C0FDE"/>
    <w:rsid w:val="000E18FA"/>
    <w:rsid w:val="001747BD"/>
    <w:rsid w:val="002377BD"/>
    <w:rsid w:val="00237923"/>
    <w:rsid w:val="00255E22"/>
    <w:rsid w:val="002E6930"/>
    <w:rsid w:val="00317275"/>
    <w:rsid w:val="00374970"/>
    <w:rsid w:val="00454F97"/>
    <w:rsid w:val="00470334"/>
    <w:rsid w:val="004B2396"/>
    <w:rsid w:val="004D1725"/>
    <w:rsid w:val="00553D0D"/>
    <w:rsid w:val="005C1477"/>
    <w:rsid w:val="005E11FD"/>
    <w:rsid w:val="0060624D"/>
    <w:rsid w:val="0076551E"/>
    <w:rsid w:val="00794782"/>
    <w:rsid w:val="00852539"/>
    <w:rsid w:val="00866FB3"/>
    <w:rsid w:val="0089043A"/>
    <w:rsid w:val="00891D8C"/>
    <w:rsid w:val="0089294F"/>
    <w:rsid w:val="008B5D59"/>
    <w:rsid w:val="008C2F70"/>
    <w:rsid w:val="00A519E2"/>
    <w:rsid w:val="00AB6728"/>
    <w:rsid w:val="00AC2AF3"/>
    <w:rsid w:val="00C1713E"/>
    <w:rsid w:val="00D575CF"/>
    <w:rsid w:val="00D824DE"/>
    <w:rsid w:val="00EA29AB"/>
    <w:rsid w:val="00F26E81"/>
    <w:rsid w:val="00F44C65"/>
    <w:rsid w:val="00F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table" w:styleId="TableGrid">
    <w:name w:val="Table Grid"/>
    <w:basedOn w:val="TableNormal"/>
    <w:uiPriority w:val="39"/>
    <w:rsid w:val="008904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9043A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9043A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043A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904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2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9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Amy Schmidt</cp:lastModifiedBy>
  <cp:revision>3</cp:revision>
  <dcterms:created xsi:type="dcterms:W3CDTF">2025-01-20T18:29:00Z</dcterms:created>
  <dcterms:modified xsi:type="dcterms:W3CDTF">2025-01-20T18:32:00Z</dcterms:modified>
</cp:coreProperties>
</file>