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728FA562" w14:textId="77777777" w:rsidR="004C60F7" w:rsidRDefault="004C60F7" w:rsidP="004C60F7">
      <w:pPr>
        <w:rPr>
          <w:sz w:val="20"/>
          <w:szCs w:val="20"/>
        </w:rPr>
      </w:pPr>
      <w:r>
        <w:rPr>
          <w:sz w:val="20"/>
          <w:szCs w:val="20"/>
        </w:rPr>
        <w:t>The UEF metrics are the result of a 24-hr simulated-use test and incorporate “recovery efficiency” (</w:t>
      </w:r>
      <w:proofErr w:type="spellStart"/>
      <w:r>
        <w:rPr>
          <w:sz w:val="20"/>
          <w:szCs w:val="20"/>
        </w:rPr>
        <w:t>η</w:t>
      </w:r>
      <w:r w:rsidRPr="003D09CC">
        <w:rPr>
          <w:sz w:val="20"/>
          <w:szCs w:val="20"/>
          <w:vertAlign w:val="subscript"/>
        </w:rPr>
        <w:t>r</w:t>
      </w:r>
      <w:proofErr w:type="spellEnd"/>
      <w:r>
        <w:rPr>
          <w:sz w:val="20"/>
          <w:szCs w:val="20"/>
        </w:rPr>
        <w:t>), which is near steady-state, and a “</w:t>
      </w:r>
      <w:r w:rsidRPr="003D09CC">
        <w:rPr>
          <w:sz w:val="20"/>
          <w:szCs w:val="20"/>
        </w:rPr>
        <w:t>standby loss coefficient</w:t>
      </w:r>
      <w:r>
        <w:rPr>
          <w:sz w:val="20"/>
          <w:szCs w:val="20"/>
        </w:rPr>
        <w:t>” (UA). The COP</w:t>
      </w:r>
      <w:r w:rsidRPr="00AB172A">
        <w:rPr>
          <w:sz w:val="20"/>
          <w:szCs w:val="20"/>
          <w:vertAlign w:val="subscript"/>
        </w:rPr>
        <w:t>COMP</w:t>
      </w:r>
      <w:r>
        <w:rPr>
          <w:sz w:val="20"/>
          <w:szCs w:val="20"/>
        </w:rPr>
        <w:t xml:space="preserve"> calculation does not appear to accurately convert UEF to COP. </w:t>
      </w:r>
    </w:p>
    <w:p w14:paraId="0BC89558" w14:textId="77777777" w:rsidR="004C60F7" w:rsidRDefault="004C60F7" w:rsidP="004C60F7">
      <w:pPr>
        <w:rPr>
          <w:sz w:val="20"/>
          <w:szCs w:val="20"/>
        </w:rPr>
      </w:pPr>
      <w:r>
        <w:rPr>
          <w:sz w:val="20"/>
          <w:szCs w:val="20"/>
        </w:rPr>
        <w:t xml:space="preserve">Recovery efficiency is reported to DOE and is found in the first draw cluster of the test. The water heater performs a very large draw intended to force the unit under test to cut-in and undergo a long recovery. During this recovery, the efficiency of heating water is calculated. We say “near steady-state” as this calculation includes the start and end of the recovery where the HP won’t be operating at full efficiency. The actual </w:t>
      </w:r>
      <w:proofErr w:type="gramStart"/>
      <w:r>
        <w:rPr>
          <w:sz w:val="20"/>
          <w:szCs w:val="20"/>
        </w:rPr>
        <w:t>steady-state</w:t>
      </w:r>
      <w:proofErr w:type="gramEnd"/>
      <w:r>
        <w:rPr>
          <w:sz w:val="20"/>
          <w:szCs w:val="20"/>
        </w:rPr>
        <w:t xml:space="preserve"> COP will be slightly higher than the recovery efficiency. However, as shown in the chart below which plots the models in the DOE’s CCMS database, the actual recovery efficiency is lower than the calculated COP</w:t>
      </w:r>
      <w:r w:rsidRPr="00AB172A">
        <w:rPr>
          <w:sz w:val="20"/>
          <w:szCs w:val="20"/>
          <w:vertAlign w:val="subscript"/>
        </w:rPr>
        <w:t>COMP</w:t>
      </w:r>
      <w:r>
        <w:rPr>
          <w:sz w:val="20"/>
          <w:szCs w:val="20"/>
        </w:rPr>
        <w:t>.</w:t>
      </w:r>
    </w:p>
    <w:p w14:paraId="29160472" w14:textId="77777777" w:rsidR="004C60F7" w:rsidRDefault="004C60F7" w:rsidP="004C60F7">
      <w:pPr>
        <w:jc w:val="center"/>
        <w:rPr>
          <w:sz w:val="20"/>
          <w:szCs w:val="20"/>
        </w:rPr>
      </w:pPr>
      <w:r>
        <w:rPr>
          <w:noProof/>
          <w:sz w:val="20"/>
          <w:szCs w:val="20"/>
        </w:rPr>
        <w:drawing>
          <wp:inline distT="0" distB="0" distL="0" distR="0" wp14:anchorId="64743461" wp14:editId="39D01787">
            <wp:extent cx="4572635" cy="2737485"/>
            <wp:effectExtent l="0" t="0" r="0" b="5715"/>
            <wp:docPr id="1932039694" name="Picture 1" descr="A graph with blue dots and a black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39694" name="Picture 1" descr="A graph with blue dots and a black lin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737485"/>
                    </a:xfrm>
                    <a:prstGeom prst="rect">
                      <a:avLst/>
                    </a:prstGeom>
                    <a:noFill/>
                  </pic:spPr>
                </pic:pic>
              </a:graphicData>
            </a:graphic>
          </wp:inline>
        </w:drawing>
      </w:r>
    </w:p>
    <w:p w14:paraId="4CB55B16" w14:textId="77777777" w:rsidR="004C60F7" w:rsidRDefault="004C60F7" w:rsidP="004C60F7">
      <w:r>
        <w:t xml:space="preserve">We have concerns about how this modelling corresponds with reality. It appears that ranges are provided and if the rating software produces results within the range, then the software is “verified.” How are these ranges created? </w:t>
      </w:r>
    </w:p>
    <w:p w14:paraId="58F2615F" w14:textId="77777777" w:rsidR="0000630F" w:rsidRPr="0000630F" w:rsidRDefault="0000630F">
      <w:pPr>
        <w:rPr>
          <w:sz w:val="20"/>
          <w:szCs w:val="20"/>
        </w:rPr>
      </w:pP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ADFCCE6" w14:textId="77777777" w:rsidR="000E18FA" w:rsidRDefault="0000630F" w:rsidP="0000630F">
      <w:pPr>
        <w:rPr>
          <w:i/>
          <w:iCs/>
          <w:sz w:val="20"/>
          <w:szCs w:val="20"/>
        </w:rPr>
      </w:pPr>
      <w:r>
        <w:rPr>
          <w:b/>
          <w:bCs/>
        </w:rPr>
        <w:lastRenderedPageBreak/>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2B5F4B69" w14:textId="77777777" w:rsidR="004C60F7" w:rsidRPr="0068208C" w:rsidRDefault="004C60F7" w:rsidP="004C60F7">
      <w:pPr>
        <w:rPr>
          <w:rFonts w:cstheme="minorHAnsi"/>
        </w:rPr>
      </w:pPr>
      <w:r w:rsidRPr="0068208C">
        <w:rPr>
          <w:rFonts w:cstheme="minorHAnsi"/>
        </w:rPr>
        <w:t xml:space="preserve">v.3 For all HPWH, </w:t>
      </w:r>
      <w:r w:rsidRPr="0068208C">
        <w:rPr>
          <w:rFonts w:cstheme="minorHAnsi"/>
          <w:strike/>
        </w:rPr>
        <w:t>the UEF shall be separated into</w:t>
      </w:r>
      <w:r w:rsidRPr="0068208C">
        <w:rPr>
          <w:rFonts w:cstheme="minorHAnsi"/>
        </w:rPr>
        <w:t xml:space="preserve"> the heat pump compressor COP </w:t>
      </w:r>
      <w:r w:rsidRPr="0068208C">
        <w:rPr>
          <w:rFonts w:cstheme="minorHAnsi"/>
          <w:color w:val="00B0F0"/>
          <w:u w:val="single"/>
        </w:rPr>
        <w:t>shall be the recovery efficiency</w:t>
      </w:r>
      <w:r>
        <w:rPr>
          <w:rFonts w:cstheme="minorHAnsi"/>
        </w:rPr>
        <w:t xml:space="preserve"> </w:t>
      </w:r>
      <w:r w:rsidRPr="0068208C">
        <w:rPr>
          <w:rFonts w:cstheme="minorHAnsi"/>
        </w:rPr>
        <w:t xml:space="preserve">and the tank UA </w:t>
      </w:r>
      <w:r w:rsidRPr="0068208C">
        <w:rPr>
          <w:rFonts w:cstheme="minorHAnsi"/>
          <w:color w:val="00B0F0"/>
          <w:u w:val="single"/>
        </w:rPr>
        <w:t>shall be found</w:t>
      </w:r>
      <w:r>
        <w:rPr>
          <w:rFonts w:cstheme="minorHAnsi"/>
        </w:rPr>
        <w:t xml:space="preserve"> </w:t>
      </w:r>
      <w:r w:rsidRPr="0068208C">
        <w:rPr>
          <w:rFonts w:cstheme="minorHAnsi"/>
        </w:rPr>
        <w:t>according to Table</w:t>
      </w:r>
      <w:r w:rsidRPr="0068208C">
        <w:rPr>
          <w:rFonts w:cstheme="minorHAnsi"/>
          <w:strike/>
          <w:color w:val="00B0F0"/>
        </w:rPr>
        <w:t>s X and</w:t>
      </w:r>
      <w:r w:rsidRPr="0068208C">
        <w:rPr>
          <w:rFonts w:cstheme="minorHAnsi"/>
        </w:rPr>
        <w:t xml:space="preserve"> Y.</w:t>
      </w:r>
    </w:p>
    <w:p w14:paraId="01DCBC09" w14:textId="77777777" w:rsidR="004C60F7" w:rsidRPr="0068208C" w:rsidRDefault="004C60F7" w:rsidP="004C60F7">
      <w:pPr>
        <w:jc w:val="center"/>
        <w:rPr>
          <w:rFonts w:cstheme="minorHAnsi"/>
          <w:strike/>
          <w:color w:val="00B0F0"/>
        </w:rPr>
      </w:pPr>
      <w:r w:rsidRPr="0068208C">
        <w:rPr>
          <w:rFonts w:cstheme="minorHAnsi"/>
          <w:strike/>
          <w:color w:val="00B0F0"/>
        </w:rPr>
        <w:t>Table X: HPWH Compressor COP Values</w:t>
      </w:r>
    </w:p>
    <w:tbl>
      <w:tblPr>
        <w:tblStyle w:val="TableGrid"/>
        <w:tblW w:w="0" w:type="auto"/>
        <w:jc w:val="center"/>
        <w:tblLook w:val="04A0" w:firstRow="1" w:lastRow="0" w:firstColumn="1" w:lastColumn="0" w:noHBand="0" w:noVBand="1"/>
      </w:tblPr>
      <w:tblGrid>
        <w:gridCol w:w="2760"/>
        <w:gridCol w:w="2395"/>
      </w:tblGrid>
      <w:tr w:rsidR="004C60F7" w:rsidRPr="0068208C" w14:paraId="775207FE" w14:textId="77777777" w:rsidTr="00D16BC2">
        <w:trPr>
          <w:jc w:val="center"/>
        </w:trPr>
        <w:tc>
          <w:tcPr>
            <w:tcW w:w="2760" w:type="dxa"/>
          </w:tcPr>
          <w:p w14:paraId="0C26644A" w14:textId="77777777" w:rsidR="004C60F7" w:rsidRPr="0068208C" w:rsidRDefault="004C60F7" w:rsidP="00D16BC2">
            <w:pPr>
              <w:rPr>
                <w:rFonts w:cstheme="minorHAnsi"/>
                <w:b/>
                <w:bCs/>
                <w:strike/>
                <w:color w:val="00B0F0"/>
              </w:rPr>
            </w:pPr>
            <w:r w:rsidRPr="0068208C">
              <w:rPr>
                <w:rFonts w:cstheme="minorHAnsi"/>
                <w:b/>
                <w:bCs/>
                <w:strike/>
                <w:color w:val="00B0F0"/>
              </w:rPr>
              <w:t>First Hour Rating</w:t>
            </w:r>
            <w:r w:rsidRPr="0068208C">
              <w:rPr>
                <w:rFonts w:cs="Times New Roman"/>
                <w:b/>
                <w:bCs/>
                <w:strike/>
                <w:color w:val="00B0F0"/>
                <w:vertAlign w:val="superscript"/>
              </w:rPr>
              <w:footnoteReference w:id="1"/>
            </w:r>
            <w:r w:rsidRPr="0068208C">
              <w:rPr>
                <w:rFonts w:cstheme="minorHAnsi"/>
                <w:b/>
                <w:bCs/>
                <w:strike/>
                <w:color w:val="00B0F0"/>
              </w:rPr>
              <w:t xml:space="preserve"> (gal/</w:t>
            </w:r>
            <w:proofErr w:type="spellStart"/>
            <w:r w:rsidRPr="0068208C">
              <w:rPr>
                <w:rFonts w:cstheme="minorHAnsi"/>
                <w:b/>
                <w:bCs/>
                <w:strike/>
                <w:color w:val="00B0F0"/>
              </w:rPr>
              <w:t>hr</w:t>
            </w:r>
            <w:proofErr w:type="spellEnd"/>
            <w:r w:rsidRPr="0068208C">
              <w:rPr>
                <w:rFonts w:cstheme="minorHAnsi"/>
                <w:b/>
                <w:bCs/>
                <w:strike/>
                <w:color w:val="00B0F0"/>
              </w:rPr>
              <w:t>)</w:t>
            </w:r>
          </w:p>
        </w:tc>
        <w:tc>
          <w:tcPr>
            <w:tcW w:w="2395" w:type="dxa"/>
          </w:tcPr>
          <w:p w14:paraId="37E21525" w14:textId="77777777" w:rsidR="004C60F7" w:rsidRPr="0068208C" w:rsidRDefault="004C60F7" w:rsidP="00D16BC2">
            <w:pPr>
              <w:rPr>
                <w:rFonts w:cstheme="minorHAnsi"/>
                <w:b/>
                <w:bCs/>
                <w:strike/>
                <w:color w:val="00B0F0"/>
              </w:rPr>
            </w:pPr>
            <w:proofErr w:type="spellStart"/>
            <w:r w:rsidRPr="0068208C">
              <w:rPr>
                <w:rFonts w:cstheme="minorHAnsi"/>
                <w:b/>
                <w:bCs/>
                <w:strike/>
                <w:color w:val="00B0F0"/>
              </w:rPr>
              <w:t>COP</w:t>
            </w:r>
            <w:r w:rsidRPr="0068208C">
              <w:rPr>
                <w:rFonts w:cstheme="minorHAnsi"/>
                <w:b/>
                <w:bCs/>
                <w:strike/>
                <w:color w:val="00B0F0"/>
                <w:vertAlign w:val="subscript"/>
              </w:rPr>
              <w:t>comp</w:t>
            </w:r>
            <w:proofErr w:type="spellEnd"/>
          </w:p>
        </w:tc>
      </w:tr>
      <w:tr w:rsidR="004C60F7" w:rsidRPr="0068208C" w14:paraId="1F21BDCF" w14:textId="77777777" w:rsidTr="00D16BC2">
        <w:trPr>
          <w:jc w:val="center"/>
        </w:trPr>
        <w:tc>
          <w:tcPr>
            <w:tcW w:w="2760" w:type="dxa"/>
          </w:tcPr>
          <w:p w14:paraId="21098AD8" w14:textId="77777777" w:rsidR="004C60F7" w:rsidRPr="0068208C" w:rsidRDefault="004C60F7" w:rsidP="00D16BC2">
            <w:pPr>
              <w:rPr>
                <w:rFonts w:cstheme="minorHAnsi"/>
                <w:strike/>
                <w:color w:val="00B0F0"/>
              </w:rPr>
            </w:pPr>
            <w:r w:rsidRPr="0068208C">
              <w:rPr>
                <w:rFonts w:cstheme="minorHAnsi"/>
                <w:strike/>
                <w:color w:val="00B0F0"/>
              </w:rPr>
              <w:t>&gt;= 18, &lt; 51</w:t>
            </w:r>
          </w:p>
        </w:tc>
        <w:tc>
          <w:tcPr>
            <w:tcW w:w="2395" w:type="dxa"/>
          </w:tcPr>
          <w:p w14:paraId="062045C8" w14:textId="77777777" w:rsidR="004C60F7" w:rsidRPr="0068208C" w:rsidRDefault="004C60F7" w:rsidP="00D16BC2">
            <w:pPr>
              <w:rPr>
                <w:rFonts w:cstheme="minorHAnsi"/>
                <w:strike/>
                <w:color w:val="00B0F0"/>
              </w:rPr>
            </w:pPr>
            <w:r w:rsidRPr="0068208C">
              <w:rPr>
                <w:rFonts w:cstheme="minorHAnsi"/>
                <w:strike/>
                <w:color w:val="00B0F0"/>
              </w:rPr>
              <w:t>1.0005 * UEF - 0.0789</w:t>
            </w:r>
          </w:p>
        </w:tc>
      </w:tr>
      <w:tr w:rsidR="004C60F7" w:rsidRPr="0068208C" w14:paraId="664D4F3D" w14:textId="77777777" w:rsidTr="00D16BC2">
        <w:trPr>
          <w:jc w:val="center"/>
        </w:trPr>
        <w:tc>
          <w:tcPr>
            <w:tcW w:w="2760" w:type="dxa"/>
          </w:tcPr>
          <w:p w14:paraId="6C7B71DB" w14:textId="77777777" w:rsidR="004C60F7" w:rsidRPr="0068208C" w:rsidRDefault="004C60F7" w:rsidP="00D16BC2">
            <w:pPr>
              <w:rPr>
                <w:rFonts w:cstheme="minorHAnsi"/>
                <w:strike/>
                <w:color w:val="00B0F0"/>
              </w:rPr>
            </w:pPr>
            <w:r w:rsidRPr="0068208C">
              <w:rPr>
                <w:rFonts w:cstheme="minorHAnsi"/>
                <w:strike/>
                <w:color w:val="00B0F0"/>
              </w:rPr>
              <w:t>&gt;= 51, &lt; 75</w:t>
            </w:r>
          </w:p>
        </w:tc>
        <w:tc>
          <w:tcPr>
            <w:tcW w:w="2395" w:type="dxa"/>
          </w:tcPr>
          <w:p w14:paraId="56CBDF96" w14:textId="77777777" w:rsidR="004C60F7" w:rsidRPr="0068208C" w:rsidRDefault="004C60F7" w:rsidP="00D16BC2">
            <w:pPr>
              <w:rPr>
                <w:rFonts w:cstheme="minorHAnsi"/>
                <w:strike/>
                <w:color w:val="00B0F0"/>
              </w:rPr>
            </w:pPr>
            <w:r w:rsidRPr="0068208C">
              <w:rPr>
                <w:rFonts w:cstheme="minorHAnsi"/>
                <w:strike/>
                <w:color w:val="00B0F0"/>
              </w:rPr>
              <w:t>1.0909 * UEF - 0.0868</w:t>
            </w:r>
          </w:p>
        </w:tc>
      </w:tr>
      <w:tr w:rsidR="004C60F7" w:rsidRPr="0068208C" w14:paraId="54C7825C" w14:textId="77777777" w:rsidTr="00D16BC2">
        <w:trPr>
          <w:jc w:val="center"/>
        </w:trPr>
        <w:tc>
          <w:tcPr>
            <w:tcW w:w="2760" w:type="dxa"/>
          </w:tcPr>
          <w:p w14:paraId="3EE5B785" w14:textId="77777777" w:rsidR="004C60F7" w:rsidRPr="0068208C" w:rsidRDefault="004C60F7" w:rsidP="00D16BC2">
            <w:pPr>
              <w:rPr>
                <w:rFonts w:cstheme="minorHAnsi"/>
                <w:strike/>
                <w:color w:val="00B0F0"/>
              </w:rPr>
            </w:pPr>
            <w:r w:rsidRPr="0068208C">
              <w:rPr>
                <w:rFonts w:cstheme="minorHAnsi"/>
                <w:strike/>
                <w:color w:val="00B0F0"/>
              </w:rPr>
              <w:t>&gt;= 75</w:t>
            </w:r>
          </w:p>
        </w:tc>
        <w:tc>
          <w:tcPr>
            <w:tcW w:w="2395" w:type="dxa"/>
          </w:tcPr>
          <w:p w14:paraId="0DBE336D" w14:textId="77777777" w:rsidR="004C60F7" w:rsidRPr="0068208C" w:rsidRDefault="004C60F7" w:rsidP="00D16BC2">
            <w:pPr>
              <w:rPr>
                <w:rFonts w:cstheme="minorHAnsi"/>
                <w:strike/>
                <w:color w:val="00B0F0"/>
              </w:rPr>
            </w:pPr>
            <w:r w:rsidRPr="0068208C">
              <w:rPr>
                <w:rFonts w:cstheme="minorHAnsi"/>
                <w:strike/>
                <w:color w:val="00B0F0"/>
              </w:rPr>
              <w:t>1.1022 * UEF - 0.0877</w:t>
            </w:r>
          </w:p>
        </w:tc>
      </w:tr>
    </w:tbl>
    <w:p w14:paraId="04E0F23F" w14:textId="77777777" w:rsidR="004C60F7" w:rsidRPr="0068208C" w:rsidRDefault="004C60F7" w:rsidP="004C60F7"/>
    <w:p w14:paraId="44BA00CD" w14:textId="77777777" w:rsidR="004C60F7" w:rsidRPr="0068208C" w:rsidRDefault="004C60F7" w:rsidP="004C60F7">
      <w:pPr>
        <w:jc w:val="center"/>
        <w:rPr>
          <w:rFonts w:cstheme="minorHAnsi"/>
        </w:rPr>
      </w:pPr>
      <w:r w:rsidRPr="0068208C">
        <w:rPr>
          <w:rFonts w:cstheme="minorHAnsi"/>
        </w:rPr>
        <w:t>Table Y: HPWH Tank UA Values</w:t>
      </w:r>
    </w:p>
    <w:tbl>
      <w:tblPr>
        <w:tblStyle w:val="TableGrid"/>
        <w:tblW w:w="0" w:type="auto"/>
        <w:jc w:val="center"/>
        <w:tblLook w:val="04A0" w:firstRow="1" w:lastRow="0" w:firstColumn="1" w:lastColumn="0" w:noHBand="0" w:noVBand="1"/>
      </w:tblPr>
      <w:tblGrid>
        <w:gridCol w:w="2785"/>
        <w:gridCol w:w="2395"/>
      </w:tblGrid>
      <w:tr w:rsidR="004C60F7" w:rsidRPr="0068208C" w14:paraId="66BA76B7" w14:textId="77777777" w:rsidTr="00D16BC2">
        <w:trPr>
          <w:jc w:val="center"/>
        </w:trPr>
        <w:tc>
          <w:tcPr>
            <w:tcW w:w="2785" w:type="dxa"/>
          </w:tcPr>
          <w:p w14:paraId="2EBD8EDE" w14:textId="77777777" w:rsidR="004C60F7" w:rsidRPr="0068208C" w:rsidRDefault="004C60F7" w:rsidP="00D16BC2">
            <w:pPr>
              <w:rPr>
                <w:rFonts w:cstheme="minorHAnsi"/>
                <w:b/>
                <w:bCs/>
              </w:rPr>
            </w:pPr>
            <w:r w:rsidRPr="0068208C">
              <w:rPr>
                <w:rFonts w:cstheme="minorHAnsi"/>
                <w:b/>
                <w:bCs/>
              </w:rPr>
              <w:t>Tank Volume (gal)</w:t>
            </w:r>
          </w:p>
        </w:tc>
        <w:tc>
          <w:tcPr>
            <w:tcW w:w="2395" w:type="dxa"/>
          </w:tcPr>
          <w:p w14:paraId="391E9EAF" w14:textId="77777777" w:rsidR="004C60F7" w:rsidRPr="0068208C" w:rsidRDefault="004C60F7" w:rsidP="00D16BC2">
            <w:pPr>
              <w:rPr>
                <w:rFonts w:cstheme="minorHAnsi"/>
                <w:b/>
                <w:bCs/>
              </w:rPr>
            </w:pPr>
            <w:r w:rsidRPr="0068208C">
              <w:rPr>
                <w:rFonts w:cstheme="minorHAnsi"/>
                <w:b/>
                <w:bCs/>
              </w:rPr>
              <w:t>Tank UA (Btu/</w:t>
            </w:r>
            <w:proofErr w:type="spellStart"/>
            <w:r w:rsidRPr="0068208C">
              <w:rPr>
                <w:rFonts w:cstheme="minorHAnsi"/>
                <w:b/>
                <w:bCs/>
              </w:rPr>
              <w:t>hr</w:t>
            </w:r>
            <w:proofErr w:type="spellEnd"/>
            <w:r w:rsidRPr="0068208C">
              <w:rPr>
                <w:rFonts w:cstheme="minorHAnsi"/>
                <w:b/>
                <w:bCs/>
              </w:rPr>
              <w:t>-F)</w:t>
            </w:r>
          </w:p>
        </w:tc>
      </w:tr>
      <w:tr w:rsidR="004C60F7" w:rsidRPr="0068208C" w14:paraId="1A4F2360" w14:textId="77777777" w:rsidTr="00D16BC2">
        <w:trPr>
          <w:jc w:val="center"/>
        </w:trPr>
        <w:tc>
          <w:tcPr>
            <w:tcW w:w="2785" w:type="dxa"/>
          </w:tcPr>
          <w:p w14:paraId="1A692DD7" w14:textId="77777777" w:rsidR="004C60F7" w:rsidRPr="0068208C" w:rsidRDefault="004C60F7" w:rsidP="00D16BC2">
            <w:pPr>
              <w:rPr>
                <w:rFonts w:cstheme="minorHAnsi"/>
              </w:rPr>
            </w:pPr>
            <w:r w:rsidRPr="0068208C">
              <w:rPr>
                <w:rFonts w:cstheme="minorHAnsi"/>
              </w:rPr>
              <w:t>&lt;= 58</w:t>
            </w:r>
          </w:p>
        </w:tc>
        <w:tc>
          <w:tcPr>
            <w:tcW w:w="2395" w:type="dxa"/>
          </w:tcPr>
          <w:p w14:paraId="50103F09" w14:textId="77777777" w:rsidR="004C60F7" w:rsidRPr="00011905" w:rsidRDefault="004C60F7" w:rsidP="00D16BC2">
            <w:pPr>
              <w:rPr>
                <w:rFonts w:cstheme="minorHAnsi"/>
              </w:rPr>
            </w:pPr>
            <w:r>
              <w:rPr>
                <w:rFonts w:cstheme="minorHAnsi"/>
              </w:rPr>
              <w:t>3.6</w:t>
            </w:r>
          </w:p>
        </w:tc>
      </w:tr>
      <w:tr w:rsidR="004C60F7" w:rsidRPr="0068208C" w14:paraId="73D5FE09" w14:textId="77777777" w:rsidTr="00D16BC2">
        <w:trPr>
          <w:jc w:val="center"/>
        </w:trPr>
        <w:tc>
          <w:tcPr>
            <w:tcW w:w="2785" w:type="dxa"/>
          </w:tcPr>
          <w:p w14:paraId="690CCAF3" w14:textId="77777777" w:rsidR="004C60F7" w:rsidRPr="0068208C" w:rsidRDefault="004C60F7" w:rsidP="00D16BC2">
            <w:pPr>
              <w:rPr>
                <w:rFonts w:cstheme="minorHAnsi"/>
              </w:rPr>
            </w:pPr>
            <w:r w:rsidRPr="0068208C">
              <w:rPr>
                <w:rFonts w:cstheme="minorHAnsi"/>
              </w:rPr>
              <w:t>&gt; 58, &lt;= 73</w:t>
            </w:r>
          </w:p>
        </w:tc>
        <w:tc>
          <w:tcPr>
            <w:tcW w:w="2395" w:type="dxa"/>
          </w:tcPr>
          <w:p w14:paraId="2AD2CB82" w14:textId="77777777" w:rsidR="004C60F7" w:rsidRPr="0068208C" w:rsidRDefault="004C60F7" w:rsidP="00D16BC2">
            <w:pPr>
              <w:rPr>
                <w:rFonts w:cstheme="minorHAnsi"/>
              </w:rPr>
            </w:pPr>
            <w:r w:rsidRPr="0068208C">
              <w:rPr>
                <w:rFonts w:cstheme="minorHAnsi"/>
              </w:rPr>
              <w:t>4.0</w:t>
            </w:r>
          </w:p>
        </w:tc>
      </w:tr>
      <w:tr w:rsidR="004C60F7" w:rsidRPr="0068208C" w14:paraId="6567CC64" w14:textId="77777777" w:rsidTr="00D16BC2">
        <w:trPr>
          <w:jc w:val="center"/>
        </w:trPr>
        <w:tc>
          <w:tcPr>
            <w:tcW w:w="2785" w:type="dxa"/>
          </w:tcPr>
          <w:p w14:paraId="737F87DE" w14:textId="77777777" w:rsidR="004C60F7" w:rsidRPr="0068208C" w:rsidRDefault="004C60F7" w:rsidP="00D16BC2">
            <w:pPr>
              <w:rPr>
                <w:rFonts w:cstheme="minorHAnsi"/>
              </w:rPr>
            </w:pPr>
            <w:r w:rsidRPr="0068208C">
              <w:rPr>
                <w:rFonts w:cstheme="minorHAnsi"/>
              </w:rPr>
              <w:t>&gt; 73</w:t>
            </w:r>
          </w:p>
        </w:tc>
        <w:tc>
          <w:tcPr>
            <w:tcW w:w="2395" w:type="dxa"/>
          </w:tcPr>
          <w:p w14:paraId="7E8C3F5D" w14:textId="77777777" w:rsidR="004C60F7" w:rsidRPr="0068208C" w:rsidRDefault="004C60F7" w:rsidP="00D16BC2">
            <w:pPr>
              <w:rPr>
                <w:rFonts w:cstheme="minorHAnsi"/>
              </w:rPr>
            </w:pPr>
            <w:r w:rsidRPr="0068208C">
              <w:rPr>
                <w:rFonts w:cstheme="minorHAnsi"/>
              </w:rPr>
              <w:t>4.7</w:t>
            </w:r>
          </w:p>
        </w:tc>
      </w:tr>
    </w:tbl>
    <w:p w14:paraId="7DD8A835" w14:textId="0D8EBFA8" w:rsidR="0000630F" w:rsidRPr="0000630F" w:rsidRDefault="0000630F"/>
    <w:sectPr w:rsidR="0000630F"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1BE00" w14:textId="77777777" w:rsidR="00DA7C5B" w:rsidRDefault="00DA7C5B" w:rsidP="00237923">
      <w:pPr>
        <w:spacing w:after="0" w:line="240" w:lineRule="auto"/>
      </w:pPr>
      <w:r>
        <w:separator/>
      </w:r>
    </w:p>
  </w:endnote>
  <w:endnote w:type="continuationSeparator" w:id="0">
    <w:p w14:paraId="7D2DF828" w14:textId="77777777" w:rsidR="00DA7C5B" w:rsidRDefault="00DA7C5B"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66F3" w14:textId="77777777" w:rsidR="00DA7C5B" w:rsidRDefault="00DA7C5B" w:rsidP="00237923">
      <w:pPr>
        <w:spacing w:after="0" w:line="240" w:lineRule="auto"/>
      </w:pPr>
      <w:r>
        <w:separator/>
      </w:r>
    </w:p>
  </w:footnote>
  <w:footnote w:type="continuationSeparator" w:id="0">
    <w:p w14:paraId="3114C89D" w14:textId="77777777" w:rsidR="00DA7C5B" w:rsidRDefault="00DA7C5B" w:rsidP="00237923">
      <w:pPr>
        <w:spacing w:after="0" w:line="240" w:lineRule="auto"/>
      </w:pPr>
      <w:r>
        <w:continuationSeparator/>
      </w:r>
    </w:p>
  </w:footnote>
  <w:footnote w:id="1">
    <w:p w14:paraId="0EAF7804" w14:textId="77777777" w:rsidR="004C60F7" w:rsidRPr="00842E00" w:rsidRDefault="004C60F7" w:rsidP="004C60F7">
      <w:r w:rsidRPr="00842E00">
        <w:rPr>
          <w:rFonts w:cstheme="minorHAnsi"/>
        </w:rPr>
        <w:footnoteRef/>
      </w:r>
      <w:r w:rsidRPr="00842E00">
        <w:rPr>
          <w:rFonts w:cstheme="minorHAnsi"/>
        </w:rPr>
        <w:t xml:space="preserve"> (Informative Note) There are no HPWH products currently on the market with First Hour Rating &lt; 18 gal/hr.</w:t>
      </w:r>
      <w:r w:rsidRPr="00842E0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2F1A93"/>
    <w:rsid w:val="004C60F7"/>
    <w:rsid w:val="00553D0D"/>
    <w:rsid w:val="005C1477"/>
    <w:rsid w:val="008C2F70"/>
    <w:rsid w:val="00A519E2"/>
    <w:rsid w:val="00AB6728"/>
    <w:rsid w:val="00D824DE"/>
    <w:rsid w:val="00DA7C5B"/>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table" w:styleId="TableGrid">
    <w:name w:val="Table Grid"/>
    <w:basedOn w:val="TableNormal"/>
    <w:uiPriority w:val="39"/>
    <w:rsid w:val="004C60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James Phillips</cp:lastModifiedBy>
  <cp:revision>7</cp:revision>
  <dcterms:created xsi:type="dcterms:W3CDTF">2024-08-23T12:43:00Z</dcterms:created>
  <dcterms:modified xsi:type="dcterms:W3CDTF">2025-05-02T19:35:00Z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2025-05-02T19:35:39Z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051fd477-c200-40cd-9b53-7e3212dfc5cc</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