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22A8697B" w14:textId="77777777" w:rsidR="00562C95" w:rsidRDefault="00562C95" w:rsidP="00562C95">
      <w:pPr>
        <w:rPr>
          <w:sz w:val="20"/>
          <w:szCs w:val="20"/>
        </w:rPr>
      </w:pPr>
      <w:r>
        <w:rPr>
          <w:sz w:val="20"/>
          <w:szCs w:val="20"/>
        </w:rPr>
        <w:t>The proposal would require 75 in</w:t>
      </w:r>
      <w:r w:rsidRPr="00AD4E3A">
        <w:rPr>
          <w:sz w:val="20"/>
          <w:szCs w:val="20"/>
          <w:vertAlign w:val="superscript"/>
        </w:rPr>
        <w:t>2</w:t>
      </w:r>
      <w:r>
        <w:rPr>
          <w:sz w:val="20"/>
          <w:szCs w:val="20"/>
        </w:rPr>
        <w:t xml:space="preserve"> of net free area (NFA) per 100 watts of compressor power. </w:t>
      </w:r>
    </w:p>
    <w:p w14:paraId="31E350FA" w14:textId="77777777" w:rsidR="00562C95" w:rsidRDefault="00562C95" w:rsidP="00562C95">
      <w:pPr>
        <w:rPr>
          <w:sz w:val="20"/>
          <w:szCs w:val="20"/>
        </w:rPr>
      </w:pPr>
      <w:r>
        <w:rPr>
          <w:sz w:val="20"/>
          <w:szCs w:val="20"/>
        </w:rPr>
        <w:t xml:space="preserve">Compressors generally report a power input, mass flow rate, and capacity, using methodology from AHRI 540. </w:t>
      </w:r>
    </w:p>
    <w:p w14:paraId="78A6509F" w14:textId="77777777" w:rsidR="00562C95" w:rsidRPr="0000630F" w:rsidRDefault="00562C95" w:rsidP="00562C95">
      <w:pPr>
        <w:rPr>
          <w:sz w:val="20"/>
          <w:szCs w:val="20"/>
        </w:rPr>
      </w:pPr>
      <w:r>
        <w:rPr>
          <w:sz w:val="20"/>
          <w:szCs w:val="20"/>
        </w:rPr>
        <w:t>Rheem understands “power” to mean “power input,” not “capacity.” Rheem notes that California’s recent Title 24 updates added NFA requirements based on “capacity” not “power input” to Section 110.3. Capacity is more appropriate than “power input” as it directly relates to the energy moved from the air to the water. These provisions also defer to manufacturer literature. Rheem recommends aligning these provisions with the already established provisions in CA.</w:t>
      </w: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48392EB5" w14:textId="77777777" w:rsidR="00562C95" w:rsidRDefault="00562C95" w:rsidP="00562C95">
      <w:pPr>
        <w:rPr>
          <w:sz w:val="20"/>
          <w:szCs w:val="20"/>
        </w:rPr>
      </w:pPr>
      <w:r w:rsidRPr="008778AF">
        <w:rPr>
          <w:sz w:val="20"/>
          <w:szCs w:val="20"/>
        </w:rPr>
        <w:t>ii.</w:t>
      </w:r>
      <w:r>
        <w:rPr>
          <w:sz w:val="20"/>
          <w:szCs w:val="20"/>
        </w:rPr>
        <w:t xml:space="preserve"> </w:t>
      </w:r>
      <w:r w:rsidRPr="008778AF">
        <w:rPr>
          <w:sz w:val="20"/>
          <w:szCs w:val="20"/>
        </w:rPr>
        <w:t xml:space="preserve">The enclosed space containing the water heater is verified to have a total net free opening area to an adjacent heated or conditioned space </w:t>
      </w:r>
      <w:r w:rsidRPr="00BC25F8">
        <w:rPr>
          <w:color w:val="00B0F0"/>
          <w:sz w:val="20"/>
          <w:szCs w:val="20"/>
          <w:u w:val="single"/>
        </w:rPr>
        <w:t>that is greater than or equal to the net free opening area recommended by the manufacturer, or if there is no manufacturer recommendation, 125 in</w:t>
      </w:r>
      <w:r w:rsidRPr="00BC25F8">
        <w:rPr>
          <w:color w:val="00B0F0"/>
          <w:sz w:val="20"/>
          <w:szCs w:val="20"/>
          <w:u w:val="single"/>
          <w:vertAlign w:val="superscript"/>
        </w:rPr>
        <w:t>2</w:t>
      </w:r>
      <w:r w:rsidRPr="00BC25F8">
        <w:rPr>
          <w:color w:val="00B0F0"/>
          <w:sz w:val="20"/>
          <w:szCs w:val="20"/>
          <w:u w:val="single"/>
        </w:rPr>
        <w:t xml:space="preserve"> plus 25 in</w:t>
      </w:r>
      <w:r w:rsidRPr="00BC25F8">
        <w:rPr>
          <w:color w:val="00B0F0"/>
          <w:sz w:val="20"/>
          <w:szCs w:val="20"/>
          <w:u w:val="single"/>
          <w:vertAlign w:val="superscript"/>
        </w:rPr>
        <w:t>2</w:t>
      </w:r>
      <w:r w:rsidRPr="00BC25F8">
        <w:rPr>
          <w:color w:val="00B0F0"/>
          <w:sz w:val="20"/>
          <w:szCs w:val="20"/>
          <w:u w:val="single"/>
        </w:rPr>
        <w:t xml:space="preserve"> per kBtu per hour of compressor capacity</w:t>
      </w:r>
      <w:r>
        <w:rPr>
          <w:color w:val="00B0F0"/>
          <w:sz w:val="20"/>
          <w:szCs w:val="20"/>
          <w:u w:val="single"/>
        </w:rPr>
        <w:t xml:space="preserve"> </w:t>
      </w:r>
      <w:r w:rsidRPr="00BC25F8">
        <w:rPr>
          <w:strike/>
          <w:color w:val="00B0F0"/>
          <w:sz w:val="20"/>
          <w:szCs w:val="20"/>
        </w:rPr>
        <w:t>of no less than 75 in</w:t>
      </w:r>
      <w:r w:rsidRPr="00BC25F8">
        <w:rPr>
          <w:strike/>
          <w:color w:val="00B0F0"/>
          <w:sz w:val="20"/>
          <w:szCs w:val="20"/>
          <w:vertAlign w:val="superscript"/>
        </w:rPr>
        <w:t>2</w:t>
      </w:r>
      <w:r w:rsidRPr="00BC25F8">
        <w:rPr>
          <w:strike/>
          <w:color w:val="00B0F0"/>
          <w:sz w:val="20"/>
          <w:szCs w:val="20"/>
        </w:rPr>
        <w:t xml:space="preserve"> per 100 watts of compressor power</w:t>
      </w:r>
      <w:r w:rsidRPr="008778AF">
        <w:rPr>
          <w:sz w:val="20"/>
          <w:szCs w:val="20"/>
        </w:rPr>
        <w:t xml:space="preserve">, using any combination of grilles, louvers, door undercuts, or a louvered door. Where the compressor </w:t>
      </w:r>
      <w:r w:rsidRPr="00BC25F8">
        <w:rPr>
          <w:color w:val="00B0F0"/>
          <w:sz w:val="20"/>
          <w:szCs w:val="20"/>
          <w:u w:val="single"/>
        </w:rPr>
        <w:t>capacity</w:t>
      </w:r>
      <w:r w:rsidRPr="00BC25F8">
        <w:rPr>
          <w:color w:val="00B0F0"/>
          <w:sz w:val="20"/>
          <w:szCs w:val="20"/>
        </w:rPr>
        <w:t xml:space="preserve"> </w:t>
      </w:r>
      <w:r w:rsidRPr="00BC25F8">
        <w:rPr>
          <w:strike/>
          <w:color w:val="00B0F0"/>
          <w:sz w:val="20"/>
          <w:szCs w:val="20"/>
        </w:rPr>
        <w:t>power</w:t>
      </w:r>
      <w:r w:rsidRPr="008778AF">
        <w:rPr>
          <w:sz w:val="20"/>
          <w:szCs w:val="20"/>
        </w:rPr>
        <w:t xml:space="preserve"> is not specified by the manufacturer, the total net free opening area shall be no less than 560 in</w:t>
      </w:r>
      <w:r w:rsidRPr="00BC25F8">
        <w:rPr>
          <w:sz w:val="20"/>
          <w:szCs w:val="20"/>
          <w:vertAlign w:val="superscript"/>
        </w:rPr>
        <w:t>2</w:t>
      </w:r>
      <w:r w:rsidRPr="008778AF">
        <w:rPr>
          <w:sz w:val="20"/>
          <w:szCs w:val="20"/>
        </w:rPr>
        <w:t>.</w:t>
      </w:r>
    </w:p>
    <w:p w14:paraId="7DD8A835" w14:textId="0D8EBFA8" w:rsidR="0000630F" w:rsidRPr="0000630F" w:rsidRDefault="0000630F"/>
    <w:sectPr w:rsidR="0000630F"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DC369" w14:textId="77777777" w:rsidR="009546BB" w:rsidRDefault="009546BB" w:rsidP="00237923">
      <w:pPr>
        <w:spacing w:after="0" w:line="240" w:lineRule="auto"/>
      </w:pPr>
      <w:r>
        <w:separator/>
      </w:r>
    </w:p>
  </w:endnote>
  <w:endnote w:type="continuationSeparator" w:id="0">
    <w:p w14:paraId="7F1BCF5A" w14:textId="77777777" w:rsidR="009546BB" w:rsidRDefault="009546BB"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1D3E1" w14:textId="77777777" w:rsidR="009546BB" w:rsidRDefault="009546BB" w:rsidP="00237923">
      <w:pPr>
        <w:spacing w:after="0" w:line="240" w:lineRule="auto"/>
      </w:pPr>
      <w:r>
        <w:separator/>
      </w:r>
    </w:p>
  </w:footnote>
  <w:footnote w:type="continuationSeparator" w:id="0">
    <w:p w14:paraId="78780DCF" w14:textId="77777777" w:rsidR="009546BB" w:rsidRDefault="009546BB"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2F1A93"/>
    <w:rsid w:val="00553D0D"/>
    <w:rsid w:val="00562C95"/>
    <w:rsid w:val="005C1477"/>
    <w:rsid w:val="008C2F70"/>
    <w:rsid w:val="009546BB"/>
    <w:rsid w:val="00A519E2"/>
    <w:rsid w:val="00AB6728"/>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James Phillips</cp:lastModifiedBy>
  <cp:revision>7</cp:revision>
  <dcterms:created xsi:type="dcterms:W3CDTF">2024-08-23T12:43:00Z</dcterms:created>
  <dcterms:modified xsi:type="dcterms:W3CDTF">2025-05-02T19:36:00Z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46355-4d07-4939-a6f8-8ba816b56327_Enabled">
    <vt:lpwstr>true</vt:lpwstr>
  </property>
  <property fmtid="{D5CDD505-2E9C-101B-9397-08002B2CF9AE}" pid="3" name="MSIP_Label_82a46355-4d07-4939-a6f8-8ba816b56327_SetDate">
    <vt:lpwstr>2025-05-02T19:36:10Z</vt:lpwstr>
  </property>
  <property fmtid="{D5CDD505-2E9C-101B-9397-08002B2CF9AE}" pid="4" name="MSIP_Label_82a46355-4d07-4939-a6f8-8ba816b56327_Method">
    <vt:lpwstr>Standard</vt:lpwstr>
  </property>
  <property fmtid="{D5CDD505-2E9C-101B-9397-08002B2CF9AE}" pid="5" name="MSIP_Label_82a46355-4d07-4939-a6f8-8ba816b56327_Name">
    <vt:lpwstr>Internal Use Only</vt:lpwstr>
  </property>
  <property fmtid="{D5CDD505-2E9C-101B-9397-08002B2CF9AE}" pid="6" name="MSIP_Label_82a46355-4d07-4939-a6f8-8ba816b56327_SiteId">
    <vt:lpwstr>c9f9d6eb-ac24-4f8d-ba12-8aca79668852</vt:lpwstr>
  </property>
  <property fmtid="{D5CDD505-2E9C-101B-9397-08002B2CF9AE}" pid="7" name="MSIP_Label_82a46355-4d07-4939-a6f8-8ba816b56327_ActionId">
    <vt:lpwstr>82da67e0-6634-4c3e-853c-c033e6e00bc9</vt:lpwstr>
  </property>
  <property fmtid="{D5CDD505-2E9C-101B-9397-08002B2CF9AE}" pid="8" name="MSIP_Label_82a46355-4d07-4939-a6f8-8ba816b56327_ContentBits">
    <vt:lpwstr>0</vt:lpwstr>
  </property>
  <property fmtid="{D5CDD505-2E9C-101B-9397-08002B2CF9AE}" pid="9" name="MSIP_Label_82a46355-4d07-4939-a6f8-8ba816b56327_Tag">
    <vt:lpwstr>10, 3, 0, 1</vt:lpwstr>
  </property>
</Properties>
</file>