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0124AB6" w14:textId="77777777" w:rsidR="00E46923" w:rsidRDefault="00E46923" w:rsidP="00E46923">
      <w:pPr>
        <w:rPr>
          <w:sz w:val="20"/>
          <w:szCs w:val="20"/>
        </w:rPr>
      </w:pPr>
      <w:r>
        <w:rPr>
          <w:sz w:val="20"/>
          <w:szCs w:val="20"/>
        </w:rPr>
        <w:t xml:space="preserve">Reference home efficiency is based on “store gal.” The storage volume used for DOE water heater standards has changed over the years. In addition, industry must meet volume requirements laid out in the safety standards. </w:t>
      </w:r>
    </w:p>
    <w:p w14:paraId="48C8EC60" w14:textId="77777777" w:rsidR="00E46923" w:rsidRDefault="00E46923" w:rsidP="00E46923">
      <w:pPr>
        <w:rPr>
          <w:sz w:val="20"/>
          <w:szCs w:val="20"/>
        </w:rPr>
      </w:pPr>
      <w:r>
        <w:rPr>
          <w:sz w:val="20"/>
          <w:szCs w:val="20"/>
        </w:rPr>
        <w:t xml:space="preserve">The EF levels correspond to the standard levels required by DOE on 1/1/2004. The storage volume used by DOE at this time was “Rated Volume” which corresponded to the “Nominal Volume” of the tank. In 2014, when DOE converted to the UEF metric the “Rated Volume” was redefined to effectively mean “Measured Volume.” For </w:t>
      </w:r>
      <w:proofErr w:type="spellStart"/>
      <w:r>
        <w:rPr>
          <w:sz w:val="20"/>
          <w:szCs w:val="20"/>
        </w:rPr>
        <w:t>iHPWHs</w:t>
      </w:r>
      <w:proofErr w:type="spellEnd"/>
      <w:r>
        <w:rPr>
          <w:sz w:val="20"/>
          <w:szCs w:val="20"/>
        </w:rPr>
        <w:t>, the relationship between nominal and measured volume is governed by section 33.1 of UL 174 which requires the measured volume to be “</w:t>
      </w:r>
      <w:r w:rsidRPr="00D93FB7">
        <w:rPr>
          <w:sz w:val="20"/>
          <w:szCs w:val="20"/>
        </w:rPr>
        <w:t>no less than 90 percent</w:t>
      </w:r>
      <w:r>
        <w:rPr>
          <w:sz w:val="20"/>
          <w:szCs w:val="20"/>
        </w:rPr>
        <w:t xml:space="preserve">” of the nominal volume. For example, an </w:t>
      </w:r>
      <w:proofErr w:type="spellStart"/>
      <w:r>
        <w:rPr>
          <w:sz w:val="20"/>
          <w:szCs w:val="20"/>
        </w:rPr>
        <w:t>iHPWH</w:t>
      </w:r>
      <w:proofErr w:type="spellEnd"/>
      <w:r>
        <w:rPr>
          <w:sz w:val="20"/>
          <w:szCs w:val="20"/>
        </w:rPr>
        <w:t xml:space="preserve"> with a 40-gallon nominal volume could have a measured volume between 36 and 40 gallons. </w:t>
      </w:r>
    </w:p>
    <w:p w14:paraId="5F210AEC" w14:textId="77777777" w:rsidR="00E46923" w:rsidRDefault="00E46923" w:rsidP="00E46923">
      <w:pPr>
        <w:rPr>
          <w:sz w:val="20"/>
          <w:szCs w:val="20"/>
        </w:rPr>
      </w:pPr>
      <w:r>
        <w:rPr>
          <w:sz w:val="20"/>
          <w:szCs w:val="20"/>
        </w:rPr>
        <w:t xml:space="preserve">“Store gal” should be more accurately described as nominal volume. Further, instructions on what volume to use should be given </w:t>
      </w:r>
      <w:proofErr w:type="gramStart"/>
      <w:r>
        <w:rPr>
          <w:sz w:val="20"/>
          <w:szCs w:val="20"/>
        </w:rPr>
        <w:t>in</w:t>
      </w:r>
      <w:proofErr w:type="gramEnd"/>
      <w:r>
        <w:rPr>
          <w:sz w:val="20"/>
          <w:szCs w:val="20"/>
        </w:rPr>
        <w:t xml:space="preserve"> the table. We recommend clarifying that the nominal volume </w:t>
      </w:r>
      <w:proofErr w:type="gramStart"/>
      <w:r>
        <w:rPr>
          <w:sz w:val="20"/>
          <w:szCs w:val="20"/>
        </w:rPr>
        <w:t>be</w:t>
      </w:r>
      <w:proofErr w:type="gramEnd"/>
      <w:r>
        <w:rPr>
          <w:sz w:val="20"/>
          <w:szCs w:val="20"/>
        </w:rPr>
        <w:t xml:space="preserve"> the same as the rated home.</w:t>
      </w:r>
    </w:p>
    <w:p w14:paraId="11ACD6BB" w14:textId="77777777" w:rsidR="00E46923" w:rsidRDefault="00E46923" w:rsidP="00E46923">
      <w:pPr>
        <w:rPr>
          <w:sz w:val="20"/>
          <w:szCs w:val="20"/>
        </w:rPr>
      </w:pPr>
      <w:r>
        <w:rPr>
          <w:sz w:val="20"/>
          <w:szCs w:val="20"/>
        </w:rPr>
        <w:t xml:space="preserve">Finally, the daily hot water use calculation for the Reference Home states using section 4.2.2.6.1.4, but this section does not appear to exist. Section 4.2.2.7.1.4 does exist and address daily hot water use. </w:t>
      </w: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51691267" w14:textId="77777777" w:rsidR="00E46923" w:rsidRDefault="00E46923" w:rsidP="00E4692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E46923" w:rsidRPr="00E64091" w14:paraId="57B762F3" w14:textId="77777777" w:rsidTr="00D16BC2">
        <w:trPr>
          <w:jc w:val="center"/>
        </w:trPr>
        <w:tc>
          <w:tcPr>
            <w:tcW w:w="2587" w:type="dxa"/>
          </w:tcPr>
          <w:p w14:paraId="46F3CA0A" w14:textId="77777777" w:rsidR="00E46923" w:rsidRPr="00DB78FB" w:rsidRDefault="00E46923" w:rsidP="00D16BC2">
            <w:pPr>
              <w:rPr>
                <w:b/>
                <w:bCs/>
              </w:rPr>
            </w:pPr>
            <w:r>
              <w:rPr>
                <w:b/>
                <w:bCs/>
              </w:rPr>
              <w:t>Building Component</w:t>
            </w:r>
          </w:p>
        </w:tc>
        <w:tc>
          <w:tcPr>
            <w:tcW w:w="3596" w:type="dxa"/>
          </w:tcPr>
          <w:p w14:paraId="119ACC8F" w14:textId="77777777" w:rsidR="00E46923" w:rsidRPr="00DB78FB" w:rsidRDefault="00E46923" w:rsidP="00D16BC2">
            <w:pPr>
              <w:spacing w:after="240"/>
              <w:ind w:left="261" w:hanging="261"/>
              <w:rPr>
                <w:b/>
                <w:bCs/>
              </w:rPr>
            </w:pPr>
            <w:r>
              <w:rPr>
                <w:b/>
                <w:bCs/>
              </w:rPr>
              <w:t>Energy Rating Reference Home</w:t>
            </w:r>
          </w:p>
        </w:tc>
        <w:tc>
          <w:tcPr>
            <w:tcW w:w="3177" w:type="dxa"/>
          </w:tcPr>
          <w:p w14:paraId="7AA64524" w14:textId="77777777" w:rsidR="00E46923" w:rsidRPr="00DB78FB" w:rsidRDefault="00E46923" w:rsidP="00D16BC2">
            <w:r>
              <w:rPr>
                <w:b/>
                <w:bCs/>
              </w:rPr>
              <w:t>Rated Home</w:t>
            </w:r>
          </w:p>
        </w:tc>
      </w:tr>
      <w:tr w:rsidR="00E46923" w:rsidRPr="00E64091" w14:paraId="634829B2" w14:textId="77777777" w:rsidTr="00D16BC2">
        <w:trPr>
          <w:jc w:val="center"/>
        </w:trPr>
        <w:tc>
          <w:tcPr>
            <w:tcW w:w="2587" w:type="dxa"/>
          </w:tcPr>
          <w:p w14:paraId="315BDB45" w14:textId="77777777" w:rsidR="00E46923" w:rsidRPr="00351DAE" w:rsidRDefault="00E46923" w:rsidP="00D16BC2">
            <w:pPr>
              <w:rPr>
                <w:rFonts w:ascii="Calibri" w:hAnsi="Calibri" w:cs="Calibri"/>
                <w:color w:val="FF0000"/>
                <w:u w:val="single"/>
              </w:rPr>
            </w:pPr>
            <w:r w:rsidRPr="004C78D9">
              <w:rPr>
                <w:rFonts w:ascii="Calibri" w:hAnsi="Calibri" w:cs="Calibri"/>
              </w:rPr>
              <w:t>Service water heating systems</w:t>
            </w:r>
            <w:r>
              <w:rPr>
                <w:rFonts w:ascii="Calibri" w:hAnsi="Calibri" w:cs="Calibri"/>
              </w:rPr>
              <w:t xml:space="preserve"> </w:t>
            </w:r>
            <w:r w:rsidRPr="004C78D9">
              <w:rPr>
                <w:rFonts w:ascii="Calibri" w:hAnsi="Calibri" w:cs="Calibri"/>
                <w:vertAlign w:val="superscript"/>
              </w:rPr>
              <w:t>p, t, u, v</w:t>
            </w:r>
            <w:r w:rsidRPr="00C65CF3">
              <w:rPr>
                <w:rFonts w:ascii="Calibri" w:hAnsi="Calibri" w:cs="Calibri"/>
                <w:u w:val="single"/>
                <w:vertAlign w:val="superscript"/>
              </w:rPr>
              <w:t>.1, v.2</w:t>
            </w:r>
            <w:r>
              <w:rPr>
                <w:rFonts w:ascii="Calibri" w:hAnsi="Calibri" w:cs="Calibri"/>
                <w:color w:val="FF0000"/>
                <w:u w:val="single"/>
                <w:vertAlign w:val="superscript"/>
              </w:rPr>
              <w:t>, v.3</w:t>
            </w:r>
          </w:p>
          <w:p w14:paraId="2BF7BB7C" w14:textId="77777777" w:rsidR="00E46923" w:rsidRPr="004C78D9" w:rsidRDefault="00E46923" w:rsidP="00D16BC2">
            <w:pPr>
              <w:rPr>
                <w:rFonts w:ascii="Calibri" w:hAnsi="Calibri" w:cs="Calibri"/>
                <w:vertAlign w:val="superscript"/>
              </w:rPr>
            </w:pPr>
          </w:p>
          <w:p w14:paraId="59E06095" w14:textId="77777777" w:rsidR="00E46923" w:rsidRPr="004C78D9" w:rsidRDefault="00E46923" w:rsidP="00D16BC2">
            <w:pPr>
              <w:rPr>
                <w:rFonts w:ascii="Calibri" w:hAnsi="Calibri" w:cs="Calibri"/>
                <w:b/>
                <w:i/>
              </w:rPr>
            </w:pPr>
          </w:p>
        </w:tc>
        <w:tc>
          <w:tcPr>
            <w:tcW w:w="3596" w:type="dxa"/>
          </w:tcPr>
          <w:p w14:paraId="0FE61A7C" w14:textId="77777777" w:rsidR="00E46923" w:rsidRPr="00AD499D" w:rsidRDefault="00E46923" w:rsidP="00D16BC2">
            <w:pPr>
              <w:spacing w:after="0" w:line="240" w:lineRule="auto"/>
              <w:ind w:left="261" w:hanging="261"/>
              <w:rPr>
                <w:rFonts w:ascii="Calibri" w:hAnsi="Calibri" w:cs="Calibri"/>
              </w:rPr>
            </w:pPr>
            <w:r w:rsidRPr="00AD499D">
              <w:rPr>
                <w:rFonts w:ascii="Calibri" w:hAnsi="Calibri" w:cs="Calibri"/>
              </w:rPr>
              <w:t>Fuel type: same as Rated Home</w:t>
            </w:r>
          </w:p>
          <w:p w14:paraId="0992BF2C" w14:textId="77777777" w:rsidR="00E46923" w:rsidRPr="00AD499D" w:rsidRDefault="00E46923" w:rsidP="00D16BC2">
            <w:pPr>
              <w:spacing w:after="0" w:line="240" w:lineRule="auto"/>
              <w:ind w:left="261" w:hanging="261"/>
              <w:rPr>
                <w:rFonts w:ascii="Calibri" w:hAnsi="Calibri" w:cs="Calibri"/>
              </w:rPr>
            </w:pPr>
          </w:p>
          <w:p w14:paraId="5DBCB055" w14:textId="77777777" w:rsidR="00E46923" w:rsidRPr="00AD499D" w:rsidRDefault="00E46923" w:rsidP="00D16BC2">
            <w:pPr>
              <w:spacing w:after="0" w:line="240" w:lineRule="auto"/>
              <w:ind w:left="261" w:hanging="261"/>
              <w:rPr>
                <w:rFonts w:ascii="Calibri" w:hAnsi="Calibri" w:cs="Calibri"/>
              </w:rPr>
            </w:pPr>
            <w:r w:rsidRPr="00AD499D">
              <w:rPr>
                <w:rFonts w:ascii="Calibri" w:hAnsi="Calibri" w:cs="Calibri"/>
              </w:rPr>
              <w:t>Efficiency:</w:t>
            </w:r>
          </w:p>
          <w:p w14:paraId="2AC5934F" w14:textId="77777777" w:rsidR="00E46923" w:rsidRPr="00AD499D" w:rsidRDefault="00E46923" w:rsidP="00D16BC2">
            <w:pPr>
              <w:spacing w:after="0" w:line="240" w:lineRule="auto"/>
              <w:ind w:left="522" w:hanging="261"/>
              <w:rPr>
                <w:rFonts w:ascii="Calibri" w:hAnsi="Calibri" w:cs="Calibri"/>
              </w:rPr>
            </w:pPr>
            <w:r w:rsidRPr="00AD499D">
              <w:rPr>
                <w:rFonts w:ascii="Calibri" w:hAnsi="Calibri" w:cs="Calibri"/>
              </w:rPr>
              <w:t xml:space="preserve">Electric: EF = 0.97 - (0.00132 * </w:t>
            </w:r>
            <w:r w:rsidRPr="00AD499D">
              <w:rPr>
                <w:rFonts w:ascii="Calibri" w:hAnsi="Calibri" w:cs="Calibri"/>
                <w:strike/>
                <w:color w:val="00B0F0"/>
              </w:rPr>
              <w:t>store gal</w:t>
            </w:r>
            <w:r w:rsidRPr="00AD499D">
              <w:rPr>
                <w:rFonts w:ascii="Calibri" w:hAnsi="Calibri" w:cs="Calibri"/>
                <w:color w:val="00B0F0"/>
              </w:rPr>
              <w:t xml:space="preserve"> </w:t>
            </w:r>
            <w:r w:rsidRPr="00AD499D">
              <w:rPr>
                <w:rFonts w:ascii="Calibri" w:hAnsi="Calibri" w:cs="Calibri"/>
                <w:color w:val="00B0F0"/>
                <w:u w:val="single"/>
              </w:rPr>
              <w:t>nominal volume</w:t>
            </w:r>
            <w:r w:rsidRPr="00AD499D">
              <w:rPr>
                <w:rFonts w:ascii="Calibri" w:hAnsi="Calibri" w:cs="Calibri"/>
              </w:rPr>
              <w:t>)</w:t>
            </w:r>
          </w:p>
          <w:p w14:paraId="78B0FCC9" w14:textId="77777777" w:rsidR="00E46923" w:rsidRPr="00AD499D" w:rsidRDefault="00E46923" w:rsidP="00D16BC2">
            <w:pPr>
              <w:spacing w:after="0" w:line="240" w:lineRule="auto"/>
              <w:ind w:left="522" w:hanging="261"/>
              <w:rPr>
                <w:rFonts w:ascii="Calibri" w:hAnsi="Calibri" w:cs="Calibri"/>
              </w:rPr>
            </w:pPr>
          </w:p>
          <w:p w14:paraId="38DEA8FA" w14:textId="77777777" w:rsidR="00E46923" w:rsidRPr="00AD499D" w:rsidRDefault="00E46923" w:rsidP="00D16BC2">
            <w:pPr>
              <w:spacing w:after="0" w:line="240" w:lineRule="auto"/>
              <w:ind w:left="522" w:hanging="261"/>
              <w:rPr>
                <w:rFonts w:ascii="Calibri" w:hAnsi="Calibri" w:cs="Calibri"/>
              </w:rPr>
            </w:pPr>
            <w:r w:rsidRPr="00AD499D">
              <w:rPr>
                <w:rFonts w:ascii="Calibri" w:hAnsi="Calibri" w:cs="Calibri"/>
              </w:rPr>
              <w:t xml:space="preserve">Fossil fuel: EF = 0.67 - (0.0019 * </w:t>
            </w:r>
            <w:r w:rsidRPr="00AD499D">
              <w:rPr>
                <w:rFonts w:ascii="Calibri" w:hAnsi="Calibri" w:cs="Calibri"/>
                <w:strike/>
                <w:color w:val="00B0F0"/>
              </w:rPr>
              <w:t>store gal</w:t>
            </w:r>
            <w:r w:rsidRPr="00AD499D">
              <w:rPr>
                <w:rFonts w:ascii="Calibri" w:hAnsi="Calibri" w:cs="Calibri"/>
                <w:color w:val="00B0F0"/>
              </w:rPr>
              <w:t xml:space="preserve"> </w:t>
            </w:r>
            <w:r w:rsidRPr="00AD499D">
              <w:rPr>
                <w:rFonts w:ascii="Calibri" w:hAnsi="Calibri" w:cs="Calibri"/>
                <w:color w:val="00B0F0"/>
                <w:u w:val="single"/>
              </w:rPr>
              <w:t>nominal volume</w:t>
            </w:r>
            <w:r w:rsidRPr="00AD499D">
              <w:rPr>
                <w:rFonts w:ascii="Calibri" w:hAnsi="Calibri" w:cs="Calibri"/>
              </w:rPr>
              <w:t>)</w:t>
            </w:r>
          </w:p>
          <w:p w14:paraId="51053F55" w14:textId="77777777" w:rsidR="00E46923" w:rsidRPr="00AD499D" w:rsidRDefault="00E46923" w:rsidP="00D16BC2">
            <w:pPr>
              <w:pStyle w:val="Default"/>
              <w:rPr>
                <w:rFonts w:ascii="Calibri" w:hAnsi="Calibri" w:cs="Calibri"/>
                <w:color w:val="00B0F0"/>
              </w:rPr>
            </w:pPr>
          </w:p>
          <w:p w14:paraId="515B88C7" w14:textId="77777777" w:rsidR="00E46923" w:rsidRPr="00AD499D" w:rsidRDefault="00E46923" w:rsidP="00D16BC2">
            <w:pPr>
              <w:pStyle w:val="Default"/>
              <w:rPr>
                <w:rFonts w:ascii="Calibri" w:hAnsi="Calibri" w:cs="Calibri"/>
                <w:color w:val="00B0F0"/>
              </w:rPr>
            </w:pPr>
            <w:r w:rsidRPr="00AD499D">
              <w:rPr>
                <w:rFonts w:ascii="Calibri" w:hAnsi="Calibri" w:cs="Calibri"/>
                <w:color w:val="00B0F0"/>
              </w:rPr>
              <w:t>Nominal volume: same as Rated Home</w:t>
            </w:r>
          </w:p>
          <w:p w14:paraId="3F9B1F85" w14:textId="77777777" w:rsidR="00E46923" w:rsidRPr="00AD499D" w:rsidRDefault="00E46923" w:rsidP="00D16BC2">
            <w:pPr>
              <w:pStyle w:val="Default"/>
              <w:rPr>
                <w:rFonts w:ascii="Calibri" w:hAnsi="Calibri" w:cs="Calibri"/>
                <w:color w:val="auto"/>
              </w:rPr>
            </w:pPr>
          </w:p>
          <w:p w14:paraId="3D151A5E" w14:textId="77777777" w:rsidR="00E46923" w:rsidRPr="00AD499D" w:rsidRDefault="00E46923" w:rsidP="00D16BC2">
            <w:pPr>
              <w:pStyle w:val="Default"/>
              <w:rPr>
                <w:rFonts w:ascii="Calibri" w:hAnsi="Calibri" w:cs="Calibri"/>
                <w:color w:val="auto"/>
              </w:rPr>
            </w:pPr>
            <w:r w:rsidRPr="00AD499D">
              <w:rPr>
                <w:rFonts w:ascii="Calibri" w:hAnsi="Calibri" w:cs="Calibri"/>
                <w:color w:val="auto"/>
              </w:rPr>
              <w:lastRenderedPageBreak/>
              <w:t>Use (gal/day): Determined in accordance with Section 4.2.2.</w:t>
            </w:r>
            <w:r w:rsidRPr="00AD499D">
              <w:rPr>
                <w:rFonts w:ascii="Calibri" w:hAnsi="Calibri" w:cs="Calibri"/>
                <w:strike/>
                <w:color w:val="00B0F0"/>
              </w:rPr>
              <w:t>6</w:t>
            </w:r>
            <w:r w:rsidRPr="00AD499D">
              <w:rPr>
                <w:rFonts w:ascii="Calibri" w:hAnsi="Calibri" w:cs="Calibri"/>
                <w:color w:val="00B0F0"/>
                <w:u w:val="single"/>
              </w:rPr>
              <w:t>7</w:t>
            </w:r>
            <w:r w:rsidRPr="00AD499D">
              <w:rPr>
                <w:rFonts w:ascii="Calibri" w:hAnsi="Calibri" w:cs="Calibri"/>
                <w:color w:val="auto"/>
              </w:rPr>
              <w:t>.1.4</w:t>
            </w:r>
          </w:p>
          <w:p w14:paraId="6DA154F3" w14:textId="77777777" w:rsidR="00E46923" w:rsidRPr="00AD499D" w:rsidRDefault="00E46923" w:rsidP="00D16BC2">
            <w:pPr>
              <w:spacing w:after="0" w:line="240" w:lineRule="auto"/>
              <w:ind w:left="261" w:hanging="261"/>
              <w:rPr>
                <w:rFonts w:ascii="Calibri" w:hAnsi="Calibri" w:cs="Calibri"/>
              </w:rPr>
            </w:pPr>
          </w:p>
          <w:p w14:paraId="6144CF15" w14:textId="77777777" w:rsidR="00E46923" w:rsidRPr="00AD499D" w:rsidRDefault="00E46923" w:rsidP="00D16BC2">
            <w:pPr>
              <w:spacing w:after="0" w:line="240" w:lineRule="auto"/>
              <w:ind w:left="261" w:hanging="261"/>
              <w:rPr>
                <w:rFonts w:ascii="Calibri" w:hAnsi="Calibri" w:cs="Calibri"/>
              </w:rPr>
            </w:pPr>
            <w:r w:rsidRPr="00AD499D">
              <w:rPr>
                <w:rFonts w:ascii="Calibri" w:hAnsi="Calibri" w:cs="Calibri"/>
              </w:rPr>
              <w:t>Tank temperature: 125°F</w:t>
            </w:r>
          </w:p>
          <w:p w14:paraId="27C94C8B" w14:textId="77777777" w:rsidR="00E46923" w:rsidRPr="00AD499D" w:rsidRDefault="00E46923" w:rsidP="00D16BC2">
            <w:pPr>
              <w:spacing w:after="0" w:line="240" w:lineRule="auto"/>
              <w:ind w:left="261" w:hanging="261"/>
              <w:rPr>
                <w:rFonts w:ascii="Calibri" w:hAnsi="Calibri" w:cs="Calibri"/>
              </w:rPr>
            </w:pPr>
          </w:p>
          <w:p w14:paraId="708A4A42" w14:textId="77777777" w:rsidR="00E46923" w:rsidRDefault="00E46923" w:rsidP="00D16BC2">
            <w:pPr>
              <w:spacing w:after="0" w:line="240" w:lineRule="auto"/>
              <w:ind w:left="261" w:hanging="261"/>
              <w:rPr>
                <w:rFonts w:ascii="Calibri" w:hAnsi="Calibri" w:cs="Calibri"/>
              </w:rPr>
            </w:pPr>
          </w:p>
          <w:p w14:paraId="044FB70C" w14:textId="77777777" w:rsidR="00E46923" w:rsidRPr="00AD499D" w:rsidRDefault="00E46923" w:rsidP="00D16BC2">
            <w:pPr>
              <w:spacing w:after="0" w:line="240" w:lineRule="auto"/>
              <w:ind w:left="261" w:hanging="261"/>
              <w:rPr>
                <w:rFonts w:ascii="Calibri" w:hAnsi="Calibri" w:cs="Calibri"/>
              </w:rPr>
            </w:pPr>
            <w:r w:rsidRPr="00AD499D">
              <w:rPr>
                <w:rFonts w:ascii="Calibri" w:hAnsi="Calibri" w:cs="Calibri"/>
              </w:rPr>
              <w:t>Location:</w:t>
            </w:r>
          </w:p>
          <w:p w14:paraId="012DFE96" w14:textId="77777777" w:rsidR="00E46923" w:rsidRPr="00AD499D" w:rsidRDefault="00E46923" w:rsidP="00D16BC2">
            <w:pPr>
              <w:spacing w:after="0" w:line="240" w:lineRule="auto"/>
              <w:ind w:left="446" w:hanging="259"/>
              <w:rPr>
                <w:rFonts w:ascii="Calibri" w:hAnsi="Calibri" w:cs="Calibri"/>
              </w:rPr>
            </w:pPr>
            <w:r w:rsidRPr="00AD499D">
              <w:rPr>
                <w:rFonts w:ascii="Calibri" w:hAnsi="Calibri" w:cs="Calibri"/>
              </w:rPr>
              <w:t>IECC Climate Zones 1-3: Attached garage if present, otherwise Conditioned Space Volume</w:t>
            </w:r>
          </w:p>
          <w:p w14:paraId="5C8C6EF2" w14:textId="77777777" w:rsidR="00E46923" w:rsidRPr="00AD499D" w:rsidRDefault="00E46923" w:rsidP="00D16BC2">
            <w:pPr>
              <w:spacing w:after="0" w:line="240" w:lineRule="auto"/>
              <w:ind w:left="261" w:hanging="261"/>
              <w:rPr>
                <w:rFonts w:ascii="Calibri" w:hAnsi="Calibri" w:cs="Calibri"/>
              </w:rPr>
            </w:pPr>
            <w:r w:rsidRPr="00AD499D">
              <w:rPr>
                <w:rFonts w:ascii="Calibri" w:hAnsi="Calibri" w:cs="Calibri"/>
              </w:rPr>
              <w:t>IECC Climate Zones: 4-8: Unconditioned basement if present, otherwise Conditioned Space Volume</w:t>
            </w:r>
          </w:p>
        </w:tc>
        <w:tc>
          <w:tcPr>
            <w:tcW w:w="3177" w:type="dxa"/>
          </w:tcPr>
          <w:p w14:paraId="12892B6F" w14:textId="77777777" w:rsidR="00E46923" w:rsidRPr="00AD499D" w:rsidRDefault="00E46923" w:rsidP="00D16BC2">
            <w:pPr>
              <w:spacing w:after="0" w:line="240" w:lineRule="auto"/>
              <w:rPr>
                <w:rFonts w:ascii="Calibri" w:hAnsi="Calibri" w:cs="Calibri"/>
              </w:rPr>
            </w:pPr>
            <w:r w:rsidRPr="00AD499D">
              <w:rPr>
                <w:rFonts w:ascii="Calibri" w:hAnsi="Calibri" w:cs="Calibri"/>
              </w:rPr>
              <w:lastRenderedPageBreak/>
              <w:t xml:space="preserve">Same as </w:t>
            </w:r>
            <w:proofErr w:type="gramStart"/>
            <w:r w:rsidRPr="00AD499D">
              <w:rPr>
                <w:rFonts w:ascii="Calibri" w:hAnsi="Calibri" w:cs="Calibri"/>
              </w:rPr>
              <w:t>Rated</w:t>
            </w:r>
            <w:proofErr w:type="gramEnd"/>
            <w:r w:rsidRPr="00AD499D">
              <w:rPr>
                <w:rFonts w:ascii="Calibri" w:hAnsi="Calibri" w:cs="Calibri"/>
              </w:rPr>
              <w:t xml:space="preserve"> </w:t>
            </w:r>
            <w:proofErr w:type="spellStart"/>
            <w:r w:rsidRPr="00AD499D">
              <w:rPr>
                <w:rFonts w:ascii="Calibri" w:hAnsi="Calibri" w:cs="Calibri"/>
              </w:rPr>
              <w:t>Home</w:t>
            </w:r>
            <w:r w:rsidRPr="00AD499D">
              <w:rPr>
                <w:rFonts w:ascii="Calibri" w:hAnsi="Calibri" w:cs="Calibri"/>
                <w:vertAlign w:val="superscript"/>
              </w:rPr>
              <w:t>t</w:t>
            </w:r>
            <w:proofErr w:type="spellEnd"/>
          </w:p>
          <w:p w14:paraId="33540762" w14:textId="77777777" w:rsidR="00E46923" w:rsidRPr="00AD499D" w:rsidRDefault="00E46923" w:rsidP="00D16BC2">
            <w:pPr>
              <w:spacing w:after="0" w:line="240" w:lineRule="auto"/>
              <w:rPr>
                <w:rFonts w:ascii="Calibri" w:hAnsi="Calibri" w:cs="Calibri"/>
              </w:rPr>
            </w:pPr>
          </w:p>
          <w:p w14:paraId="39AC0E13" w14:textId="77777777" w:rsidR="00E46923" w:rsidRPr="00AD499D" w:rsidRDefault="00E46923" w:rsidP="00D16BC2">
            <w:pPr>
              <w:spacing w:after="0" w:line="240" w:lineRule="auto"/>
              <w:rPr>
                <w:rFonts w:ascii="Calibri" w:hAnsi="Calibri" w:cs="Calibri"/>
              </w:rPr>
            </w:pPr>
          </w:p>
          <w:p w14:paraId="18A4AFB8" w14:textId="77777777" w:rsidR="00E46923" w:rsidRPr="00AD499D" w:rsidRDefault="00E46923" w:rsidP="00D16BC2">
            <w:pPr>
              <w:spacing w:after="0" w:line="240" w:lineRule="auto"/>
              <w:rPr>
                <w:rFonts w:ascii="Calibri" w:hAnsi="Calibri" w:cs="Calibri"/>
              </w:rPr>
            </w:pPr>
            <w:r w:rsidRPr="00AD499D">
              <w:rPr>
                <w:rFonts w:ascii="Calibri" w:hAnsi="Calibri" w:cs="Calibri"/>
              </w:rPr>
              <w:t xml:space="preserve">Same as Rated </w:t>
            </w:r>
            <w:proofErr w:type="spellStart"/>
            <w:r w:rsidRPr="00AD499D">
              <w:rPr>
                <w:rFonts w:ascii="Calibri" w:hAnsi="Calibri" w:cs="Calibri"/>
              </w:rPr>
              <w:t>Home</w:t>
            </w:r>
            <w:r w:rsidRPr="00AD499D">
              <w:rPr>
                <w:rFonts w:ascii="Calibri" w:hAnsi="Calibri" w:cs="Calibri"/>
                <w:u w:val="single"/>
                <w:vertAlign w:val="superscript"/>
              </w:rPr>
              <w:t>ac</w:t>
            </w:r>
            <w:proofErr w:type="spellEnd"/>
            <w:r w:rsidRPr="00AD499D">
              <w:rPr>
                <w:rFonts w:ascii="Calibri" w:hAnsi="Calibri" w:cs="Calibri"/>
              </w:rPr>
              <w:br/>
            </w:r>
            <w:r w:rsidRPr="00AD499D">
              <w:rPr>
                <w:rFonts w:ascii="Calibri" w:hAnsi="Calibri" w:cs="Calibri"/>
              </w:rPr>
              <w:br/>
            </w:r>
          </w:p>
          <w:p w14:paraId="00F5DDE5" w14:textId="77777777" w:rsidR="00E46923" w:rsidRPr="00AD499D" w:rsidRDefault="00E46923" w:rsidP="00D16BC2">
            <w:pPr>
              <w:spacing w:after="0" w:line="240" w:lineRule="auto"/>
              <w:rPr>
                <w:rFonts w:ascii="Calibri" w:hAnsi="Calibri" w:cs="Calibri"/>
              </w:rPr>
            </w:pPr>
            <w:r w:rsidRPr="00AD499D">
              <w:rPr>
                <w:rFonts w:ascii="Calibri" w:hAnsi="Calibri" w:cs="Calibri"/>
              </w:rPr>
              <w:t>Same as Rated Home</w:t>
            </w:r>
          </w:p>
          <w:p w14:paraId="734E4892" w14:textId="77777777" w:rsidR="00E46923" w:rsidRPr="00AD499D" w:rsidRDefault="00E46923" w:rsidP="00D16BC2">
            <w:pPr>
              <w:spacing w:after="0" w:line="240" w:lineRule="auto"/>
              <w:rPr>
                <w:rFonts w:ascii="Calibri" w:hAnsi="Calibri" w:cs="Calibri"/>
              </w:rPr>
            </w:pPr>
          </w:p>
          <w:p w14:paraId="1D42F397" w14:textId="77777777" w:rsidR="00E46923" w:rsidRPr="00AD499D" w:rsidRDefault="00E46923" w:rsidP="00D16BC2">
            <w:pPr>
              <w:spacing w:after="0" w:line="240" w:lineRule="auto"/>
              <w:rPr>
                <w:rFonts w:ascii="Calibri" w:hAnsi="Calibri" w:cs="Calibri"/>
              </w:rPr>
            </w:pPr>
          </w:p>
          <w:p w14:paraId="2C87B21C" w14:textId="77777777" w:rsidR="00E46923" w:rsidRPr="00AD499D" w:rsidRDefault="00E46923" w:rsidP="00D16BC2">
            <w:pPr>
              <w:pStyle w:val="Default"/>
              <w:rPr>
                <w:rFonts w:ascii="Calibri" w:hAnsi="Calibri" w:cs="Calibri"/>
                <w:color w:val="00B0F0"/>
              </w:rPr>
            </w:pPr>
            <w:r w:rsidRPr="00AD499D">
              <w:rPr>
                <w:rFonts w:ascii="Calibri" w:hAnsi="Calibri" w:cs="Calibri"/>
                <w:color w:val="00B0F0"/>
              </w:rPr>
              <w:t>Same as Rated Home</w:t>
            </w:r>
          </w:p>
          <w:p w14:paraId="6CC8B63C" w14:textId="77777777" w:rsidR="00E46923" w:rsidRPr="00AD499D" w:rsidRDefault="00E46923" w:rsidP="00D16BC2">
            <w:pPr>
              <w:spacing w:after="0" w:line="240" w:lineRule="auto"/>
              <w:rPr>
                <w:rFonts w:ascii="Calibri" w:hAnsi="Calibri" w:cs="Calibri"/>
              </w:rPr>
            </w:pPr>
          </w:p>
          <w:p w14:paraId="6B04025F" w14:textId="77777777" w:rsidR="00E46923" w:rsidRPr="00AD499D" w:rsidRDefault="00E46923" w:rsidP="00D16BC2">
            <w:pPr>
              <w:spacing w:after="0" w:line="240" w:lineRule="auto"/>
              <w:rPr>
                <w:rFonts w:ascii="Calibri" w:hAnsi="Calibri" w:cs="Calibri"/>
              </w:rPr>
            </w:pPr>
          </w:p>
          <w:p w14:paraId="13DBE9FB" w14:textId="77777777" w:rsidR="00E46923" w:rsidRPr="00AD499D" w:rsidRDefault="00E46923" w:rsidP="00D16BC2">
            <w:pPr>
              <w:spacing w:after="0" w:line="240" w:lineRule="auto"/>
              <w:rPr>
                <w:rFonts w:ascii="Calibri" w:hAnsi="Calibri" w:cs="Calibri"/>
              </w:rPr>
            </w:pPr>
            <w:r w:rsidRPr="00AD499D">
              <w:rPr>
                <w:rFonts w:ascii="Calibri" w:hAnsi="Calibri" w:cs="Calibri"/>
              </w:rPr>
              <w:lastRenderedPageBreak/>
              <w:t>Determined in accordance with Section 4.2.2.6.2.11</w:t>
            </w:r>
            <w:r w:rsidRPr="00AD499D">
              <w:rPr>
                <w:rFonts w:ascii="Calibri" w:hAnsi="Calibri" w:cs="Calibri"/>
                <w:b/>
                <w:i/>
              </w:rPr>
              <w:br/>
            </w:r>
          </w:p>
          <w:p w14:paraId="76ABF236" w14:textId="77777777" w:rsidR="00E46923" w:rsidRDefault="00E46923" w:rsidP="00D16BC2">
            <w:pPr>
              <w:spacing w:after="0" w:line="240" w:lineRule="auto"/>
              <w:rPr>
                <w:rFonts w:ascii="Calibri" w:hAnsi="Calibri" w:cs="Calibri"/>
              </w:rPr>
            </w:pPr>
          </w:p>
          <w:p w14:paraId="3D77EC04" w14:textId="77777777" w:rsidR="00E46923" w:rsidRPr="00AD499D" w:rsidRDefault="00E46923" w:rsidP="00D16BC2">
            <w:pPr>
              <w:spacing w:after="0" w:line="240" w:lineRule="auto"/>
              <w:rPr>
                <w:rFonts w:ascii="Calibri" w:hAnsi="Calibri" w:cs="Calibri"/>
              </w:rPr>
            </w:pPr>
            <w:r w:rsidRPr="00AD499D">
              <w:rPr>
                <w:rFonts w:ascii="Calibri" w:hAnsi="Calibri" w:cs="Calibri"/>
              </w:rPr>
              <w:t>Same as Energy Rating Reference Home</w:t>
            </w:r>
          </w:p>
          <w:p w14:paraId="3CA62C98" w14:textId="77777777" w:rsidR="00E46923" w:rsidRPr="00AD499D" w:rsidRDefault="00E46923" w:rsidP="00D16BC2">
            <w:pPr>
              <w:spacing w:after="0" w:line="240" w:lineRule="auto"/>
              <w:rPr>
                <w:rFonts w:ascii="Calibri" w:hAnsi="Calibri" w:cs="Calibri"/>
              </w:rPr>
            </w:pPr>
          </w:p>
          <w:p w14:paraId="4E09A693" w14:textId="77777777" w:rsidR="00E46923" w:rsidRPr="00AD499D" w:rsidRDefault="00E46923" w:rsidP="00D16BC2">
            <w:pPr>
              <w:spacing w:after="0" w:line="240" w:lineRule="auto"/>
              <w:rPr>
                <w:rFonts w:ascii="Calibri" w:hAnsi="Calibri" w:cs="Calibri"/>
              </w:rPr>
            </w:pPr>
            <w:r w:rsidRPr="00AD499D">
              <w:rPr>
                <w:rFonts w:ascii="Calibri" w:hAnsi="Calibri" w:cs="Calibri"/>
              </w:rPr>
              <w:t>Same as Rated Home</w:t>
            </w:r>
          </w:p>
        </w:tc>
      </w:tr>
    </w:tbl>
    <w:p w14:paraId="627478C3" w14:textId="77777777" w:rsidR="00E46923" w:rsidRDefault="00E46923" w:rsidP="00E46923"/>
    <w:p w14:paraId="2949CEA5" w14:textId="77777777" w:rsidR="00E46923" w:rsidRDefault="00E46923" w:rsidP="00E46923"/>
    <w:p w14:paraId="0F8968CF" w14:textId="77777777" w:rsidR="00E46923" w:rsidRDefault="00E46923" w:rsidP="00E46923"/>
    <w:p w14:paraId="25869103" w14:textId="77777777" w:rsidR="00E46923" w:rsidRDefault="00E46923" w:rsidP="00E46923"/>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120F" w14:textId="77777777" w:rsidR="00867276" w:rsidRDefault="00867276" w:rsidP="00237923">
      <w:pPr>
        <w:spacing w:after="0" w:line="240" w:lineRule="auto"/>
      </w:pPr>
      <w:r>
        <w:separator/>
      </w:r>
    </w:p>
  </w:endnote>
  <w:endnote w:type="continuationSeparator" w:id="0">
    <w:p w14:paraId="5A14FFB0" w14:textId="77777777" w:rsidR="00867276" w:rsidRDefault="0086727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6AAD" w14:textId="77777777" w:rsidR="00867276" w:rsidRDefault="00867276" w:rsidP="00237923">
      <w:pPr>
        <w:spacing w:after="0" w:line="240" w:lineRule="auto"/>
      </w:pPr>
      <w:r>
        <w:separator/>
      </w:r>
    </w:p>
  </w:footnote>
  <w:footnote w:type="continuationSeparator" w:id="0">
    <w:p w14:paraId="0108E9C3" w14:textId="77777777" w:rsidR="00867276" w:rsidRDefault="0086727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2F1A93"/>
    <w:rsid w:val="00553D0D"/>
    <w:rsid w:val="005C1477"/>
    <w:rsid w:val="00867276"/>
    <w:rsid w:val="008C2F70"/>
    <w:rsid w:val="00A519E2"/>
    <w:rsid w:val="00AB6728"/>
    <w:rsid w:val="00D824DE"/>
    <w:rsid w:val="00E46923"/>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customStyle="1" w:styleId="Default">
    <w:name w:val="Default"/>
    <w:rsid w:val="00E46923"/>
    <w:pPr>
      <w:widowControl w:val="0"/>
      <w:autoSpaceDE w:val="0"/>
      <w:autoSpaceDN w:val="0"/>
      <w:adjustRightInd w:val="0"/>
      <w:spacing w:after="0" w:line="240" w:lineRule="auto"/>
    </w:pPr>
    <w:rPr>
      <w:rFonts w:ascii="Arial" w:eastAsia="Times New Roman"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James Phillips</cp:lastModifiedBy>
  <cp:revision>7</cp:revision>
  <dcterms:created xsi:type="dcterms:W3CDTF">2024-08-23T12:43:00Z</dcterms:created>
  <dcterms:modified xsi:type="dcterms:W3CDTF">2025-05-02T19:34:00Z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2025-05-02T19:34:05Z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b10c6993-4b51-4c3b-b9ef-efa4e2634c8b</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