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Comment/Explanation</w:t>
      </w:r>
      <w:r w:rsidDel="00000000" w:rsidR="00000000" w:rsidRPr="00000000">
        <w:rPr>
          <w:b w:val="1"/>
          <w:rtl w:val="0"/>
        </w:rPr>
        <w:t xml:space="preserve">*: 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Include your justification for your proposed change to the draft standard below.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____________________________________________________________________________________</w:t>
      </w: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We suggest that Table 5.3.2 include industry-average EPDs without manufacturer listed should also be in the list of options for how to model a product without a product specific EPDs, though lower on the hierarchy. This is consistent with common practice and with the data hierarchy in the draft standard of ASHRAE 240p presented in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2"/>
          <w:szCs w:val="22"/>
          <w:rtl w:val="0"/>
        </w:rPr>
        <w:t xml:space="preserve">Table 6.2.1 Types of environmental impact data to be used during dif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2"/>
          <w:szCs w:val="22"/>
          <w:rtl w:val="0"/>
        </w:rPr>
        <w:t xml:space="preserve">ferent modeling Assessments</w:t>
      </w: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.  The current approach in the RENSET standard should be updated to be clear that an industry-average EPD for comparable product type </w:t>
      </w: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when product manufacturer is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2"/>
          <w:szCs w:val="22"/>
          <w:rtl w:val="0"/>
        </w:rPr>
        <w:t xml:space="preserve">not </w:t>
      </w: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listed on the EPD is also acceptable as a data source.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References:</w:t>
      </w: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 ASHRAE, ICC, &amp; BSR. (2025). Standard 240P: Quantification of Life Cycle Greenhouse Gas Emissions, Second ISC Publication Public Review Draft. ASHRAE.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Proposed Change to the Draft Standard</w:t>
      </w:r>
      <w:r w:rsidDel="00000000" w:rsidR="00000000" w:rsidRPr="00000000">
        <w:rPr>
          <w:b w:val="1"/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Use “strikethrough” and “underline” formatting to indicate all proposed changes. Changes must be shown with “hard-formatting” strikethrough and underline,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not</w:t>
      </w:r>
      <w:r w:rsidDel="00000000" w:rsidR="00000000" w:rsidRPr="00000000">
        <w:rPr>
          <w:i w:val="1"/>
          <w:sz w:val="20"/>
          <w:szCs w:val="20"/>
          <w:rtl w:val="0"/>
        </w:rPr>
        <w:t xml:space="preserve"> “track changes”.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Use a color other than red to indicate proposed changes to the draft.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59" w:lineRule="auto"/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Industry-average EPD for comparable product type </w:t>
      </w: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when product manufacturer is listed on the EPD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59" w:lineRule="auto"/>
        <w:ind w:left="720" w:hanging="360"/>
        <w:rPr>
          <w:rFonts w:ascii="Source Sans Pro" w:cs="Source Sans Pro" w:eastAsia="Source Sans Pro" w:hAnsi="Source Sans Pro"/>
          <w:color w:val="ff0000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color w:val="ff0000"/>
          <w:sz w:val="22"/>
          <w:szCs w:val="22"/>
          <w:u w:val="single"/>
          <w:rtl w:val="0"/>
        </w:rPr>
        <w:t xml:space="preserve">Industry-average EPD for comparable product type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59" w:lineRule="auto"/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Benchmark</w:t>
      </w: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 value for comparable product type in accordance with section 5.3.3.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59" w:lineRule="auto"/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LCA for comparable product type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sz w:val="22"/>
          <w:szCs w:val="22"/>
          <w:rtl w:val="0"/>
        </w:rPr>
        <w:t xml:space="preserve">For MEP products, default values from Table 10.1.5.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RESNET® Standards Public Comment and Proposed Change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3792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3792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3792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3792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3792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3792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3792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3792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3792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3792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3792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3792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3792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3792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3792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3792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3792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3792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3792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792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37923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 w:val="1"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792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WhChS8NTc7rZpSUALaF7RB3MQ==">CgMxLjA4AHIhMTFILThFVWdqeE9hMnU5eXRUaGpDY01KMFducE1yNWJv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2024-08-23T12:43:00Z</dcterms:created>
  <dc:creator>Ryan Meres</dc:creator>
</cp:coreProperties>
</file>