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73C3833A" w14:textId="203C560C" w:rsidR="003D608A" w:rsidRPr="0025051E" w:rsidRDefault="00B6761A">
      <w:pPr>
        <w:rPr>
          <w:sz w:val="20"/>
          <w:szCs w:val="20"/>
        </w:rPr>
      </w:pPr>
      <w:r w:rsidRPr="00B6761A">
        <w:rPr>
          <w:b/>
          <w:bCs/>
          <w:sz w:val="20"/>
          <w:szCs w:val="20"/>
        </w:rPr>
        <w:t>Comment #1:</w:t>
      </w:r>
      <w:r>
        <w:rPr>
          <w:sz w:val="20"/>
          <w:szCs w:val="20"/>
        </w:rPr>
        <w:t xml:space="preserve"> T</w:t>
      </w:r>
      <w:r w:rsidR="00E36B41">
        <w:rPr>
          <w:sz w:val="20"/>
          <w:szCs w:val="20"/>
        </w:rPr>
        <w:t>he Waste Factor</w:t>
      </w:r>
      <w:r w:rsidR="00374DEC">
        <w:rPr>
          <w:sz w:val="20"/>
          <w:szCs w:val="20"/>
        </w:rPr>
        <w:t xml:space="preserve"> should not be subtracted from Material Quantity. </w:t>
      </w:r>
      <w:r w:rsidR="007E74A6">
        <w:rPr>
          <w:sz w:val="20"/>
          <w:szCs w:val="20"/>
        </w:rPr>
        <w:t xml:space="preserve">The total quantity of the product is calculated as per Tables 10.1.1 and </w:t>
      </w:r>
      <w:r w:rsidR="00BC0459">
        <w:rPr>
          <w:sz w:val="20"/>
          <w:szCs w:val="20"/>
        </w:rPr>
        <w:t xml:space="preserve">10.1.5, which does not include waste. </w:t>
      </w:r>
      <w:r w:rsidR="00B11681">
        <w:rPr>
          <w:sz w:val="20"/>
          <w:szCs w:val="20"/>
        </w:rPr>
        <w:t xml:space="preserve">This is supported by </w:t>
      </w:r>
      <w:r w:rsidR="00C76637">
        <w:rPr>
          <w:sz w:val="20"/>
          <w:szCs w:val="20"/>
        </w:rPr>
        <w:t xml:space="preserve">the </w:t>
      </w:r>
      <w:r w:rsidR="00B11681">
        <w:rPr>
          <w:sz w:val="20"/>
          <w:szCs w:val="20"/>
        </w:rPr>
        <w:t>GEC</w:t>
      </w:r>
      <w:r w:rsidR="00B11681" w:rsidRPr="00B11681">
        <w:rPr>
          <w:sz w:val="20"/>
          <w:szCs w:val="20"/>
          <w:vertAlign w:val="subscript"/>
        </w:rPr>
        <w:t>product</w:t>
      </w:r>
      <w:r w:rsidR="00B11681">
        <w:rPr>
          <w:sz w:val="20"/>
          <w:szCs w:val="20"/>
        </w:rPr>
        <w:t xml:space="preserve"> equation</w:t>
      </w:r>
      <w:r w:rsidR="00C76637">
        <w:rPr>
          <w:sz w:val="20"/>
          <w:szCs w:val="20"/>
        </w:rPr>
        <w:t xml:space="preserve"> in section 6.2.1, where </w:t>
      </w:r>
      <w:r w:rsidR="0025051E">
        <w:rPr>
          <w:sz w:val="20"/>
          <w:szCs w:val="20"/>
        </w:rPr>
        <w:t xml:space="preserve">the Waste Factor is </w:t>
      </w:r>
      <w:r w:rsidR="0025051E">
        <w:rPr>
          <w:i/>
          <w:iCs/>
          <w:sz w:val="20"/>
          <w:szCs w:val="20"/>
        </w:rPr>
        <w:t>added</w:t>
      </w:r>
      <w:r w:rsidR="0025051E">
        <w:rPr>
          <w:sz w:val="20"/>
          <w:szCs w:val="20"/>
        </w:rPr>
        <w:t xml:space="preserve"> to the Material Quantity. </w:t>
      </w:r>
    </w:p>
    <w:p w14:paraId="392D4EC2" w14:textId="7B5D11A6" w:rsidR="0000630F" w:rsidRDefault="00B6761A">
      <w:pPr>
        <w:rPr>
          <w:sz w:val="20"/>
          <w:szCs w:val="20"/>
        </w:rPr>
      </w:pPr>
      <w:r w:rsidRPr="00B6761A">
        <w:rPr>
          <w:b/>
          <w:bCs/>
          <w:sz w:val="20"/>
          <w:szCs w:val="20"/>
        </w:rPr>
        <w:t>Comment #</w:t>
      </w:r>
      <w:r>
        <w:rPr>
          <w:b/>
          <w:bCs/>
          <w:sz w:val="20"/>
          <w:szCs w:val="20"/>
        </w:rPr>
        <w:t>2</w:t>
      </w:r>
      <w:r w:rsidRPr="00B6761A">
        <w:rPr>
          <w:b/>
          <w:bCs/>
          <w:sz w:val="20"/>
          <w:szCs w:val="20"/>
        </w:rPr>
        <w:t>:</w:t>
      </w:r>
      <w:r>
        <w:rPr>
          <w:b/>
          <w:bCs/>
          <w:sz w:val="20"/>
          <w:szCs w:val="20"/>
        </w:rPr>
        <w:t xml:space="preserve"> </w:t>
      </w:r>
      <w:r w:rsidRPr="00B36711">
        <w:rPr>
          <w:sz w:val="20"/>
          <w:szCs w:val="20"/>
        </w:rPr>
        <w:t>T</w:t>
      </w:r>
      <w:r w:rsidR="00001D0E">
        <w:rPr>
          <w:sz w:val="20"/>
          <w:szCs w:val="20"/>
        </w:rPr>
        <w:t xml:space="preserve">he </w:t>
      </w:r>
      <w:r w:rsidR="00001D0E" w:rsidRPr="00551E3B">
        <w:rPr>
          <w:b/>
          <w:bCs/>
          <w:sz w:val="20"/>
          <w:szCs w:val="20"/>
        </w:rPr>
        <w:t xml:space="preserve">carbon storage equation </w:t>
      </w:r>
      <w:r w:rsidR="001C0112" w:rsidRPr="00551E3B">
        <w:rPr>
          <w:b/>
          <w:bCs/>
          <w:sz w:val="20"/>
          <w:szCs w:val="20"/>
        </w:rPr>
        <w:t>contains a mathematical error</w:t>
      </w:r>
      <w:r w:rsidR="001C0112" w:rsidRPr="001C0112">
        <w:rPr>
          <w:b/>
          <w:bCs/>
          <w:sz w:val="20"/>
          <w:szCs w:val="20"/>
        </w:rPr>
        <w:t xml:space="preserve"> </w:t>
      </w:r>
      <w:r w:rsidR="001C0112">
        <w:rPr>
          <w:sz w:val="20"/>
          <w:szCs w:val="20"/>
        </w:rPr>
        <w:t>due to circular substitution</w:t>
      </w:r>
      <w:r w:rsidR="00151B3B">
        <w:rPr>
          <w:sz w:val="20"/>
          <w:szCs w:val="20"/>
        </w:rPr>
        <w:t>:</w:t>
      </w:r>
    </w:p>
    <w:p w14:paraId="773C7AB8" w14:textId="321CB437" w:rsidR="00151B3B" w:rsidRDefault="002F4467" w:rsidP="001C0112">
      <w:pPr>
        <w:rPr>
          <w:sz w:val="20"/>
          <w:szCs w:val="20"/>
        </w:rPr>
      </w:pPr>
      <w:r w:rsidRPr="001C0112">
        <w:rPr>
          <w:sz w:val="20"/>
          <w:szCs w:val="20"/>
        </w:rPr>
        <w:t>When you substitute the GWP</w:t>
      </w:r>
      <w:r w:rsidRPr="001C0112">
        <w:rPr>
          <w:sz w:val="20"/>
          <w:szCs w:val="20"/>
          <w:vertAlign w:val="subscript"/>
        </w:rPr>
        <w:t xml:space="preserve">biogenic </w:t>
      </w:r>
      <w:r w:rsidRPr="001C0112">
        <w:rPr>
          <w:sz w:val="20"/>
          <w:szCs w:val="20"/>
        </w:rPr>
        <w:t>equation into the CS</w:t>
      </w:r>
      <w:r w:rsidRPr="001C0112">
        <w:rPr>
          <w:sz w:val="20"/>
          <w:szCs w:val="20"/>
          <w:vertAlign w:val="subscript"/>
        </w:rPr>
        <w:t>product</w:t>
      </w:r>
      <w:r w:rsidRPr="001C0112">
        <w:rPr>
          <w:sz w:val="20"/>
          <w:szCs w:val="20"/>
        </w:rPr>
        <w:t xml:space="preserve"> equation</w:t>
      </w:r>
      <w:r w:rsidR="006178CE">
        <w:rPr>
          <w:sz w:val="20"/>
          <w:szCs w:val="20"/>
        </w:rPr>
        <w:t xml:space="preserve"> (see below)</w:t>
      </w:r>
      <w:r w:rsidRPr="001C0112">
        <w:rPr>
          <w:sz w:val="20"/>
          <w:szCs w:val="20"/>
        </w:rPr>
        <w:t xml:space="preserve">, you are multiplying the </w:t>
      </w:r>
      <w:r w:rsidR="00D0670F" w:rsidRPr="001C0112">
        <w:rPr>
          <w:sz w:val="20"/>
          <w:szCs w:val="20"/>
        </w:rPr>
        <w:t>Material Quantity by itself</w:t>
      </w:r>
      <w:r w:rsidR="006178CE">
        <w:rPr>
          <w:sz w:val="20"/>
          <w:szCs w:val="20"/>
        </w:rPr>
        <w:t>, which is not correct.</w:t>
      </w:r>
    </w:p>
    <w:p w14:paraId="684B3D5B" w14:textId="45A87FC4" w:rsidR="006178CE" w:rsidRDefault="000810B5" w:rsidP="00017BFE">
      <w:pPr>
        <w:ind w:left="720"/>
        <w:rPr>
          <w:sz w:val="20"/>
          <w:szCs w:val="20"/>
        </w:rPr>
      </w:pPr>
      <w:r>
        <w:rPr>
          <w:sz w:val="20"/>
          <w:szCs w:val="20"/>
        </w:rPr>
        <w:t xml:space="preserve">(Eqn 1) </w:t>
      </w:r>
      <w:r w:rsidR="006178CE" w:rsidRPr="001C0112">
        <w:rPr>
          <w:sz w:val="20"/>
          <w:szCs w:val="20"/>
        </w:rPr>
        <w:t>CS</w:t>
      </w:r>
      <w:r w:rsidR="006178CE" w:rsidRPr="001C0112">
        <w:rPr>
          <w:sz w:val="20"/>
          <w:szCs w:val="20"/>
          <w:vertAlign w:val="subscript"/>
        </w:rPr>
        <w:t>product</w:t>
      </w:r>
      <w:r w:rsidR="007D5911">
        <w:rPr>
          <w:sz w:val="20"/>
          <w:szCs w:val="20"/>
          <w:vertAlign w:val="subscript"/>
        </w:rPr>
        <w:t xml:space="preserve"> </w:t>
      </w:r>
      <w:r w:rsidR="007D5911">
        <w:rPr>
          <w:sz w:val="20"/>
          <w:szCs w:val="20"/>
        </w:rPr>
        <w:t xml:space="preserve">= Material Quantity x </w:t>
      </w:r>
      <w:r w:rsidR="007D5911" w:rsidRPr="001C0112">
        <w:rPr>
          <w:sz w:val="20"/>
          <w:szCs w:val="20"/>
        </w:rPr>
        <w:t>GWP</w:t>
      </w:r>
      <w:r w:rsidR="007D5911" w:rsidRPr="001C0112">
        <w:rPr>
          <w:sz w:val="20"/>
          <w:szCs w:val="20"/>
          <w:vertAlign w:val="subscript"/>
        </w:rPr>
        <w:t>biogenic</w:t>
      </w:r>
    </w:p>
    <w:p w14:paraId="58010FCE" w14:textId="44DDD237" w:rsidR="006178CE" w:rsidRDefault="000810B5" w:rsidP="00017BFE">
      <w:pPr>
        <w:ind w:left="720"/>
        <w:rPr>
          <w:sz w:val="20"/>
          <w:szCs w:val="20"/>
        </w:rPr>
      </w:pPr>
      <w:r>
        <w:rPr>
          <w:sz w:val="20"/>
          <w:szCs w:val="20"/>
        </w:rPr>
        <w:t xml:space="preserve">(Eqn 2) </w:t>
      </w:r>
      <w:r w:rsidR="007D5911" w:rsidRPr="001C0112">
        <w:rPr>
          <w:sz w:val="20"/>
          <w:szCs w:val="20"/>
        </w:rPr>
        <w:t>GWP</w:t>
      </w:r>
      <w:r w:rsidR="007D5911" w:rsidRPr="001C0112">
        <w:rPr>
          <w:sz w:val="20"/>
          <w:szCs w:val="20"/>
          <w:vertAlign w:val="subscript"/>
        </w:rPr>
        <w:t>biogenic</w:t>
      </w:r>
      <w:r w:rsidR="007D5911">
        <w:rPr>
          <w:sz w:val="20"/>
          <w:szCs w:val="20"/>
          <w:vertAlign w:val="subscript"/>
        </w:rPr>
        <w:t xml:space="preserve"> </w:t>
      </w:r>
      <w:r w:rsidR="007D5911">
        <w:rPr>
          <w:sz w:val="20"/>
          <w:szCs w:val="20"/>
        </w:rPr>
        <w:t>= Material Quantity x Carbon Content x 3.67</w:t>
      </w:r>
    </w:p>
    <w:p w14:paraId="2DF5A569" w14:textId="5DBF3245" w:rsidR="007D5911" w:rsidRDefault="000810B5" w:rsidP="001C0112">
      <w:pPr>
        <w:rPr>
          <w:sz w:val="20"/>
          <w:szCs w:val="20"/>
        </w:rPr>
      </w:pPr>
      <w:r>
        <w:rPr>
          <w:sz w:val="20"/>
          <w:szCs w:val="20"/>
        </w:rPr>
        <w:t>When you substitute Eqn 2 into Eqn 1:</w:t>
      </w:r>
    </w:p>
    <w:p w14:paraId="5E644B1C" w14:textId="34A16F04" w:rsidR="00C52C3C" w:rsidRDefault="000810B5" w:rsidP="00017BFE">
      <w:pPr>
        <w:ind w:firstLine="720"/>
        <w:rPr>
          <w:sz w:val="20"/>
          <w:szCs w:val="20"/>
        </w:rPr>
      </w:pPr>
      <w:r w:rsidRPr="001C0112">
        <w:rPr>
          <w:sz w:val="20"/>
          <w:szCs w:val="20"/>
        </w:rPr>
        <w:t>CS</w:t>
      </w:r>
      <w:r w:rsidRPr="001C0112">
        <w:rPr>
          <w:sz w:val="20"/>
          <w:szCs w:val="20"/>
          <w:vertAlign w:val="subscript"/>
        </w:rPr>
        <w:t>product</w:t>
      </w:r>
      <w:r>
        <w:rPr>
          <w:sz w:val="20"/>
          <w:szCs w:val="20"/>
          <w:vertAlign w:val="subscript"/>
        </w:rPr>
        <w:t xml:space="preserve"> </w:t>
      </w:r>
      <w:r>
        <w:rPr>
          <w:sz w:val="20"/>
          <w:szCs w:val="20"/>
        </w:rPr>
        <w:t>= Material Quantity x Material Quantity x Carbon Content x 3.67</w:t>
      </w:r>
    </w:p>
    <w:p w14:paraId="12C4B239" w14:textId="6D0CF6DD" w:rsidR="00632F5D" w:rsidRDefault="00B36711" w:rsidP="00CE55A3">
      <w:pPr>
        <w:rPr>
          <w:sz w:val="20"/>
          <w:szCs w:val="20"/>
        </w:rPr>
      </w:pPr>
      <w:r w:rsidRPr="00B6761A">
        <w:rPr>
          <w:b/>
          <w:bCs/>
          <w:sz w:val="20"/>
          <w:szCs w:val="20"/>
        </w:rPr>
        <w:t>Comment #</w:t>
      </w:r>
      <w:r>
        <w:rPr>
          <w:b/>
          <w:bCs/>
          <w:sz w:val="20"/>
          <w:szCs w:val="20"/>
        </w:rPr>
        <w:t>3</w:t>
      </w:r>
      <w:r w:rsidRPr="00B6761A">
        <w:rPr>
          <w:b/>
          <w:bCs/>
          <w:sz w:val="20"/>
          <w:szCs w:val="20"/>
        </w:rPr>
        <w:t>:</w:t>
      </w:r>
      <w:r>
        <w:rPr>
          <w:b/>
          <w:bCs/>
          <w:sz w:val="20"/>
          <w:szCs w:val="20"/>
        </w:rPr>
        <w:t xml:space="preserve"> </w:t>
      </w:r>
      <w:r w:rsidRPr="00551E3B">
        <w:rPr>
          <w:b/>
          <w:bCs/>
          <w:sz w:val="20"/>
          <w:szCs w:val="20"/>
        </w:rPr>
        <w:t>I</w:t>
      </w:r>
      <w:r w:rsidR="00D6168E" w:rsidRPr="00551E3B">
        <w:rPr>
          <w:b/>
          <w:bCs/>
          <w:sz w:val="20"/>
          <w:szCs w:val="20"/>
        </w:rPr>
        <w:t xml:space="preserve">t is </w:t>
      </w:r>
      <w:r w:rsidR="007E508C" w:rsidRPr="00551E3B">
        <w:rPr>
          <w:b/>
          <w:bCs/>
          <w:sz w:val="20"/>
          <w:szCs w:val="20"/>
        </w:rPr>
        <w:t>incorrect and misleading</w:t>
      </w:r>
      <w:r w:rsidR="00D6168E" w:rsidRPr="00551E3B">
        <w:rPr>
          <w:b/>
          <w:bCs/>
          <w:sz w:val="20"/>
          <w:szCs w:val="20"/>
        </w:rPr>
        <w:t xml:space="preserve"> to use the term GWP</w:t>
      </w:r>
      <w:r w:rsidR="00D6168E" w:rsidRPr="00551E3B">
        <w:rPr>
          <w:b/>
          <w:bCs/>
          <w:sz w:val="20"/>
          <w:szCs w:val="20"/>
          <w:vertAlign w:val="subscript"/>
        </w:rPr>
        <w:t>biogenic</w:t>
      </w:r>
      <w:r w:rsidR="00D6168E">
        <w:rPr>
          <w:sz w:val="20"/>
          <w:szCs w:val="20"/>
        </w:rPr>
        <w:t xml:space="preserve">. </w:t>
      </w:r>
      <w:r w:rsidR="00A63039" w:rsidRPr="001C0112">
        <w:rPr>
          <w:sz w:val="20"/>
          <w:szCs w:val="20"/>
        </w:rPr>
        <w:t>GWP</w:t>
      </w:r>
      <w:r w:rsidR="00A63039" w:rsidRPr="001C0112">
        <w:rPr>
          <w:sz w:val="20"/>
          <w:szCs w:val="20"/>
          <w:vertAlign w:val="subscript"/>
        </w:rPr>
        <w:t>biogenic</w:t>
      </w:r>
      <w:r w:rsidR="00A63039">
        <w:rPr>
          <w:sz w:val="20"/>
          <w:szCs w:val="20"/>
          <w:vertAlign w:val="subscript"/>
        </w:rPr>
        <w:t xml:space="preserve"> </w:t>
      </w:r>
      <w:r w:rsidR="00BF3297">
        <w:rPr>
          <w:sz w:val="20"/>
          <w:szCs w:val="20"/>
        </w:rPr>
        <w:t xml:space="preserve">reflects the </w:t>
      </w:r>
      <w:r w:rsidR="00BF3297" w:rsidRPr="00017BFE">
        <w:rPr>
          <w:sz w:val="20"/>
          <w:szCs w:val="20"/>
        </w:rPr>
        <w:t>climate impact</w:t>
      </w:r>
      <w:r w:rsidR="00BF3297">
        <w:rPr>
          <w:sz w:val="20"/>
          <w:szCs w:val="20"/>
        </w:rPr>
        <w:t xml:space="preserve"> of biogenic carbon flows.</w:t>
      </w:r>
      <w:r w:rsidR="006F6BA3">
        <w:rPr>
          <w:sz w:val="20"/>
          <w:szCs w:val="20"/>
        </w:rPr>
        <w:t xml:space="preserve"> The definition of it in this draft conflates a</w:t>
      </w:r>
      <w:r w:rsidR="00CE55A3">
        <w:rPr>
          <w:sz w:val="20"/>
          <w:szCs w:val="20"/>
        </w:rPr>
        <w:t xml:space="preserve"> </w:t>
      </w:r>
      <w:r w:rsidR="006F6BA3" w:rsidRPr="00CE55A3">
        <w:rPr>
          <w:sz w:val="20"/>
          <w:szCs w:val="20"/>
        </w:rPr>
        <w:t>mass-based quantity</w:t>
      </w:r>
      <w:r w:rsidR="00C66025" w:rsidRPr="00CE55A3">
        <w:rPr>
          <w:sz w:val="20"/>
          <w:szCs w:val="20"/>
        </w:rPr>
        <w:t xml:space="preserve"> (physical measurement),</w:t>
      </w:r>
      <w:r w:rsidR="00D85011" w:rsidRPr="00CE55A3">
        <w:rPr>
          <w:sz w:val="20"/>
          <w:szCs w:val="20"/>
        </w:rPr>
        <w:t xml:space="preserve"> with a climate impact metric</w:t>
      </w:r>
      <w:r w:rsidR="00F2367B">
        <w:rPr>
          <w:sz w:val="20"/>
          <w:szCs w:val="20"/>
        </w:rPr>
        <w:t xml:space="preserve"> (factor that modifies how that mass contributes to climate change over time)</w:t>
      </w:r>
      <w:r w:rsidR="00D85011" w:rsidRPr="00CE55A3">
        <w:rPr>
          <w:sz w:val="20"/>
          <w:szCs w:val="20"/>
        </w:rPr>
        <w:t xml:space="preserve">. These are related but not interchangeable. </w:t>
      </w:r>
    </w:p>
    <w:p w14:paraId="3CF1B37E" w14:textId="77777777" w:rsidR="00F3778D" w:rsidRDefault="00F3778D" w:rsidP="00F3778D">
      <w:pPr>
        <w:rPr>
          <w:sz w:val="20"/>
          <w:szCs w:val="20"/>
        </w:rPr>
      </w:pPr>
      <w:r>
        <w:rPr>
          <w:sz w:val="20"/>
          <w:szCs w:val="20"/>
        </w:rPr>
        <w:t xml:space="preserve">It is also misleading to use the term </w:t>
      </w:r>
      <w:r w:rsidRPr="00C0065B">
        <w:rPr>
          <w:sz w:val="20"/>
          <w:szCs w:val="20"/>
        </w:rPr>
        <w:t>GWP</w:t>
      </w:r>
      <w:r w:rsidRPr="00C0065B">
        <w:rPr>
          <w:sz w:val="20"/>
          <w:szCs w:val="20"/>
          <w:vertAlign w:val="subscript"/>
        </w:rPr>
        <w:t>biogenic</w:t>
      </w:r>
      <w:r w:rsidRPr="00C0065B">
        <w:rPr>
          <w:b/>
          <w:bCs/>
          <w:sz w:val="20"/>
          <w:szCs w:val="20"/>
        </w:rPr>
        <w:t xml:space="preserve"> </w:t>
      </w:r>
      <w:r>
        <w:rPr>
          <w:sz w:val="20"/>
          <w:szCs w:val="20"/>
        </w:rPr>
        <w:t>because the definition includes carbonation. Carbonation is a chemical reaction where CO</w:t>
      </w:r>
      <w:r w:rsidRPr="00622E1E">
        <w:rPr>
          <w:sz w:val="20"/>
          <w:szCs w:val="20"/>
          <w:vertAlign w:val="subscript"/>
        </w:rPr>
        <w:t>2</w:t>
      </w:r>
      <w:r>
        <w:rPr>
          <w:sz w:val="20"/>
          <w:szCs w:val="20"/>
        </w:rPr>
        <w:t xml:space="preserve"> from the atmosphere reacts with materials like concrete to form carbonates over time – this is not biogenic. As such, the </w:t>
      </w:r>
      <w:r w:rsidRPr="00C0065B">
        <w:rPr>
          <w:sz w:val="20"/>
          <w:szCs w:val="20"/>
        </w:rPr>
        <w:t>GWP</w:t>
      </w:r>
      <w:r w:rsidRPr="00C0065B">
        <w:rPr>
          <w:sz w:val="20"/>
          <w:szCs w:val="20"/>
          <w:vertAlign w:val="subscript"/>
        </w:rPr>
        <w:t>biogenic</w:t>
      </w:r>
      <w:r w:rsidRPr="00C0065B">
        <w:rPr>
          <w:b/>
          <w:bCs/>
          <w:sz w:val="20"/>
          <w:szCs w:val="20"/>
        </w:rPr>
        <w:t xml:space="preserve"> </w:t>
      </w:r>
      <w:r>
        <w:rPr>
          <w:sz w:val="20"/>
          <w:szCs w:val="20"/>
        </w:rPr>
        <w:t xml:space="preserve">term should not be used. </w:t>
      </w:r>
    </w:p>
    <w:p w14:paraId="761D386E" w14:textId="5E3A864F" w:rsidR="000810B5" w:rsidRPr="00B3206E" w:rsidRDefault="00BC2D3D" w:rsidP="00CE55A3">
      <w:pPr>
        <w:rPr>
          <w:sz w:val="20"/>
          <w:szCs w:val="20"/>
        </w:rPr>
      </w:pPr>
      <w:r>
        <w:rPr>
          <w:sz w:val="20"/>
          <w:szCs w:val="20"/>
        </w:rPr>
        <w:t xml:space="preserve">Additionally, </w:t>
      </w:r>
      <w:r w:rsidR="00C95E8C">
        <w:rPr>
          <w:sz w:val="20"/>
          <w:szCs w:val="20"/>
        </w:rPr>
        <w:t>the standard guides users</w:t>
      </w:r>
      <w:r w:rsidR="00A84090">
        <w:rPr>
          <w:sz w:val="20"/>
          <w:szCs w:val="20"/>
        </w:rPr>
        <w:t xml:space="preserve"> to </w:t>
      </w:r>
      <w:r w:rsidR="00632F5D">
        <w:rPr>
          <w:sz w:val="20"/>
          <w:szCs w:val="20"/>
        </w:rPr>
        <w:t>obtain</w:t>
      </w:r>
      <w:r w:rsidR="00A84090">
        <w:rPr>
          <w:sz w:val="20"/>
          <w:szCs w:val="20"/>
        </w:rPr>
        <w:t xml:space="preserve"> the </w:t>
      </w:r>
      <w:r w:rsidR="00F45103" w:rsidRPr="00C0065B">
        <w:rPr>
          <w:sz w:val="20"/>
          <w:szCs w:val="20"/>
        </w:rPr>
        <w:t>GWP</w:t>
      </w:r>
      <w:r w:rsidR="00F45103" w:rsidRPr="00C0065B">
        <w:rPr>
          <w:sz w:val="20"/>
          <w:szCs w:val="20"/>
          <w:vertAlign w:val="subscript"/>
        </w:rPr>
        <w:t>biogenic</w:t>
      </w:r>
      <w:r w:rsidR="00F45103" w:rsidRPr="00C0065B">
        <w:rPr>
          <w:b/>
          <w:bCs/>
          <w:sz w:val="20"/>
          <w:szCs w:val="20"/>
        </w:rPr>
        <w:t xml:space="preserve"> </w:t>
      </w:r>
      <w:r w:rsidR="00F45103">
        <w:rPr>
          <w:sz w:val="20"/>
          <w:szCs w:val="20"/>
        </w:rPr>
        <w:t xml:space="preserve">value </w:t>
      </w:r>
      <w:r w:rsidR="00632F5D">
        <w:rPr>
          <w:sz w:val="20"/>
          <w:szCs w:val="20"/>
        </w:rPr>
        <w:t>from</w:t>
      </w:r>
      <w:r w:rsidR="00F45103">
        <w:rPr>
          <w:sz w:val="20"/>
          <w:szCs w:val="20"/>
        </w:rPr>
        <w:t xml:space="preserve"> EPDs</w:t>
      </w:r>
      <w:r w:rsidR="00DB6103">
        <w:rPr>
          <w:sz w:val="20"/>
          <w:szCs w:val="20"/>
        </w:rPr>
        <w:t xml:space="preserve">, which </w:t>
      </w:r>
      <w:r w:rsidR="0007137F">
        <w:rPr>
          <w:sz w:val="20"/>
          <w:szCs w:val="20"/>
        </w:rPr>
        <w:t>is problematic</w:t>
      </w:r>
      <w:r w:rsidR="00A868BD">
        <w:rPr>
          <w:sz w:val="20"/>
          <w:szCs w:val="20"/>
        </w:rPr>
        <w:t xml:space="preserve"> for both biogenic carbon and</w:t>
      </w:r>
      <w:r w:rsidR="006C37F6">
        <w:rPr>
          <w:sz w:val="20"/>
          <w:szCs w:val="20"/>
        </w:rPr>
        <w:t xml:space="preserve"> carbonation. </w:t>
      </w:r>
      <w:r w:rsidR="00FF7B39">
        <w:rPr>
          <w:sz w:val="20"/>
          <w:szCs w:val="20"/>
        </w:rPr>
        <w:t>Regarding</w:t>
      </w:r>
      <w:r w:rsidR="006C37F6">
        <w:rPr>
          <w:sz w:val="20"/>
          <w:szCs w:val="20"/>
        </w:rPr>
        <w:t xml:space="preserve"> biogenic carbon, </w:t>
      </w:r>
      <w:r w:rsidR="0007137F">
        <w:rPr>
          <w:sz w:val="20"/>
          <w:szCs w:val="20"/>
        </w:rPr>
        <w:t xml:space="preserve">the </w:t>
      </w:r>
      <w:r w:rsidR="0007137F" w:rsidRPr="001C0112">
        <w:rPr>
          <w:sz w:val="20"/>
          <w:szCs w:val="20"/>
        </w:rPr>
        <w:t>GWP</w:t>
      </w:r>
      <w:r w:rsidR="0007137F" w:rsidRPr="001C0112">
        <w:rPr>
          <w:sz w:val="20"/>
          <w:szCs w:val="20"/>
          <w:vertAlign w:val="subscript"/>
        </w:rPr>
        <w:t>biogenic</w:t>
      </w:r>
      <w:r w:rsidR="0007137F">
        <w:rPr>
          <w:sz w:val="20"/>
          <w:szCs w:val="20"/>
          <w:vertAlign w:val="subscript"/>
        </w:rPr>
        <w:t xml:space="preserve">  </w:t>
      </w:r>
      <w:r w:rsidR="0007137F">
        <w:rPr>
          <w:sz w:val="20"/>
          <w:szCs w:val="20"/>
        </w:rPr>
        <w:t>value in a</w:t>
      </w:r>
      <w:r w:rsidR="00211A33">
        <w:rPr>
          <w:sz w:val="20"/>
          <w:szCs w:val="20"/>
        </w:rPr>
        <w:t xml:space="preserve"> wood </w:t>
      </w:r>
      <w:r w:rsidR="0007137F">
        <w:rPr>
          <w:sz w:val="20"/>
          <w:szCs w:val="20"/>
        </w:rPr>
        <w:t>EPD</w:t>
      </w:r>
      <w:r w:rsidR="008B476F">
        <w:rPr>
          <w:sz w:val="20"/>
          <w:szCs w:val="20"/>
        </w:rPr>
        <w:t xml:space="preserve"> </w:t>
      </w:r>
      <w:r w:rsidR="00184E3F">
        <w:rPr>
          <w:sz w:val="20"/>
          <w:szCs w:val="20"/>
        </w:rPr>
        <w:t xml:space="preserve">reflects the </w:t>
      </w:r>
      <w:r w:rsidR="007A0C31">
        <w:rPr>
          <w:sz w:val="20"/>
          <w:szCs w:val="20"/>
        </w:rPr>
        <w:t>biogenic carbon storage in the log</w:t>
      </w:r>
      <w:r w:rsidR="00B60BF5">
        <w:rPr>
          <w:sz w:val="20"/>
          <w:szCs w:val="20"/>
        </w:rPr>
        <w:t xml:space="preserve"> that is used to produce 1m</w:t>
      </w:r>
      <w:r w:rsidR="00B60BF5" w:rsidRPr="00B60BF5">
        <w:rPr>
          <w:sz w:val="20"/>
          <w:szCs w:val="20"/>
          <w:vertAlign w:val="superscript"/>
        </w:rPr>
        <w:t>3</w:t>
      </w:r>
      <w:r w:rsidR="00B60BF5">
        <w:rPr>
          <w:sz w:val="20"/>
          <w:szCs w:val="20"/>
        </w:rPr>
        <w:t xml:space="preserve"> of wood product</w:t>
      </w:r>
      <w:r w:rsidR="00E4405F">
        <w:rPr>
          <w:sz w:val="20"/>
          <w:szCs w:val="20"/>
        </w:rPr>
        <w:t xml:space="preserve"> when </w:t>
      </w:r>
      <w:r w:rsidR="00B60BF5">
        <w:rPr>
          <w:sz w:val="20"/>
          <w:szCs w:val="20"/>
        </w:rPr>
        <w:t>it is</w:t>
      </w:r>
      <w:r w:rsidR="00E4405F">
        <w:rPr>
          <w:sz w:val="20"/>
          <w:szCs w:val="20"/>
        </w:rPr>
        <w:t xml:space="preserve"> ready to leave the forest</w:t>
      </w:r>
      <w:r w:rsidR="008B476F">
        <w:rPr>
          <w:sz w:val="20"/>
          <w:szCs w:val="20"/>
        </w:rPr>
        <w:t>, not the biogenic carbon stored in the final p</w:t>
      </w:r>
      <w:r w:rsidR="00211A33">
        <w:rPr>
          <w:sz w:val="20"/>
          <w:szCs w:val="20"/>
        </w:rPr>
        <w:t>roduct used in the building</w:t>
      </w:r>
      <w:r w:rsidR="00E4405F">
        <w:rPr>
          <w:sz w:val="20"/>
          <w:szCs w:val="20"/>
        </w:rPr>
        <w:t>.</w:t>
      </w:r>
      <w:r w:rsidR="007A0C31">
        <w:rPr>
          <w:sz w:val="20"/>
          <w:szCs w:val="20"/>
        </w:rPr>
        <w:t xml:space="preserve"> </w:t>
      </w:r>
      <w:r w:rsidR="00FF7B39">
        <w:rPr>
          <w:sz w:val="20"/>
          <w:szCs w:val="20"/>
        </w:rPr>
        <w:t>T</w:t>
      </w:r>
      <w:r w:rsidR="00BA2E42">
        <w:rPr>
          <w:sz w:val="20"/>
          <w:szCs w:val="20"/>
        </w:rPr>
        <w:t>he</w:t>
      </w:r>
      <w:r w:rsidR="00164451">
        <w:rPr>
          <w:sz w:val="20"/>
          <w:szCs w:val="20"/>
        </w:rPr>
        <w:t xml:space="preserve"> </w:t>
      </w:r>
      <w:r w:rsidR="000907A1">
        <w:rPr>
          <w:sz w:val="20"/>
          <w:szCs w:val="20"/>
        </w:rPr>
        <w:t xml:space="preserve">correct way to </w:t>
      </w:r>
      <w:r w:rsidR="00E765B2">
        <w:rPr>
          <w:sz w:val="20"/>
          <w:szCs w:val="20"/>
        </w:rPr>
        <w:t>ca</w:t>
      </w:r>
      <w:r w:rsidR="00B3206E">
        <w:rPr>
          <w:sz w:val="20"/>
          <w:szCs w:val="20"/>
        </w:rPr>
        <w:t>lculate the biogenic carbon storage in 1m</w:t>
      </w:r>
      <w:r w:rsidR="00B3206E" w:rsidRPr="00B3206E">
        <w:rPr>
          <w:sz w:val="20"/>
          <w:szCs w:val="20"/>
          <w:vertAlign w:val="superscript"/>
        </w:rPr>
        <w:t>3</w:t>
      </w:r>
      <w:r w:rsidR="00B3206E">
        <w:rPr>
          <w:sz w:val="20"/>
          <w:szCs w:val="20"/>
          <w:vertAlign w:val="superscript"/>
        </w:rPr>
        <w:t xml:space="preserve"> </w:t>
      </w:r>
      <w:r w:rsidR="00B3206E">
        <w:rPr>
          <w:sz w:val="20"/>
          <w:szCs w:val="20"/>
        </w:rPr>
        <w:t>of the product used in the building</w:t>
      </w:r>
      <w:r w:rsidR="00BA2E42">
        <w:rPr>
          <w:sz w:val="20"/>
          <w:szCs w:val="20"/>
        </w:rPr>
        <w:t xml:space="preserve"> is by</w:t>
      </w:r>
      <w:r w:rsidR="00E326FC" w:rsidRPr="00E326FC">
        <w:rPr>
          <w:sz w:val="20"/>
          <w:szCs w:val="20"/>
        </w:rPr>
        <w:t xml:space="preserve"> multiply</w:t>
      </w:r>
      <w:r w:rsidR="00BA2E42">
        <w:rPr>
          <w:sz w:val="20"/>
          <w:szCs w:val="20"/>
        </w:rPr>
        <w:t>ing</w:t>
      </w:r>
      <w:r w:rsidR="00E326FC" w:rsidRPr="00E326FC">
        <w:rPr>
          <w:sz w:val="20"/>
          <w:szCs w:val="20"/>
        </w:rPr>
        <w:t xml:space="preserve"> the molecular weight ratio of CO</w:t>
      </w:r>
      <w:r w:rsidR="00E326FC" w:rsidRPr="00E326FC">
        <w:rPr>
          <w:sz w:val="20"/>
          <w:szCs w:val="20"/>
          <w:vertAlign w:val="subscript"/>
        </w:rPr>
        <w:t>2</w:t>
      </w:r>
      <w:r w:rsidR="00E326FC" w:rsidRPr="00E326FC">
        <w:rPr>
          <w:sz w:val="20"/>
          <w:szCs w:val="20"/>
        </w:rPr>
        <w:t>/C (3.67) by the</w:t>
      </w:r>
      <w:r w:rsidR="00B87094">
        <w:rPr>
          <w:sz w:val="20"/>
          <w:szCs w:val="20"/>
        </w:rPr>
        <w:t xml:space="preserve"> dry or in-use condition</w:t>
      </w:r>
      <w:r w:rsidR="00E326FC" w:rsidRPr="00E326FC">
        <w:rPr>
          <w:sz w:val="20"/>
          <w:szCs w:val="20"/>
        </w:rPr>
        <w:t xml:space="preserve"> density (kg/m</w:t>
      </w:r>
      <w:r w:rsidR="00E326FC" w:rsidRPr="00E326FC">
        <w:rPr>
          <w:sz w:val="20"/>
          <w:szCs w:val="20"/>
          <w:vertAlign w:val="superscript"/>
        </w:rPr>
        <w:t>3</w:t>
      </w:r>
      <w:r w:rsidR="00E326FC" w:rsidRPr="00E326FC">
        <w:rPr>
          <w:sz w:val="20"/>
          <w:szCs w:val="20"/>
        </w:rPr>
        <w:t>) by the fraction</w:t>
      </w:r>
      <w:r w:rsidR="00934D15">
        <w:rPr>
          <w:sz w:val="20"/>
          <w:szCs w:val="20"/>
        </w:rPr>
        <w:t xml:space="preserve"> of </w:t>
      </w:r>
      <w:r w:rsidR="004E1851">
        <w:rPr>
          <w:sz w:val="20"/>
          <w:szCs w:val="20"/>
        </w:rPr>
        <w:t xml:space="preserve">the product’s </w:t>
      </w:r>
      <w:r w:rsidR="00934D15">
        <w:rPr>
          <w:sz w:val="20"/>
          <w:szCs w:val="20"/>
        </w:rPr>
        <w:t>mass that is carbon</w:t>
      </w:r>
      <w:r w:rsidR="001D2F97">
        <w:rPr>
          <w:sz w:val="20"/>
          <w:szCs w:val="20"/>
        </w:rPr>
        <w:t xml:space="preserve">. </w:t>
      </w:r>
    </w:p>
    <w:p w14:paraId="0197CEA4" w14:textId="384785C8" w:rsidR="001E2350" w:rsidRPr="00551E3B" w:rsidRDefault="00D22A29" w:rsidP="00CE55A3">
      <w:pPr>
        <w:rPr>
          <w:b/>
          <w:bCs/>
          <w:sz w:val="20"/>
          <w:szCs w:val="20"/>
        </w:rPr>
      </w:pPr>
      <w:r>
        <w:rPr>
          <w:sz w:val="20"/>
          <w:szCs w:val="20"/>
        </w:rPr>
        <w:t>With respect to carbon</w:t>
      </w:r>
      <w:r w:rsidR="00625B9E">
        <w:rPr>
          <w:sz w:val="20"/>
          <w:szCs w:val="20"/>
        </w:rPr>
        <w:t>ation</w:t>
      </w:r>
      <w:r>
        <w:rPr>
          <w:sz w:val="20"/>
          <w:szCs w:val="20"/>
        </w:rPr>
        <w:t>, w</w:t>
      </w:r>
      <w:r w:rsidR="00553226">
        <w:rPr>
          <w:sz w:val="20"/>
          <w:szCs w:val="20"/>
        </w:rPr>
        <w:t>hile w</w:t>
      </w:r>
      <w:r w:rsidR="008649C6">
        <w:rPr>
          <w:sz w:val="20"/>
          <w:szCs w:val="20"/>
        </w:rPr>
        <w:t xml:space="preserve">e </w:t>
      </w:r>
      <w:r w:rsidR="00AA50A5">
        <w:rPr>
          <w:sz w:val="20"/>
          <w:szCs w:val="20"/>
        </w:rPr>
        <w:t>acknowledge</w:t>
      </w:r>
      <w:r w:rsidR="008649C6">
        <w:rPr>
          <w:sz w:val="20"/>
          <w:szCs w:val="20"/>
        </w:rPr>
        <w:t xml:space="preserve"> that </w:t>
      </w:r>
      <w:r w:rsidR="00827800">
        <w:rPr>
          <w:sz w:val="20"/>
          <w:szCs w:val="20"/>
        </w:rPr>
        <w:t xml:space="preserve">some carbonation </w:t>
      </w:r>
      <w:r w:rsidR="00AA50A5">
        <w:rPr>
          <w:sz w:val="20"/>
          <w:szCs w:val="20"/>
        </w:rPr>
        <w:t>may occur</w:t>
      </w:r>
      <w:r w:rsidR="00827800">
        <w:rPr>
          <w:sz w:val="20"/>
          <w:szCs w:val="20"/>
        </w:rPr>
        <w:t xml:space="preserve"> during the product stage (A1-A3)</w:t>
      </w:r>
      <w:r w:rsidR="00656E89">
        <w:rPr>
          <w:sz w:val="20"/>
          <w:szCs w:val="20"/>
        </w:rPr>
        <w:t>,</w:t>
      </w:r>
      <w:r w:rsidR="00502492">
        <w:rPr>
          <w:sz w:val="20"/>
          <w:szCs w:val="20"/>
        </w:rPr>
        <w:t xml:space="preserve"> although</w:t>
      </w:r>
      <w:r w:rsidR="00656E89">
        <w:rPr>
          <w:sz w:val="20"/>
          <w:szCs w:val="20"/>
        </w:rPr>
        <w:t xml:space="preserve"> </w:t>
      </w:r>
      <w:r w:rsidR="0060288D">
        <w:rPr>
          <w:sz w:val="20"/>
          <w:szCs w:val="20"/>
        </w:rPr>
        <w:t>it is typically minimal</w:t>
      </w:r>
      <w:r w:rsidR="00413E2C">
        <w:rPr>
          <w:sz w:val="20"/>
          <w:szCs w:val="20"/>
        </w:rPr>
        <w:t xml:space="preserve">, </w:t>
      </w:r>
      <w:r w:rsidR="004B085B">
        <w:rPr>
          <w:sz w:val="20"/>
          <w:szCs w:val="20"/>
        </w:rPr>
        <w:t xml:space="preserve">we believe that </w:t>
      </w:r>
      <w:r w:rsidR="0060288D">
        <w:rPr>
          <w:sz w:val="20"/>
          <w:szCs w:val="20"/>
        </w:rPr>
        <w:t>additional</w:t>
      </w:r>
      <w:r w:rsidR="004B085B">
        <w:rPr>
          <w:sz w:val="20"/>
          <w:szCs w:val="20"/>
        </w:rPr>
        <w:t xml:space="preserve"> guidance </w:t>
      </w:r>
      <w:r w:rsidR="00F1444D">
        <w:rPr>
          <w:sz w:val="20"/>
          <w:szCs w:val="20"/>
        </w:rPr>
        <w:t>is needed</w:t>
      </w:r>
      <w:r w:rsidR="004B085B">
        <w:rPr>
          <w:sz w:val="20"/>
          <w:szCs w:val="20"/>
        </w:rPr>
        <w:t xml:space="preserve"> to</w:t>
      </w:r>
      <w:r w:rsidR="00F1444D">
        <w:rPr>
          <w:sz w:val="20"/>
          <w:szCs w:val="20"/>
        </w:rPr>
        <w:t xml:space="preserve"> help</w:t>
      </w:r>
      <w:r w:rsidR="004B085B">
        <w:rPr>
          <w:sz w:val="20"/>
          <w:szCs w:val="20"/>
        </w:rPr>
        <w:t xml:space="preserve"> users of the standard </w:t>
      </w:r>
      <w:r w:rsidR="001163E0">
        <w:rPr>
          <w:sz w:val="20"/>
          <w:szCs w:val="20"/>
        </w:rPr>
        <w:t xml:space="preserve">interpret </w:t>
      </w:r>
      <w:r w:rsidR="00F1444D">
        <w:rPr>
          <w:sz w:val="20"/>
          <w:szCs w:val="20"/>
        </w:rPr>
        <w:t xml:space="preserve">carbonation values </w:t>
      </w:r>
      <w:r w:rsidR="001163E0">
        <w:rPr>
          <w:sz w:val="20"/>
          <w:szCs w:val="20"/>
        </w:rPr>
        <w:t>in an EPD</w:t>
      </w:r>
      <w:r w:rsidR="00F26C4E">
        <w:rPr>
          <w:sz w:val="20"/>
          <w:szCs w:val="20"/>
        </w:rPr>
        <w:t xml:space="preserve"> so that it is appropriately applied </w:t>
      </w:r>
      <w:r w:rsidR="006B109F">
        <w:rPr>
          <w:sz w:val="20"/>
          <w:szCs w:val="20"/>
        </w:rPr>
        <w:t xml:space="preserve">in calculating the carbon storage in the product. For instance, </w:t>
      </w:r>
      <w:r w:rsidR="0054577C">
        <w:rPr>
          <w:sz w:val="20"/>
          <w:szCs w:val="20"/>
        </w:rPr>
        <w:t xml:space="preserve">when referencing the </w:t>
      </w:r>
      <w:hyperlink r:id="rId10" w:history="1">
        <w:r w:rsidR="005851DC" w:rsidRPr="005851DC">
          <w:rPr>
            <w:rStyle w:val="Hyperlink"/>
            <w:sz w:val="20"/>
            <w:szCs w:val="20"/>
          </w:rPr>
          <w:t>2021 NRMCA Industry-Average EPD for Ready Mixed Concrete</w:t>
        </w:r>
      </w:hyperlink>
      <w:r w:rsidR="005851DC">
        <w:rPr>
          <w:sz w:val="20"/>
          <w:szCs w:val="20"/>
        </w:rPr>
        <w:t xml:space="preserve">, </w:t>
      </w:r>
      <w:r w:rsidR="00C903AD">
        <w:rPr>
          <w:sz w:val="20"/>
          <w:szCs w:val="20"/>
        </w:rPr>
        <w:t>carbonation is group</w:t>
      </w:r>
      <w:r w:rsidR="00D836C5">
        <w:rPr>
          <w:sz w:val="20"/>
          <w:szCs w:val="20"/>
        </w:rPr>
        <w:t>ed</w:t>
      </w:r>
      <w:r w:rsidR="00C903AD">
        <w:rPr>
          <w:sz w:val="20"/>
          <w:szCs w:val="20"/>
        </w:rPr>
        <w:t xml:space="preserve"> with calcination under </w:t>
      </w:r>
      <w:r w:rsidR="00C903AD" w:rsidRPr="007A0045">
        <w:rPr>
          <w:i/>
          <w:iCs/>
          <w:sz w:val="20"/>
          <w:szCs w:val="20"/>
        </w:rPr>
        <w:t>Calcination and carbonation emissions</w:t>
      </w:r>
      <w:r w:rsidR="007A0045" w:rsidRPr="007A0045">
        <w:rPr>
          <w:i/>
          <w:iCs/>
          <w:sz w:val="20"/>
          <w:szCs w:val="20"/>
        </w:rPr>
        <w:t xml:space="preserve"> (CCE)</w:t>
      </w:r>
      <w:r w:rsidR="00D836C5" w:rsidRPr="00421E05">
        <w:rPr>
          <w:i/>
          <w:iCs/>
          <w:sz w:val="20"/>
          <w:szCs w:val="20"/>
        </w:rPr>
        <w:t xml:space="preserve"> </w:t>
      </w:r>
      <w:r w:rsidR="00D836C5">
        <w:rPr>
          <w:sz w:val="20"/>
          <w:szCs w:val="20"/>
        </w:rPr>
        <w:t>in Table 5</w:t>
      </w:r>
      <w:r w:rsidR="00C903AD">
        <w:rPr>
          <w:sz w:val="20"/>
          <w:szCs w:val="20"/>
        </w:rPr>
        <w:t xml:space="preserve">. </w:t>
      </w:r>
      <w:r w:rsidR="00902B8B">
        <w:rPr>
          <w:sz w:val="20"/>
          <w:szCs w:val="20"/>
        </w:rPr>
        <w:t xml:space="preserve">This </w:t>
      </w:r>
      <w:r w:rsidR="00CE427F">
        <w:rPr>
          <w:sz w:val="20"/>
          <w:szCs w:val="20"/>
        </w:rPr>
        <w:t>grouping</w:t>
      </w:r>
      <w:r w:rsidR="00902B8B">
        <w:rPr>
          <w:sz w:val="20"/>
          <w:szCs w:val="20"/>
        </w:rPr>
        <w:t xml:space="preserve"> is commonly used in concrete EPDs because both are CO</w:t>
      </w:r>
      <w:r w:rsidR="00902B8B" w:rsidRPr="007A0045">
        <w:rPr>
          <w:sz w:val="20"/>
          <w:szCs w:val="20"/>
          <w:vertAlign w:val="subscript"/>
        </w:rPr>
        <w:t xml:space="preserve">2 </w:t>
      </w:r>
      <w:r w:rsidR="00902B8B">
        <w:rPr>
          <w:sz w:val="20"/>
          <w:szCs w:val="20"/>
        </w:rPr>
        <w:t xml:space="preserve">flows directly related to the cement chemistry in concrete. </w:t>
      </w:r>
      <w:r w:rsidR="00401525">
        <w:rPr>
          <w:sz w:val="20"/>
          <w:szCs w:val="20"/>
        </w:rPr>
        <w:t xml:space="preserve">However, they represent opposite flows as calcination is the release of </w:t>
      </w:r>
      <w:r w:rsidR="007A0045">
        <w:rPr>
          <w:sz w:val="20"/>
          <w:szCs w:val="20"/>
        </w:rPr>
        <w:t>CO</w:t>
      </w:r>
      <w:r w:rsidR="007A0045" w:rsidRPr="007A0045">
        <w:rPr>
          <w:sz w:val="20"/>
          <w:szCs w:val="20"/>
          <w:vertAlign w:val="subscript"/>
        </w:rPr>
        <w:t xml:space="preserve">2 </w:t>
      </w:r>
      <w:r w:rsidR="00F75279">
        <w:rPr>
          <w:sz w:val="20"/>
          <w:szCs w:val="20"/>
        </w:rPr>
        <w:t xml:space="preserve">and carbonation is the uptake (removal) of </w:t>
      </w:r>
      <w:r w:rsidR="007A0045">
        <w:rPr>
          <w:sz w:val="20"/>
          <w:szCs w:val="20"/>
        </w:rPr>
        <w:t>CO</w:t>
      </w:r>
      <w:r w:rsidR="007A0045" w:rsidRPr="007A0045">
        <w:rPr>
          <w:sz w:val="20"/>
          <w:szCs w:val="20"/>
          <w:vertAlign w:val="subscript"/>
        </w:rPr>
        <w:t>2</w:t>
      </w:r>
      <w:r w:rsidR="00F75279">
        <w:rPr>
          <w:sz w:val="20"/>
          <w:szCs w:val="20"/>
        </w:rPr>
        <w:t xml:space="preserve">. </w:t>
      </w:r>
      <w:r w:rsidR="006F389A">
        <w:rPr>
          <w:sz w:val="20"/>
          <w:szCs w:val="20"/>
        </w:rPr>
        <w:t>C</w:t>
      </w:r>
      <w:r w:rsidR="00CA7264">
        <w:rPr>
          <w:sz w:val="20"/>
          <w:szCs w:val="20"/>
        </w:rPr>
        <w:t xml:space="preserve">alcination emissions are therefore represented by a positive value </w:t>
      </w:r>
      <w:r w:rsidR="00D61BAD">
        <w:rPr>
          <w:sz w:val="20"/>
          <w:szCs w:val="20"/>
        </w:rPr>
        <w:t>(</w:t>
      </w:r>
      <w:r w:rsidR="007A0045">
        <w:rPr>
          <w:sz w:val="20"/>
          <w:szCs w:val="20"/>
        </w:rPr>
        <w:t>CO</w:t>
      </w:r>
      <w:r w:rsidR="007A0045" w:rsidRPr="007A0045">
        <w:rPr>
          <w:sz w:val="20"/>
          <w:szCs w:val="20"/>
          <w:vertAlign w:val="subscript"/>
        </w:rPr>
        <w:t xml:space="preserve">2 </w:t>
      </w:r>
      <w:r w:rsidR="00D61BAD">
        <w:rPr>
          <w:sz w:val="20"/>
          <w:szCs w:val="20"/>
        </w:rPr>
        <w:t>released) and carbonation removals are represented by a negative value (</w:t>
      </w:r>
      <w:r w:rsidR="007A0045">
        <w:rPr>
          <w:sz w:val="20"/>
          <w:szCs w:val="20"/>
        </w:rPr>
        <w:t>CO</w:t>
      </w:r>
      <w:r w:rsidR="007A0045" w:rsidRPr="007A0045">
        <w:rPr>
          <w:sz w:val="20"/>
          <w:szCs w:val="20"/>
          <w:vertAlign w:val="subscript"/>
        </w:rPr>
        <w:t>2</w:t>
      </w:r>
      <w:r w:rsidR="00D61BAD">
        <w:rPr>
          <w:sz w:val="20"/>
          <w:szCs w:val="20"/>
        </w:rPr>
        <w:t xml:space="preserve"> </w:t>
      </w:r>
      <w:r w:rsidR="007A0045">
        <w:rPr>
          <w:sz w:val="20"/>
          <w:szCs w:val="20"/>
        </w:rPr>
        <w:t>absorbed</w:t>
      </w:r>
      <w:r w:rsidR="00D61BAD">
        <w:rPr>
          <w:sz w:val="20"/>
          <w:szCs w:val="20"/>
        </w:rPr>
        <w:t xml:space="preserve">). </w:t>
      </w:r>
      <w:r w:rsidR="007A0045">
        <w:rPr>
          <w:sz w:val="20"/>
          <w:szCs w:val="20"/>
        </w:rPr>
        <w:t>The C</w:t>
      </w:r>
      <w:r w:rsidR="00482EB6">
        <w:rPr>
          <w:sz w:val="20"/>
          <w:szCs w:val="20"/>
        </w:rPr>
        <w:t>CE value is the sum of these two, so depending on the balance it can be positive</w:t>
      </w:r>
      <w:r w:rsidR="002403C6">
        <w:rPr>
          <w:sz w:val="20"/>
          <w:szCs w:val="20"/>
        </w:rPr>
        <w:t xml:space="preserve"> (net emission)</w:t>
      </w:r>
      <w:r w:rsidR="00482EB6">
        <w:rPr>
          <w:sz w:val="20"/>
          <w:szCs w:val="20"/>
        </w:rPr>
        <w:t>, negative</w:t>
      </w:r>
      <w:r w:rsidR="002403C6">
        <w:rPr>
          <w:sz w:val="20"/>
          <w:szCs w:val="20"/>
        </w:rPr>
        <w:t xml:space="preserve"> (net uptake)</w:t>
      </w:r>
      <w:r w:rsidR="00482EB6">
        <w:rPr>
          <w:sz w:val="20"/>
          <w:szCs w:val="20"/>
        </w:rPr>
        <w:t xml:space="preserve">, or zero. </w:t>
      </w:r>
      <w:r w:rsidR="00216C7D" w:rsidRPr="00216C7D">
        <w:rPr>
          <w:sz w:val="20"/>
          <w:szCs w:val="20"/>
        </w:rPr>
        <w:t>For instance, in</w:t>
      </w:r>
      <w:r w:rsidR="000D4951">
        <w:rPr>
          <w:sz w:val="20"/>
          <w:szCs w:val="20"/>
        </w:rPr>
        <w:t xml:space="preserve"> all summary results tables (</w:t>
      </w:r>
      <w:r w:rsidR="00216C7D" w:rsidRPr="00216C7D">
        <w:rPr>
          <w:sz w:val="20"/>
          <w:szCs w:val="20"/>
        </w:rPr>
        <w:t>Table</w:t>
      </w:r>
      <w:r w:rsidR="00DC19FE">
        <w:rPr>
          <w:sz w:val="20"/>
          <w:szCs w:val="20"/>
        </w:rPr>
        <w:t>s</w:t>
      </w:r>
      <w:r w:rsidR="00216C7D" w:rsidRPr="00216C7D">
        <w:rPr>
          <w:sz w:val="20"/>
          <w:szCs w:val="20"/>
        </w:rPr>
        <w:t xml:space="preserve"> 6a</w:t>
      </w:r>
      <w:r w:rsidR="000D4951">
        <w:rPr>
          <w:sz w:val="20"/>
          <w:szCs w:val="20"/>
        </w:rPr>
        <w:t xml:space="preserve"> to 14b)</w:t>
      </w:r>
      <w:r w:rsidR="00216C7D" w:rsidRPr="00216C7D">
        <w:rPr>
          <w:sz w:val="20"/>
          <w:szCs w:val="20"/>
        </w:rPr>
        <w:t xml:space="preserve"> of the </w:t>
      </w:r>
      <w:hyperlink r:id="rId11" w:history="1">
        <w:r w:rsidR="00216C7D" w:rsidRPr="000D4951">
          <w:rPr>
            <w:rStyle w:val="Hyperlink"/>
            <w:sz w:val="20"/>
            <w:szCs w:val="20"/>
          </w:rPr>
          <w:t>EPD</w:t>
        </w:r>
      </w:hyperlink>
      <w:r w:rsidR="00216C7D" w:rsidRPr="00216C7D">
        <w:rPr>
          <w:sz w:val="20"/>
          <w:szCs w:val="20"/>
        </w:rPr>
        <w:t>, the positive values under the CCE indicate net emissions, meaning no carbon storage.</w:t>
      </w:r>
      <w:r w:rsidR="00AB671A">
        <w:rPr>
          <w:sz w:val="20"/>
          <w:szCs w:val="20"/>
        </w:rPr>
        <w:t xml:space="preserve"> </w:t>
      </w:r>
      <w:r w:rsidR="00AB671A" w:rsidRPr="00AB671A">
        <w:rPr>
          <w:sz w:val="20"/>
          <w:szCs w:val="20"/>
        </w:rPr>
        <w:t xml:space="preserve">This distinction is </w:t>
      </w:r>
      <w:r w:rsidR="00AB671A" w:rsidRPr="00AB671A">
        <w:rPr>
          <w:sz w:val="20"/>
          <w:szCs w:val="20"/>
        </w:rPr>
        <w:lastRenderedPageBreak/>
        <w:t>critical because users may misinterpret a single CCE value without understanding its components.</w:t>
      </w:r>
      <w:r w:rsidR="00A94C4B">
        <w:rPr>
          <w:sz w:val="20"/>
          <w:szCs w:val="20"/>
        </w:rPr>
        <w:t xml:space="preserve"> </w:t>
      </w:r>
      <w:r w:rsidR="001E2350" w:rsidRPr="00551E3B">
        <w:rPr>
          <w:b/>
          <w:bCs/>
          <w:sz w:val="20"/>
          <w:szCs w:val="20"/>
        </w:rPr>
        <w:t>If the committee decides to include calculations for carbon storage from carbonation in the A1–A3 modules, the standard should clearly define the interpretation of positive and negative values in EPDs related to carbonation and calcination, and, where possible, encourage separating these values in assessments to prevent misinterpretation.</w:t>
      </w:r>
      <w:r w:rsidR="009F6D55" w:rsidRPr="00551E3B">
        <w:rPr>
          <w:b/>
          <w:bCs/>
          <w:sz w:val="20"/>
          <w:szCs w:val="20"/>
        </w:rPr>
        <w:t xml:space="preserve"> </w:t>
      </w:r>
    </w:p>
    <w:p w14:paraId="0245B1AA" w14:textId="3493B94F" w:rsidR="00C92B37" w:rsidRPr="00D865C7" w:rsidRDefault="00E63B12" w:rsidP="00CE55A3">
      <w:pPr>
        <w:rPr>
          <w:sz w:val="20"/>
          <w:szCs w:val="20"/>
        </w:rPr>
      </w:pPr>
      <w:r w:rsidRPr="00E63B12">
        <w:rPr>
          <w:sz w:val="20"/>
          <w:szCs w:val="20"/>
        </w:rPr>
        <w:t>Finally, while the definition and equation for GWP</w:t>
      </w:r>
      <w:r w:rsidRPr="00E63B12">
        <w:rPr>
          <w:sz w:val="20"/>
          <w:szCs w:val="20"/>
          <w:vertAlign w:val="subscript"/>
        </w:rPr>
        <w:t>biogenic</w:t>
      </w:r>
      <w:r w:rsidRPr="00E63B12">
        <w:rPr>
          <w:sz w:val="20"/>
          <w:szCs w:val="20"/>
        </w:rPr>
        <w:t xml:space="preserve"> are not redlined in this draft, they are closely interlinked with the term’s application. It is </w:t>
      </w:r>
      <w:r w:rsidR="00C92B37">
        <w:rPr>
          <w:sz w:val="20"/>
          <w:szCs w:val="20"/>
        </w:rPr>
        <w:t>important</w:t>
      </w:r>
      <w:r w:rsidRPr="00E63B12">
        <w:rPr>
          <w:sz w:val="20"/>
          <w:szCs w:val="20"/>
        </w:rPr>
        <w:t xml:space="preserve"> that the standard provides clarity and avoids creating confusion around how carbon storage is calculated.</w:t>
      </w:r>
    </w:p>
    <w:p w14:paraId="1127C40B" w14:textId="20ED952B" w:rsidR="00F4512B" w:rsidRDefault="00AC4C5F" w:rsidP="0000630F">
      <w:pPr>
        <w:rPr>
          <w:sz w:val="20"/>
          <w:szCs w:val="20"/>
        </w:rPr>
      </w:pPr>
      <w:r w:rsidRPr="00B6761A">
        <w:rPr>
          <w:b/>
          <w:bCs/>
          <w:sz w:val="20"/>
          <w:szCs w:val="20"/>
        </w:rPr>
        <w:t>Comment #</w:t>
      </w:r>
      <w:r w:rsidR="000C101B">
        <w:rPr>
          <w:b/>
          <w:bCs/>
          <w:sz w:val="20"/>
          <w:szCs w:val="20"/>
        </w:rPr>
        <w:t>4</w:t>
      </w:r>
      <w:r w:rsidRPr="00B6761A">
        <w:rPr>
          <w:b/>
          <w:bCs/>
          <w:sz w:val="20"/>
          <w:szCs w:val="20"/>
        </w:rPr>
        <w:t>:</w:t>
      </w:r>
      <w:r w:rsidR="00F4512B">
        <w:rPr>
          <w:sz w:val="20"/>
          <w:szCs w:val="20"/>
        </w:rPr>
        <w:t xml:space="preserve"> </w:t>
      </w:r>
      <w:r>
        <w:rPr>
          <w:sz w:val="20"/>
          <w:szCs w:val="20"/>
        </w:rPr>
        <w:t>T</w:t>
      </w:r>
      <w:r w:rsidR="00F4512B">
        <w:rPr>
          <w:sz w:val="20"/>
          <w:szCs w:val="20"/>
        </w:rPr>
        <w:t xml:space="preserve">he current definition of Carbon Content is confusing and redundant. </w:t>
      </w:r>
      <w:r w:rsidR="0030009C">
        <w:rPr>
          <w:sz w:val="20"/>
          <w:szCs w:val="20"/>
        </w:rPr>
        <w:t>It mixes the carbon content of the final product and the carbon content of the feedstock</w:t>
      </w:r>
      <w:r w:rsidR="00765953">
        <w:rPr>
          <w:sz w:val="20"/>
          <w:szCs w:val="20"/>
        </w:rPr>
        <w:t xml:space="preserve">, it multiplies two percentages, and it is unclear whether the result fraction </w:t>
      </w:r>
      <w:r w:rsidR="00063803">
        <w:rPr>
          <w:sz w:val="20"/>
          <w:szCs w:val="20"/>
        </w:rPr>
        <w:t>is a mass fraction (e.g. 0.5) or a percentage (e.g. 50%).</w:t>
      </w:r>
    </w:p>
    <w:p w14:paraId="18667156" w14:textId="77777777" w:rsidR="00466DC0" w:rsidRDefault="00466DC0" w:rsidP="0000630F">
      <w:pPr>
        <w:rPr>
          <w:sz w:val="20"/>
          <w:szCs w:val="20"/>
        </w:rPr>
      </w:pPr>
    </w:p>
    <w:p w14:paraId="0D8625AE" w14:textId="77777777" w:rsidR="00247B19" w:rsidRPr="00247B19" w:rsidRDefault="00247B19" w:rsidP="00247B19">
      <w:pPr>
        <w:rPr>
          <w:sz w:val="20"/>
          <w:szCs w:val="20"/>
        </w:rPr>
      </w:pPr>
      <w:r w:rsidRPr="00247B19">
        <w:rPr>
          <w:sz w:val="20"/>
          <w:szCs w:val="20"/>
        </w:rPr>
        <w:t>Therefore, due to the mathematical error in the original formulation, the misuse of the term GWP</w:t>
      </w:r>
      <w:r w:rsidRPr="00247B19">
        <w:rPr>
          <w:sz w:val="20"/>
          <w:szCs w:val="20"/>
          <w:vertAlign w:val="subscript"/>
        </w:rPr>
        <w:t>biogenic</w:t>
      </w:r>
      <w:r w:rsidRPr="00247B19">
        <w:rPr>
          <w:sz w:val="20"/>
          <w:szCs w:val="20"/>
        </w:rPr>
        <w:t>, the complexity involved in accurately determining carbonation, and the ambiguous definition of Carbon Content, it is recommended that the equation for carbon storage (CS</w:t>
      </w:r>
      <w:r w:rsidRPr="00247B19">
        <w:rPr>
          <w:sz w:val="20"/>
          <w:szCs w:val="20"/>
          <w:vertAlign w:val="subscript"/>
        </w:rPr>
        <w:t>product</w:t>
      </w:r>
      <w:r w:rsidRPr="00247B19">
        <w:rPr>
          <w:sz w:val="20"/>
          <w:szCs w:val="20"/>
        </w:rPr>
        <w:t>) be separated into two distinct equations:</w:t>
      </w:r>
    </w:p>
    <w:p w14:paraId="7EAC50EE" w14:textId="4A7C4491" w:rsidR="00247B19" w:rsidRPr="00247B19" w:rsidRDefault="00247B19" w:rsidP="00247B19">
      <w:pPr>
        <w:pStyle w:val="ListParagraph"/>
        <w:numPr>
          <w:ilvl w:val="0"/>
          <w:numId w:val="5"/>
        </w:numPr>
        <w:rPr>
          <w:sz w:val="20"/>
          <w:szCs w:val="20"/>
        </w:rPr>
      </w:pPr>
      <w:r w:rsidRPr="00247B19">
        <w:rPr>
          <w:sz w:val="20"/>
          <w:szCs w:val="20"/>
        </w:rPr>
        <w:t>One for biogenic carbon storage (applicable to biobased products)</w:t>
      </w:r>
    </w:p>
    <w:p w14:paraId="33A9BAAA" w14:textId="77777777" w:rsidR="00247B19" w:rsidRPr="00247B19" w:rsidRDefault="00247B19" w:rsidP="00247B19">
      <w:pPr>
        <w:pStyle w:val="ListParagraph"/>
        <w:numPr>
          <w:ilvl w:val="0"/>
          <w:numId w:val="5"/>
        </w:numPr>
        <w:rPr>
          <w:sz w:val="20"/>
          <w:szCs w:val="20"/>
        </w:rPr>
      </w:pPr>
      <w:r w:rsidRPr="00247B19">
        <w:rPr>
          <w:sz w:val="20"/>
          <w:szCs w:val="20"/>
        </w:rPr>
        <w:t>One for carbonation-based carbon uptake (applicable to mineral-based products such as concrete)</w:t>
      </w:r>
    </w:p>
    <w:p w14:paraId="023A17B3" w14:textId="748F31B2" w:rsidR="0000630F" w:rsidRDefault="00247B19" w:rsidP="00247B19">
      <w:pPr>
        <w:rPr>
          <w:b/>
          <w:bCs/>
        </w:rPr>
      </w:pPr>
      <w:r w:rsidRPr="00247B19">
        <w:rPr>
          <w:sz w:val="20"/>
          <w:szCs w:val="20"/>
        </w:rPr>
        <w:t>This separation will improve clarity and ensure that each mechanism is treated according to its unique scientific basis.</w:t>
      </w:r>
    </w:p>
    <w:p w14:paraId="303F81A4" w14:textId="60435BF9" w:rsidR="00466DC0" w:rsidRDefault="00466DC0">
      <w:pPr>
        <w:rPr>
          <w:b/>
          <w:bCs/>
        </w:rPr>
      </w:pPr>
    </w:p>
    <w:p w14:paraId="02DD6C86" w14:textId="77777777" w:rsidR="00D374F4" w:rsidRDefault="00D374F4">
      <w:pPr>
        <w:rPr>
          <w:b/>
          <w:bCs/>
        </w:rPr>
      </w:pPr>
      <w:r>
        <w:rPr>
          <w:b/>
          <w:bCs/>
        </w:rPr>
        <w:br w:type="page"/>
      </w:r>
    </w:p>
    <w:p w14:paraId="3ADFCCE6" w14:textId="74C3493C" w:rsidR="000E18FA" w:rsidRDefault="0000630F" w:rsidP="0000630F">
      <w:pPr>
        <w:rPr>
          <w:i/>
          <w:iCs/>
          <w:sz w:val="20"/>
          <w:szCs w:val="20"/>
        </w:rPr>
      </w:pPr>
      <w:r>
        <w:rPr>
          <w:b/>
          <w:bCs/>
        </w:rPr>
        <w:lastRenderedPageBreak/>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“hard-formatting”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21AB83D2" w14:textId="750D628B" w:rsidR="00583F2A" w:rsidRPr="00B06019" w:rsidRDefault="00583F2A" w:rsidP="00583F2A">
      <w:pPr>
        <w:pStyle w:val="Heading3"/>
        <w:rPr>
          <w:color w:val="auto"/>
          <w:sz w:val="20"/>
          <w:szCs w:val="20"/>
        </w:rPr>
      </w:pPr>
      <w:r w:rsidRPr="00B06019">
        <w:rPr>
          <w:color w:val="auto"/>
          <w:sz w:val="20"/>
          <w:szCs w:val="20"/>
        </w:rPr>
        <w:t>6.2.2 Carbon storage for products</w:t>
      </w:r>
    </w:p>
    <w:p w14:paraId="4BECD14D" w14:textId="77777777" w:rsidR="00583F2A" w:rsidRPr="00B06019" w:rsidRDefault="00583F2A" w:rsidP="00583F2A">
      <w:pPr>
        <w:rPr>
          <w:rFonts w:eastAsiaTheme="minorEastAsia"/>
          <w:sz w:val="20"/>
          <w:szCs w:val="20"/>
        </w:rPr>
      </w:pPr>
      <w:r w:rsidRPr="00B06019">
        <w:rPr>
          <w:rFonts w:eastAsiaTheme="minorEastAsia"/>
          <w:sz w:val="20"/>
          <w:szCs w:val="20"/>
        </w:rPr>
        <w:t xml:space="preserve">Carbon storage for each </w:t>
      </w:r>
      <w:r w:rsidRPr="00B06019">
        <w:rPr>
          <w:rFonts w:eastAsiaTheme="minorEastAsia"/>
          <w:i/>
          <w:iCs/>
          <w:sz w:val="20"/>
          <w:szCs w:val="20"/>
        </w:rPr>
        <w:t>Minimum Assessed Product</w:t>
      </w:r>
      <w:r w:rsidRPr="00B06019">
        <w:rPr>
          <w:rFonts w:eastAsiaTheme="minorEastAsia"/>
          <w:sz w:val="20"/>
          <w:szCs w:val="20"/>
        </w:rPr>
        <w:t xml:space="preserve"> that includes </w:t>
      </w:r>
      <w:r w:rsidRPr="00B06019">
        <w:rPr>
          <w:rFonts w:eastAsiaTheme="minorEastAsia"/>
          <w:i/>
          <w:iCs/>
          <w:sz w:val="20"/>
          <w:szCs w:val="20"/>
        </w:rPr>
        <w:t>biogenic carbon</w:t>
      </w:r>
      <w:r w:rsidRPr="00B06019">
        <w:rPr>
          <w:rFonts w:eastAsiaTheme="minorEastAsia"/>
          <w:sz w:val="20"/>
          <w:szCs w:val="20"/>
        </w:rPr>
        <w:t xml:space="preserve"> as per Section </w:t>
      </w:r>
      <w:r w:rsidRPr="00B06019">
        <w:rPr>
          <w:rFonts w:eastAsiaTheme="minorEastAsia"/>
          <w:sz w:val="20"/>
          <w:szCs w:val="20"/>
        </w:rPr>
        <w:fldChar w:fldCharType="begin"/>
      </w:r>
      <w:r w:rsidRPr="00B06019">
        <w:rPr>
          <w:rFonts w:eastAsiaTheme="minorEastAsia"/>
          <w:sz w:val="20"/>
          <w:szCs w:val="20"/>
        </w:rPr>
        <w:instrText xml:space="preserve"> REF _Ref170134152 \r \h  \* MERGEFORMAT </w:instrText>
      </w:r>
      <w:r w:rsidRPr="00B06019">
        <w:rPr>
          <w:rFonts w:eastAsiaTheme="minorEastAsia"/>
          <w:sz w:val="20"/>
          <w:szCs w:val="20"/>
        </w:rPr>
      </w:r>
      <w:r w:rsidRPr="00B06019">
        <w:rPr>
          <w:rFonts w:eastAsiaTheme="minorEastAsia"/>
          <w:sz w:val="20"/>
          <w:szCs w:val="20"/>
        </w:rPr>
        <w:fldChar w:fldCharType="separate"/>
      </w:r>
      <w:r w:rsidRPr="00B06019">
        <w:rPr>
          <w:rFonts w:eastAsiaTheme="minorEastAsia"/>
          <w:sz w:val="20"/>
          <w:szCs w:val="20"/>
        </w:rPr>
        <w:t>5.3.5</w:t>
      </w:r>
      <w:r w:rsidRPr="00B06019">
        <w:rPr>
          <w:rFonts w:eastAsiaTheme="minorEastAsia"/>
          <w:sz w:val="20"/>
          <w:szCs w:val="20"/>
        </w:rPr>
        <w:fldChar w:fldCharType="end"/>
      </w:r>
      <w:r w:rsidRPr="00B06019">
        <w:rPr>
          <w:rFonts w:eastAsiaTheme="minorEastAsia"/>
          <w:sz w:val="20"/>
          <w:szCs w:val="20"/>
        </w:rPr>
        <w:t xml:space="preserve"> and carbonation as per Section 5.3.6 shall be calculated as follows:</w:t>
      </w:r>
    </w:p>
    <w:p w14:paraId="572651C9" w14:textId="272667FD" w:rsidR="00583F2A" w:rsidRPr="00B06019" w:rsidRDefault="00893BAF" w:rsidP="00583F2A">
      <w:pPr>
        <w:jc w:val="center"/>
        <w:rPr>
          <w:rFonts w:eastAsiaTheme="minorEastAsia"/>
          <w:b/>
          <w:bCs/>
          <w:sz w:val="20"/>
          <w:szCs w:val="20"/>
        </w:rPr>
      </w:pPr>
      <w:r w:rsidRPr="00B06019">
        <w:rPr>
          <w:rFonts w:eastAsiaTheme="minorEastAsia"/>
          <w:b/>
          <w:bCs/>
          <w:color w:val="0000FF"/>
          <w:sz w:val="20"/>
          <w:szCs w:val="20"/>
          <w:u w:val="single"/>
        </w:rPr>
        <w:t>CS</w:t>
      </w:r>
      <w:r w:rsidRPr="00B06019">
        <w:rPr>
          <w:rFonts w:eastAsiaTheme="minorEastAsia"/>
          <w:b/>
          <w:bCs/>
          <w:color w:val="0000FF"/>
          <w:sz w:val="20"/>
          <w:szCs w:val="20"/>
          <w:u w:val="single"/>
          <w:vertAlign w:val="subscript"/>
        </w:rPr>
        <w:t>bio-product</w:t>
      </w:r>
      <w:r w:rsidRPr="00B06019">
        <w:rPr>
          <w:rFonts w:eastAsiaTheme="minorEastAsia"/>
          <w:b/>
          <w:bCs/>
          <w:color w:val="0000FF"/>
          <w:sz w:val="20"/>
          <w:szCs w:val="20"/>
        </w:rPr>
        <w:t xml:space="preserve"> </w:t>
      </w:r>
      <w:r w:rsidR="00583F2A" w:rsidRPr="00B06019">
        <w:rPr>
          <w:rFonts w:eastAsiaTheme="minorEastAsia"/>
          <w:b/>
          <w:bCs/>
          <w:strike/>
          <w:color w:val="FF0000"/>
          <w:sz w:val="20"/>
          <w:szCs w:val="20"/>
        </w:rPr>
        <w:t>CS</w:t>
      </w:r>
      <w:r w:rsidR="00583F2A" w:rsidRPr="00B06019">
        <w:rPr>
          <w:rFonts w:eastAsiaTheme="minorEastAsia"/>
          <w:b/>
          <w:bCs/>
          <w:strike/>
          <w:color w:val="FF0000"/>
          <w:sz w:val="20"/>
          <w:szCs w:val="20"/>
          <w:vertAlign w:val="subscript"/>
        </w:rPr>
        <w:t>product</w:t>
      </w:r>
      <w:r w:rsidR="00583F2A" w:rsidRPr="00B06019">
        <w:rPr>
          <w:rFonts w:eastAsiaTheme="minorEastAsia"/>
          <w:b/>
          <w:bCs/>
          <w:sz w:val="20"/>
          <w:szCs w:val="20"/>
        </w:rPr>
        <w:t xml:space="preserve"> = </w:t>
      </w:r>
      <w:r w:rsidR="00583F2A" w:rsidRPr="00B06019">
        <w:rPr>
          <w:rFonts w:eastAsiaTheme="minorEastAsia"/>
          <w:b/>
          <w:bCs/>
          <w:strike/>
          <w:color w:val="FF0000"/>
          <w:sz w:val="20"/>
          <w:szCs w:val="20"/>
        </w:rPr>
        <w:t>(</w:t>
      </w:r>
      <w:r w:rsidR="00583F2A" w:rsidRPr="00B06019">
        <w:rPr>
          <w:rFonts w:eastAsiaTheme="minorEastAsia"/>
          <w:b/>
          <w:bCs/>
          <w:sz w:val="20"/>
          <w:szCs w:val="20"/>
        </w:rPr>
        <w:t>Material Quantity</w:t>
      </w:r>
      <w:r w:rsidR="00B60B29" w:rsidRPr="00B06019">
        <w:rPr>
          <w:rFonts w:eastAsiaTheme="minorEastAsia"/>
          <w:b/>
          <w:bCs/>
          <w:color w:val="0000FF"/>
          <w:sz w:val="20"/>
          <w:szCs w:val="20"/>
          <w:u w:val="single"/>
        </w:rPr>
        <w:t xml:space="preserve"> x </w:t>
      </w:r>
      <w:r w:rsidR="004D4C62" w:rsidRPr="00B06019">
        <w:rPr>
          <w:rFonts w:eastAsiaTheme="minorEastAsia"/>
          <w:b/>
          <w:bCs/>
          <w:color w:val="0000FF"/>
          <w:sz w:val="20"/>
          <w:szCs w:val="20"/>
          <w:u w:val="single"/>
        </w:rPr>
        <w:t>Carbon Content x 3.67</w:t>
      </w:r>
      <w:r w:rsidR="00583F2A" w:rsidRPr="00B06019">
        <w:rPr>
          <w:rFonts w:eastAsiaTheme="minorEastAsia"/>
          <w:b/>
          <w:bCs/>
          <w:sz w:val="20"/>
          <w:szCs w:val="20"/>
        </w:rPr>
        <w:t xml:space="preserve"> </w:t>
      </w:r>
      <w:r w:rsidR="00583F2A" w:rsidRPr="00B06019">
        <w:rPr>
          <w:rFonts w:eastAsiaTheme="minorEastAsia"/>
          <w:b/>
          <w:bCs/>
          <w:strike/>
          <w:color w:val="FF0000"/>
          <w:sz w:val="20"/>
          <w:szCs w:val="20"/>
        </w:rPr>
        <w:t>– Waste Factor) x GWP</w:t>
      </w:r>
      <w:r w:rsidR="00583F2A" w:rsidRPr="00B06019">
        <w:rPr>
          <w:rFonts w:eastAsiaTheme="minorEastAsia"/>
          <w:b/>
          <w:bCs/>
          <w:strike/>
          <w:color w:val="FF0000"/>
          <w:sz w:val="20"/>
          <w:szCs w:val="20"/>
          <w:vertAlign w:val="subscript"/>
        </w:rPr>
        <w:t>biogenic</w:t>
      </w:r>
    </w:p>
    <w:p w14:paraId="741C6B8D" w14:textId="77777777" w:rsidR="00583F2A" w:rsidRPr="00B06019" w:rsidRDefault="00583F2A" w:rsidP="00583F2A">
      <w:pPr>
        <w:rPr>
          <w:rFonts w:eastAsiaTheme="minorEastAsia"/>
          <w:sz w:val="20"/>
          <w:szCs w:val="20"/>
        </w:rPr>
      </w:pPr>
      <w:r w:rsidRPr="00B06019">
        <w:rPr>
          <w:rFonts w:eastAsiaTheme="minorEastAsia"/>
          <w:sz w:val="20"/>
          <w:szCs w:val="20"/>
        </w:rPr>
        <w:t>Where:</w:t>
      </w:r>
    </w:p>
    <w:p w14:paraId="0156F0C5" w14:textId="0E64727F" w:rsidR="00583F2A" w:rsidRPr="00B06019" w:rsidRDefault="003A43B5" w:rsidP="00C14E00">
      <w:pPr>
        <w:ind w:left="720"/>
        <w:rPr>
          <w:rFonts w:eastAsiaTheme="minorEastAsia"/>
          <w:sz w:val="20"/>
          <w:szCs w:val="20"/>
        </w:rPr>
      </w:pPr>
      <w:r w:rsidRPr="0028120A">
        <w:rPr>
          <w:rFonts w:eastAsiaTheme="minorEastAsia"/>
          <w:color w:val="0000FF"/>
          <w:sz w:val="20"/>
          <w:szCs w:val="20"/>
          <w:u w:val="single"/>
        </w:rPr>
        <w:t>CS</w:t>
      </w:r>
      <w:r w:rsidRPr="0028120A">
        <w:rPr>
          <w:rFonts w:eastAsiaTheme="minorEastAsia"/>
          <w:color w:val="0000FF"/>
          <w:sz w:val="20"/>
          <w:szCs w:val="20"/>
          <w:u w:val="single"/>
          <w:vertAlign w:val="subscript"/>
        </w:rPr>
        <w:t>bio-product</w:t>
      </w:r>
      <w:r w:rsidRPr="0028120A">
        <w:rPr>
          <w:rFonts w:eastAsiaTheme="minorEastAsia"/>
          <w:color w:val="0000FF"/>
          <w:sz w:val="20"/>
          <w:szCs w:val="20"/>
        </w:rPr>
        <w:t xml:space="preserve"> </w:t>
      </w:r>
      <w:r w:rsidRPr="0028120A">
        <w:rPr>
          <w:rFonts w:eastAsiaTheme="minorEastAsia"/>
          <w:strike/>
          <w:color w:val="FF0000"/>
          <w:sz w:val="20"/>
          <w:szCs w:val="20"/>
        </w:rPr>
        <w:t>CS</w:t>
      </w:r>
      <w:r w:rsidRPr="0028120A">
        <w:rPr>
          <w:rFonts w:eastAsiaTheme="minorEastAsia"/>
          <w:strike/>
          <w:color w:val="FF0000"/>
          <w:sz w:val="20"/>
          <w:szCs w:val="20"/>
          <w:vertAlign w:val="subscript"/>
        </w:rPr>
        <w:t>product</w:t>
      </w:r>
      <w:r w:rsidRPr="00B06019">
        <w:rPr>
          <w:rFonts w:eastAsiaTheme="minorEastAsia"/>
          <w:b/>
          <w:bCs/>
          <w:sz w:val="20"/>
          <w:szCs w:val="20"/>
        </w:rPr>
        <w:t xml:space="preserve"> </w:t>
      </w:r>
      <w:r w:rsidR="00583F2A" w:rsidRPr="00B06019">
        <w:rPr>
          <w:rFonts w:eastAsiaTheme="minorEastAsia"/>
          <w:sz w:val="20"/>
          <w:szCs w:val="20"/>
        </w:rPr>
        <w:t xml:space="preserve">= </w:t>
      </w:r>
      <w:r w:rsidRPr="00B06019">
        <w:rPr>
          <w:rFonts w:eastAsiaTheme="minorEastAsia"/>
          <w:color w:val="0000FF"/>
          <w:sz w:val="20"/>
          <w:szCs w:val="20"/>
          <w:u w:val="single"/>
        </w:rPr>
        <w:t>Biogenic carbon</w:t>
      </w:r>
      <w:r w:rsidR="00A3386B" w:rsidRPr="00B06019">
        <w:rPr>
          <w:rFonts w:eastAsiaTheme="minorEastAsia"/>
          <w:color w:val="0000FF"/>
          <w:sz w:val="20"/>
          <w:szCs w:val="20"/>
          <w:u w:val="single"/>
        </w:rPr>
        <w:t xml:space="preserve"> </w:t>
      </w:r>
      <w:r w:rsidR="00583F2A" w:rsidRPr="00B06019">
        <w:rPr>
          <w:rFonts w:eastAsiaTheme="minorEastAsia"/>
          <w:strike/>
          <w:color w:val="FF0000"/>
          <w:sz w:val="20"/>
          <w:szCs w:val="20"/>
        </w:rPr>
        <w:t>Carbon</w:t>
      </w:r>
      <w:r w:rsidR="00583F2A" w:rsidRPr="00B06019">
        <w:rPr>
          <w:rFonts w:eastAsiaTheme="minorEastAsia"/>
          <w:color w:val="FF0000"/>
          <w:sz w:val="20"/>
          <w:szCs w:val="20"/>
        </w:rPr>
        <w:t xml:space="preserve"> </w:t>
      </w:r>
      <w:r w:rsidR="00583F2A" w:rsidRPr="00B06019">
        <w:rPr>
          <w:rFonts w:eastAsiaTheme="minorEastAsia"/>
          <w:sz w:val="20"/>
          <w:szCs w:val="20"/>
        </w:rPr>
        <w:t xml:space="preserve">storage for a project-specific quantity of a </w:t>
      </w:r>
      <w:r w:rsidR="00A3386B" w:rsidRPr="00B06019">
        <w:rPr>
          <w:rFonts w:eastAsiaTheme="minorEastAsia"/>
          <w:color w:val="0000FF"/>
          <w:sz w:val="20"/>
          <w:szCs w:val="20"/>
          <w:u w:val="single"/>
        </w:rPr>
        <w:t xml:space="preserve">biobased </w:t>
      </w:r>
      <w:r w:rsidR="00583F2A" w:rsidRPr="00B06019">
        <w:rPr>
          <w:rFonts w:eastAsiaTheme="minorEastAsia"/>
          <w:i/>
          <w:sz w:val="20"/>
          <w:szCs w:val="20"/>
        </w:rPr>
        <w:t>building product</w:t>
      </w:r>
      <w:r w:rsidR="00583F2A" w:rsidRPr="00B06019">
        <w:rPr>
          <w:rFonts w:eastAsiaTheme="minorEastAsia"/>
          <w:sz w:val="20"/>
          <w:szCs w:val="20"/>
        </w:rPr>
        <w:t xml:space="preserve"> for life cycle modules A1-A3 (kg</w:t>
      </w:r>
      <w:r w:rsidR="00A3386B" w:rsidRPr="00B06019">
        <w:rPr>
          <w:rFonts w:eastAsiaTheme="minorEastAsia"/>
          <w:sz w:val="20"/>
          <w:szCs w:val="20"/>
        </w:rPr>
        <w:t xml:space="preserve"> </w:t>
      </w:r>
      <w:r w:rsidR="00A3386B" w:rsidRPr="00B06019">
        <w:rPr>
          <w:rFonts w:eastAsiaTheme="minorEastAsia"/>
          <w:color w:val="0000FF"/>
          <w:sz w:val="20"/>
          <w:szCs w:val="20"/>
          <w:u w:val="single"/>
        </w:rPr>
        <w:t>CO</w:t>
      </w:r>
      <w:r w:rsidR="00A3386B" w:rsidRPr="00B06019">
        <w:rPr>
          <w:rFonts w:eastAsiaTheme="minorEastAsia"/>
          <w:color w:val="0000FF"/>
          <w:sz w:val="20"/>
          <w:szCs w:val="20"/>
          <w:u w:val="single"/>
          <w:vertAlign w:val="subscript"/>
        </w:rPr>
        <w:t>2</w:t>
      </w:r>
      <w:r w:rsidR="00583F2A" w:rsidRPr="00B06019">
        <w:rPr>
          <w:rFonts w:eastAsiaTheme="minorEastAsia"/>
          <w:sz w:val="20"/>
          <w:szCs w:val="20"/>
        </w:rPr>
        <w:t xml:space="preserve"> </w:t>
      </w:r>
      <w:r w:rsidR="00583F2A" w:rsidRPr="00B06019">
        <w:rPr>
          <w:rFonts w:eastAsiaTheme="minorEastAsia"/>
          <w:strike/>
          <w:color w:val="FF0000"/>
          <w:sz w:val="20"/>
          <w:szCs w:val="20"/>
        </w:rPr>
        <w:t>CO2</w:t>
      </w:r>
      <w:r w:rsidR="00583F2A" w:rsidRPr="00B06019">
        <w:rPr>
          <w:rFonts w:eastAsiaTheme="minorEastAsia"/>
          <w:sz w:val="20"/>
          <w:szCs w:val="20"/>
        </w:rPr>
        <w:t>)</w:t>
      </w:r>
    </w:p>
    <w:p w14:paraId="7F5F6272" w14:textId="244178AA" w:rsidR="00583F2A" w:rsidRPr="00E71B09" w:rsidRDefault="00583F2A" w:rsidP="00C14E00">
      <w:pPr>
        <w:ind w:left="720"/>
        <w:rPr>
          <w:rFonts w:eastAsiaTheme="minorEastAsia"/>
          <w:sz w:val="20"/>
          <w:szCs w:val="20"/>
        </w:rPr>
      </w:pPr>
      <w:r w:rsidRPr="00B06019">
        <w:rPr>
          <w:rFonts w:eastAsiaTheme="minorEastAsia"/>
          <w:sz w:val="20"/>
          <w:szCs w:val="20"/>
        </w:rPr>
        <w:t xml:space="preserve">Material Quantity = Total quantity of product </w:t>
      </w:r>
      <w:r w:rsidR="005D2BAB" w:rsidRPr="005D2BAB">
        <w:rPr>
          <w:rFonts w:eastAsiaTheme="minorEastAsia"/>
          <w:color w:val="0000FF"/>
          <w:sz w:val="20"/>
          <w:szCs w:val="20"/>
          <w:u w:val="single"/>
        </w:rPr>
        <w:t>(kg)</w:t>
      </w:r>
      <w:r w:rsidR="00A4354D">
        <w:rPr>
          <w:rFonts w:eastAsiaTheme="minorEastAsia"/>
          <w:color w:val="0000FF"/>
          <w:sz w:val="20"/>
          <w:szCs w:val="20"/>
          <w:u w:val="single"/>
        </w:rPr>
        <w:t>,</w:t>
      </w:r>
      <w:r w:rsidR="005D2BAB" w:rsidRPr="005D2BAB">
        <w:rPr>
          <w:rFonts w:eastAsiaTheme="minorEastAsia"/>
          <w:color w:val="0000FF"/>
          <w:sz w:val="20"/>
          <w:szCs w:val="20"/>
          <w:u w:val="single"/>
        </w:rPr>
        <w:t xml:space="preserve"> </w:t>
      </w:r>
      <w:r w:rsidRPr="00B06019">
        <w:rPr>
          <w:rFonts w:eastAsiaTheme="minorEastAsia"/>
          <w:sz w:val="20"/>
          <w:szCs w:val="20"/>
        </w:rPr>
        <w:t>calculated as per Tables 10.1.1 and 10.1.5</w:t>
      </w:r>
      <w:r w:rsidR="00E71B09">
        <w:rPr>
          <w:rFonts w:eastAsiaTheme="minorEastAsia"/>
          <w:color w:val="0000FF"/>
          <w:sz w:val="20"/>
          <w:szCs w:val="20"/>
          <w:u w:val="single"/>
        </w:rPr>
        <w:t>. If the quantity is calculated in volumetric units (m</w:t>
      </w:r>
      <w:r w:rsidR="00E71B09" w:rsidRPr="002E3A70">
        <w:rPr>
          <w:rFonts w:eastAsiaTheme="minorEastAsia"/>
          <w:color w:val="0000FF"/>
          <w:sz w:val="20"/>
          <w:szCs w:val="20"/>
          <w:u w:val="single"/>
          <w:vertAlign w:val="superscript"/>
        </w:rPr>
        <w:t>3</w:t>
      </w:r>
      <w:r w:rsidR="00E71B09">
        <w:rPr>
          <w:rFonts w:eastAsiaTheme="minorEastAsia"/>
          <w:color w:val="0000FF"/>
          <w:sz w:val="20"/>
          <w:szCs w:val="20"/>
          <w:u w:val="single"/>
        </w:rPr>
        <w:t xml:space="preserve">), it must be converted to mass using the appropriate </w:t>
      </w:r>
      <w:r w:rsidR="002E3A70">
        <w:rPr>
          <w:rFonts w:eastAsiaTheme="minorEastAsia"/>
          <w:color w:val="0000FF"/>
          <w:sz w:val="20"/>
          <w:szCs w:val="20"/>
          <w:u w:val="single"/>
        </w:rPr>
        <w:t>dry or in-use condition</w:t>
      </w:r>
      <w:r w:rsidR="00E71B09">
        <w:rPr>
          <w:rFonts w:eastAsiaTheme="minorEastAsia"/>
          <w:color w:val="0000FF"/>
          <w:sz w:val="20"/>
          <w:szCs w:val="20"/>
          <w:u w:val="single"/>
        </w:rPr>
        <w:t xml:space="preserve"> density</w:t>
      </w:r>
      <w:r w:rsidR="00275C08">
        <w:rPr>
          <w:rFonts w:eastAsiaTheme="minorEastAsia"/>
          <w:color w:val="0000FF"/>
          <w:sz w:val="20"/>
          <w:szCs w:val="20"/>
          <w:u w:val="single"/>
        </w:rPr>
        <w:t xml:space="preserve"> of the product as reported in the EPD or technical documentation</w:t>
      </w:r>
      <w:r w:rsidR="002E3A70">
        <w:rPr>
          <w:rFonts w:eastAsiaTheme="minorEastAsia"/>
          <w:color w:val="0000FF"/>
          <w:sz w:val="20"/>
          <w:szCs w:val="20"/>
          <w:u w:val="single"/>
        </w:rPr>
        <w:t>.</w:t>
      </w:r>
    </w:p>
    <w:p w14:paraId="3C6FA7D0" w14:textId="18D808C2" w:rsidR="00FB2711" w:rsidRPr="00B06019" w:rsidRDefault="00FB2711" w:rsidP="00C14E00">
      <w:pPr>
        <w:ind w:left="720"/>
        <w:rPr>
          <w:rFonts w:eastAsiaTheme="minorEastAsia"/>
          <w:color w:val="0000FF"/>
          <w:sz w:val="20"/>
          <w:szCs w:val="20"/>
          <w:u w:val="single"/>
        </w:rPr>
      </w:pPr>
      <w:r w:rsidRPr="00B06019">
        <w:rPr>
          <w:rFonts w:eastAsiaTheme="minorEastAsia"/>
          <w:color w:val="0000FF"/>
          <w:sz w:val="20"/>
          <w:szCs w:val="20"/>
          <w:u w:val="single"/>
        </w:rPr>
        <w:t xml:space="preserve">Carbon Content = </w:t>
      </w:r>
      <w:r w:rsidR="00E649FD">
        <w:rPr>
          <w:rFonts w:eastAsiaTheme="minorEastAsia"/>
          <w:color w:val="0000FF"/>
          <w:sz w:val="20"/>
          <w:szCs w:val="20"/>
          <w:u w:val="single"/>
        </w:rPr>
        <w:t xml:space="preserve">Fraction of the product’s mass that is elemental carbon </w:t>
      </w:r>
    </w:p>
    <w:p w14:paraId="05208596" w14:textId="242A3595" w:rsidR="00D76622" w:rsidRPr="001B2FBB" w:rsidRDefault="00FB2711" w:rsidP="00275C08">
      <w:pPr>
        <w:ind w:left="720"/>
        <w:rPr>
          <w:rFonts w:eastAsiaTheme="minorEastAsia"/>
          <w:color w:val="0000FF"/>
          <w:sz w:val="20"/>
          <w:szCs w:val="20"/>
          <w:u w:val="single"/>
        </w:rPr>
      </w:pPr>
      <w:r w:rsidRPr="00B06019">
        <w:rPr>
          <w:rFonts w:eastAsiaTheme="minorEastAsia"/>
          <w:color w:val="0000FF"/>
          <w:sz w:val="20"/>
          <w:szCs w:val="20"/>
          <w:u w:val="single"/>
        </w:rPr>
        <w:t xml:space="preserve">3.67 = Molar mass conversion factor from carbon </w:t>
      </w:r>
      <w:r w:rsidR="006A7527">
        <w:rPr>
          <w:rFonts w:eastAsiaTheme="minorEastAsia"/>
          <w:color w:val="0000FF"/>
          <w:sz w:val="20"/>
          <w:szCs w:val="20"/>
          <w:u w:val="single"/>
        </w:rPr>
        <w:t>(C)</w:t>
      </w:r>
      <w:r w:rsidRPr="00B06019">
        <w:rPr>
          <w:rFonts w:eastAsiaTheme="minorEastAsia"/>
          <w:color w:val="0000FF"/>
          <w:sz w:val="20"/>
          <w:szCs w:val="20"/>
          <w:u w:val="single"/>
        </w:rPr>
        <w:t xml:space="preserve"> to</w:t>
      </w:r>
      <w:r w:rsidR="006A7527">
        <w:rPr>
          <w:rFonts w:eastAsiaTheme="minorEastAsia"/>
          <w:color w:val="0000FF"/>
          <w:sz w:val="20"/>
          <w:szCs w:val="20"/>
          <w:u w:val="single"/>
        </w:rPr>
        <w:t xml:space="preserve"> carbon dioxide</w:t>
      </w:r>
      <w:r w:rsidRPr="00B06019">
        <w:rPr>
          <w:rFonts w:eastAsiaTheme="minorEastAsia"/>
          <w:color w:val="0000FF"/>
          <w:sz w:val="20"/>
          <w:szCs w:val="20"/>
          <w:u w:val="single"/>
        </w:rPr>
        <w:t xml:space="preserve"> </w:t>
      </w:r>
      <w:r w:rsidR="006A7527">
        <w:rPr>
          <w:rFonts w:eastAsiaTheme="minorEastAsia"/>
          <w:color w:val="0000FF"/>
          <w:sz w:val="20"/>
          <w:szCs w:val="20"/>
          <w:u w:val="single"/>
        </w:rPr>
        <w:t>(</w:t>
      </w:r>
      <w:r w:rsidRPr="00B06019">
        <w:rPr>
          <w:rFonts w:eastAsiaTheme="minorEastAsia"/>
          <w:color w:val="0000FF"/>
          <w:sz w:val="20"/>
          <w:szCs w:val="20"/>
          <w:u w:val="single"/>
        </w:rPr>
        <w:t>CO</w:t>
      </w:r>
      <w:r w:rsidRPr="00E649FD">
        <w:rPr>
          <w:rFonts w:eastAsiaTheme="minorEastAsia"/>
          <w:color w:val="0000FF"/>
          <w:sz w:val="20"/>
          <w:szCs w:val="20"/>
          <w:u w:val="single"/>
          <w:vertAlign w:val="subscript"/>
        </w:rPr>
        <w:t>2</w:t>
      </w:r>
      <w:r w:rsidR="006A7527">
        <w:rPr>
          <w:rFonts w:eastAsiaTheme="minorEastAsia"/>
          <w:color w:val="0000FF"/>
          <w:sz w:val="20"/>
          <w:szCs w:val="20"/>
          <w:u w:val="single"/>
        </w:rPr>
        <w:t xml:space="preserve">) </w:t>
      </w:r>
      <w:r w:rsidRPr="00B06019">
        <w:rPr>
          <w:rFonts w:eastAsiaTheme="minorEastAsia"/>
          <w:color w:val="0000FF"/>
          <w:sz w:val="20"/>
          <w:szCs w:val="20"/>
          <w:u w:val="single"/>
        </w:rPr>
        <w:t>content</w:t>
      </w:r>
      <w:r w:rsidR="006A7527">
        <w:rPr>
          <w:rFonts w:eastAsiaTheme="minorEastAsia"/>
          <w:color w:val="0000FF"/>
          <w:sz w:val="20"/>
          <w:szCs w:val="20"/>
          <w:u w:val="single"/>
        </w:rPr>
        <w:t>, based on 44/12</w:t>
      </w:r>
    </w:p>
    <w:p w14:paraId="0950A80E" w14:textId="77777777" w:rsidR="00583F2A" w:rsidRPr="00B06019" w:rsidRDefault="00583F2A" w:rsidP="00583F2A">
      <w:pPr>
        <w:ind w:left="720"/>
        <w:rPr>
          <w:rFonts w:eastAsiaTheme="minorEastAsia"/>
          <w:strike/>
          <w:color w:val="FF0000"/>
          <w:sz w:val="20"/>
          <w:szCs w:val="20"/>
        </w:rPr>
      </w:pPr>
      <w:r w:rsidRPr="00B06019">
        <w:rPr>
          <w:rFonts w:eastAsiaTheme="minorEastAsia"/>
          <w:strike/>
          <w:color w:val="FF0000"/>
          <w:sz w:val="20"/>
          <w:szCs w:val="20"/>
        </w:rPr>
        <w:t>GWP</w:t>
      </w:r>
      <w:r w:rsidRPr="00B06019">
        <w:rPr>
          <w:rFonts w:eastAsiaTheme="minorEastAsia"/>
          <w:strike/>
          <w:color w:val="FF0000"/>
          <w:sz w:val="20"/>
          <w:szCs w:val="20"/>
          <w:vertAlign w:val="subscript"/>
        </w:rPr>
        <w:t>biogenic</w:t>
      </w:r>
      <w:r w:rsidRPr="00B06019">
        <w:rPr>
          <w:rFonts w:eastAsiaTheme="minorEastAsia"/>
          <w:strike/>
          <w:color w:val="FF0000"/>
          <w:sz w:val="20"/>
          <w:szCs w:val="20"/>
        </w:rPr>
        <w:t xml:space="preserve"> = </w:t>
      </w:r>
      <w:r w:rsidRPr="00B06019">
        <w:rPr>
          <w:rFonts w:eastAsiaTheme="minorEastAsia"/>
          <w:i/>
          <w:iCs/>
          <w:strike/>
          <w:color w:val="FF0000"/>
          <w:sz w:val="20"/>
          <w:szCs w:val="20"/>
        </w:rPr>
        <w:t>Biogenic carbon</w:t>
      </w:r>
      <w:r w:rsidRPr="00B06019">
        <w:rPr>
          <w:rFonts w:eastAsiaTheme="minorEastAsia"/>
          <w:strike/>
          <w:color w:val="FF0000"/>
          <w:sz w:val="20"/>
          <w:szCs w:val="20"/>
        </w:rPr>
        <w:t xml:space="preserve"> or carbonation associated with a </w:t>
      </w:r>
      <w:r w:rsidRPr="00B06019">
        <w:rPr>
          <w:rFonts w:eastAsiaTheme="minorEastAsia"/>
          <w:i/>
          <w:iCs/>
          <w:strike/>
          <w:color w:val="FF0000"/>
          <w:sz w:val="20"/>
          <w:szCs w:val="20"/>
        </w:rPr>
        <w:t>building product</w:t>
      </w:r>
      <w:r w:rsidRPr="00B06019">
        <w:rPr>
          <w:rFonts w:eastAsiaTheme="minorEastAsia"/>
          <w:strike/>
          <w:color w:val="FF0000"/>
          <w:sz w:val="20"/>
          <w:szCs w:val="20"/>
        </w:rPr>
        <w:t xml:space="preserve"> for life cycle modules A1-A3 based on a data source selected according to Table 5.3.2. If the relevant data source does not include a GWP</w:t>
      </w:r>
      <w:r w:rsidRPr="00B06019">
        <w:rPr>
          <w:rFonts w:eastAsiaTheme="minorEastAsia"/>
          <w:strike/>
          <w:color w:val="FF0000"/>
          <w:sz w:val="20"/>
          <w:szCs w:val="20"/>
          <w:vertAlign w:val="subscript"/>
        </w:rPr>
        <w:t>biogenic</w:t>
      </w:r>
      <w:r w:rsidRPr="00B06019">
        <w:rPr>
          <w:rFonts w:eastAsiaTheme="minorEastAsia"/>
          <w:strike/>
          <w:color w:val="FF0000"/>
          <w:sz w:val="20"/>
          <w:szCs w:val="20"/>
        </w:rPr>
        <w:t xml:space="preserve"> factor, the GWP</w:t>
      </w:r>
      <w:r w:rsidRPr="00B06019">
        <w:rPr>
          <w:rFonts w:eastAsiaTheme="minorEastAsia"/>
          <w:strike/>
          <w:color w:val="FF0000"/>
          <w:sz w:val="20"/>
          <w:szCs w:val="20"/>
          <w:vertAlign w:val="subscript"/>
        </w:rPr>
        <w:t>biogenic</w:t>
      </w:r>
      <w:r w:rsidRPr="00B06019">
        <w:rPr>
          <w:rFonts w:eastAsiaTheme="minorEastAsia"/>
          <w:strike/>
          <w:color w:val="FF0000"/>
          <w:sz w:val="20"/>
          <w:szCs w:val="20"/>
        </w:rPr>
        <w:t xml:space="preserve"> factor shall be calculated as follows:</w:t>
      </w:r>
    </w:p>
    <w:p w14:paraId="764BCAAB" w14:textId="77777777" w:rsidR="00583F2A" w:rsidRPr="00B06019" w:rsidRDefault="00583F2A" w:rsidP="00583F2A">
      <w:pPr>
        <w:ind w:left="1440"/>
        <w:rPr>
          <w:rFonts w:eastAsiaTheme="minorEastAsia"/>
          <w:b/>
          <w:bCs/>
          <w:strike/>
          <w:color w:val="FF0000"/>
          <w:sz w:val="20"/>
          <w:szCs w:val="20"/>
        </w:rPr>
      </w:pPr>
      <w:r w:rsidRPr="00B06019">
        <w:rPr>
          <w:rFonts w:eastAsiaTheme="minorEastAsia"/>
          <w:b/>
          <w:bCs/>
          <w:strike/>
          <w:color w:val="FF0000"/>
          <w:sz w:val="20"/>
          <w:szCs w:val="20"/>
        </w:rPr>
        <w:t>GWP</w:t>
      </w:r>
      <w:r w:rsidRPr="00B06019">
        <w:rPr>
          <w:rFonts w:eastAsiaTheme="minorEastAsia"/>
          <w:b/>
          <w:bCs/>
          <w:strike/>
          <w:color w:val="FF0000"/>
          <w:sz w:val="20"/>
          <w:szCs w:val="20"/>
          <w:vertAlign w:val="subscript"/>
        </w:rPr>
        <w:t>biogenic</w:t>
      </w:r>
      <w:r w:rsidRPr="00B06019">
        <w:rPr>
          <w:rFonts w:eastAsiaTheme="minorEastAsia"/>
          <w:b/>
          <w:bCs/>
          <w:strike/>
          <w:color w:val="FF0000"/>
          <w:sz w:val="20"/>
          <w:szCs w:val="20"/>
        </w:rPr>
        <w:t xml:space="preserve"> = Material Quantity (mass) x Carbon Content x 3.67</w:t>
      </w:r>
    </w:p>
    <w:p w14:paraId="54AAFB0E" w14:textId="77777777" w:rsidR="00583F2A" w:rsidRPr="00B06019" w:rsidRDefault="00583F2A" w:rsidP="00583F2A">
      <w:pPr>
        <w:ind w:left="1440"/>
        <w:rPr>
          <w:rFonts w:eastAsiaTheme="minorEastAsia"/>
          <w:strike/>
          <w:color w:val="FF0000"/>
          <w:sz w:val="20"/>
          <w:szCs w:val="20"/>
        </w:rPr>
      </w:pPr>
      <w:r w:rsidRPr="00B06019">
        <w:rPr>
          <w:rFonts w:eastAsiaTheme="minorEastAsia"/>
          <w:strike/>
          <w:color w:val="FF0000"/>
          <w:sz w:val="20"/>
          <w:szCs w:val="20"/>
        </w:rPr>
        <w:t>Where:</w:t>
      </w:r>
    </w:p>
    <w:p w14:paraId="3E6E2885" w14:textId="77777777" w:rsidR="00583F2A" w:rsidRPr="00B06019" w:rsidRDefault="00583F2A" w:rsidP="00583F2A">
      <w:pPr>
        <w:spacing w:after="0"/>
        <w:ind w:left="2160"/>
        <w:rPr>
          <w:rFonts w:eastAsiaTheme="minorEastAsia"/>
          <w:strike/>
          <w:color w:val="FF0000"/>
          <w:sz w:val="20"/>
          <w:szCs w:val="20"/>
        </w:rPr>
      </w:pPr>
      <w:r w:rsidRPr="00B06019">
        <w:rPr>
          <w:rFonts w:eastAsiaTheme="minorEastAsia"/>
          <w:strike/>
          <w:color w:val="FF0000"/>
          <w:sz w:val="20"/>
          <w:szCs w:val="20"/>
        </w:rPr>
        <w:t>GWP</w:t>
      </w:r>
      <w:r w:rsidRPr="00B06019">
        <w:rPr>
          <w:rFonts w:eastAsiaTheme="minorEastAsia"/>
          <w:strike/>
          <w:color w:val="FF0000"/>
          <w:sz w:val="20"/>
          <w:szCs w:val="20"/>
          <w:vertAlign w:val="subscript"/>
        </w:rPr>
        <w:t>biogenic</w:t>
      </w:r>
      <w:r w:rsidRPr="00B06019">
        <w:rPr>
          <w:rFonts w:eastAsiaTheme="minorEastAsia"/>
          <w:strike/>
          <w:color w:val="FF0000"/>
          <w:sz w:val="20"/>
          <w:szCs w:val="20"/>
        </w:rPr>
        <w:t xml:space="preserve"> = Mass of atmospheric </w:t>
      </w:r>
      <w:r w:rsidRPr="00B06019">
        <w:rPr>
          <w:rFonts w:eastAsiaTheme="minorEastAsia"/>
          <w:i/>
          <w:iCs/>
          <w:strike/>
          <w:color w:val="FF0000"/>
          <w:sz w:val="20"/>
          <w:szCs w:val="20"/>
        </w:rPr>
        <w:t>carbon dioxide</w:t>
      </w:r>
      <w:r w:rsidRPr="00B06019">
        <w:rPr>
          <w:rFonts w:eastAsiaTheme="minorEastAsia"/>
          <w:strike/>
          <w:color w:val="FF0000"/>
          <w:sz w:val="20"/>
          <w:szCs w:val="20"/>
        </w:rPr>
        <w:t xml:space="preserve"> stored in the product</w:t>
      </w:r>
    </w:p>
    <w:p w14:paraId="23154764" w14:textId="77777777" w:rsidR="00583F2A" w:rsidRPr="00B06019" w:rsidRDefault="00583F2A" w:rsidP="00583F2A">
      <w:pPr>
        <w:spacing w:after="0"/>
        <w:ind w:left="2160"/>
        <w:rPr>
          <w:rFonts w:eastAsiaTheme="minorEastAsia"/>
          <w:strike/>
          <w:color w:val="FF0000"/>
          <w:sz w:val="20"/>
          <w:szCs w:val="20"/>
        </w:rPr>
      </w:pPr>
      <w:r w:rsidRPr="00B06019">
        <w:rPr>
          <w:rFonts w:eastAsiaTheme="minorEastAsia"/>
          <w:strike/>
          <w:color w:val="FF0000"/>
          <w:sz w:val="20"/>
          <w:szCs w:val="20"/>
        </w:rPr>
        <w:t>Material Quantity = Mass of product calculated as per Tables 10.1.1 and 10.1.5</w:t>
      </w:r>
    </w:p>
    <w:p w14:paraId="02608F57" w14:textId="77777777" w:rsidR="00583F2A" w:rsidRPr="00B06019" w:rsidRDefault="00583F2A" w:rsidP="00583F2A">
      <w:pPr>
        <w:spacing w:after="0"/>
        <w:ind w:left="2160"/>
        <w:rPr>
          <w:rFonts w:eastAsiaTheme="minorEastAsia"/>
          <w:strike/>
          <w:color w:val="FF0000"/>
          <w:sz w:val="20"/>
          <w:szCs w:val="20"/>
        </w:rPr>
      </w:pPr>
      <w:r w:rsidRPr="00B06019">
        <w:rPr>
          <w:rFonts w:eastAsiaTheme="minorEastAsia"/>
          <w:strike/>
          <w:color w:val="FF0000"/>
          <w:sz w:val="20"/>
          <w:szCs w:val="20"/>
        </w:rPr>
        <w:t>Carbon Content = Percentage of product mass represented by carbon content x Carbon content of feedstock material</w:t>
      </w:r>
    </w:p>
    <w:p w14:paraId="4D679F12" w14:textId="77777777" w:rsidR="00583F2A" w:rsidRPr="00B06019" w:rsidRDefault="00583F2A" w:rsidP="00583F2A">
      <w:pPr>
        <w:ind w:left="2160"/>
        <w:rPr>
          <w:rFonts w:eastAsiaTheme="minorEastAsia"/>
          <w:strike/>
          <w:color w:val="FF0000"/>
          <w:sz w:val="20"/>
          <w:szCs w:val="20"/>
        </w:rPr>
      </w:pPr>
      <w:r w:rsidRPr="00B06019">
        <w:rPr>
          <w:rFonts w:eastAsiaTheme="minorEastAsia"/>
          <w:strike/>
          <w:color w:val="FF0000"/>
          <w:sz w:val="20"/>
          <w:szCs w:val="20"/>
        </w:rPr>
        <w:t>3.67 = Molar mass conversion factor from carbon content to CO2 content</w:t>
      </w:r>
    </w:p>
    <w:p w14:paraId="1E79234B" w14:textId="66AA35BF" w:rsidR="001B2FBB" w:rsidRPr="0028120A" w:rsidRDefault="001B2FBB" w:rsidP="00BA7E6E">
      <w:pPr>
        <w:rPr>
          <w:rFonts w:eastAsiaTheme="minorEastAsia"/>
          <w:b/>
          <w:bCs/>
          <w:color w:val="0000FF"/>
          <w:sz w:val="20"/>
          <w:szCs w:val="20"/>
          <w:u w:val="single"/>
        </w:rPr>
      </w:pPr>
      <w:r w:rsidRPr="0028120A">
        <w:rPr>
          <w:rFonts w:eastAsiaTheme="minorEastAsia"/>
          <w:b/>
          <w:bCs/>
          <w:color w:val="0000FF"/>
          <w:sz w:val="20"/>
          <w:szCs w:val="20"/>
          <w:u w:val="single"/>
        </w:rPr>
        <w:t>CS</w:t>
      </w:r>
      <w:r w:rsidRPr="0028120A">
        <w:rPr>
          <w:rFonts w:eastAsiaTheme="minorEastAsia"/>
          <w:b/>
          <w:bCs/>
          <w:color w:val="0000FF"/>
          <w:sz w:val="20"/>
          <w:szCs w:val="20"/>
          <w:u w:val="single"/>
          <w:vertAlign w:val="subscript"/>
        </w:rPr>
        <w:t>carb-product</w:t>
      </w:r>
      <w:r w:rsidRPr="0028120A">
        <w:rPr>
          <w:rFonts w:eastAsiaTheme="minorEastAsia"/>
          <w:b/>
          <w:bCs/>
          <w:color w:val="0000FF"/>
          <w:sz w:val="20"/>
          <w:szCs w:val="20"/>
          <w:u w:val="single"/>
        </w:rPr>
        <w:t xml:space="preserve"> = Material Quantity x Carbonation</w:t>
      </w:r>
      <w:r w:rsidR="0056439E">
        <w:rPr>
          <w:rFonts w:eastAsiaTheme="minorEastAsia"/>
          <w:b/>
          <w:bCs/>
          <w:color w:val="0000FF"/>
          <w:sz w:val="20"/>
          <w:szCs w:val="20"/>
          <w:u w:val="single"/>
        </w:rPr>
        <w:t xml:space="preserve"> Factor</w:t>
      </w:r>
    </w:p>
    <w:p w14:paraId="284BB403" w14:textId="77777777" w:rsidR="001B2FBB" w:rsidRPr="0028120A" w:rsidRDefault="001B2FBB" w:rsidP="001B2FBB">
      <w:pPr>
        <w:rPr>
          <w:rFonts w:eastAsiaTheme="minorEastAsia"/>
          <w:color w:val="0000FF"/>
          <w:sz w:val="20"/>
          <w:szCs w:val="20"/>
          <w:u w:val="single"/>
        </w:rPr>
      </w:pPr>
      <w:r w:rsidRPr="0028120A">
        <w:rPr>
          <w:rFonts w:eastAsiaTheme="minorEastAsia"/>
          <w:color w:val="0000FF"/>
          <w:sz w:val="20"/>
          <w:szCs w:val="20"/>
          <w:u w:val="single"/>
        </w:rPr>
        <w:t>Where:</w:t>
      </w:r>
    </w:p>
    <w:p w14:paraId="7B45A0AB" w14:textId="4AEB692A" w:rsidR="001B2FBB" w:rsidRPr="0028120A" w:rsidRDefault="001B2FBB" w:rsidP="00FC7A89">
      <w:pPr>
        <w:ind w:left="720"/>
        <w:rPr>
          <w:rFonts w:eastAsiaTheme="minorEastAsia"/>
          <w:color w:val="0000FF"/>
          <w:sz w:val="20"/>
          <w:szCs w:val="20"/>
          <w:u w:val="single"/>
        </w:rPr>
      </w:pPr>
      <w:r w:rsidRPr="0028120A">
        <w:rPr>
          <w:rFonts w:eastAsiaTheme="minorEastAsia"/>
          <w:color w:val="0000FF"/>
          <w:sz w:val="20"/>
          <w:szCs w:val="20"/>
          <w:u w:val="single"/>
        </w:rPr>
        <w:t>CS</w:t>
      </w:r>
      <w:r w:rsidR="005F268C" w:rsidRPr="0028120A">
        <w:rPr>
          <w:rFonts w:eastAsiaTheme="minorEastAsia"/>
          <w:color w:val="0000FF"/>
          <w:sz w:val="20"/>
          <w:szCs w:val="20"/>
          <w:u w:val="single"/>
          <w:vertAlign w:val="subscript"/>
        </w:rPr>
        <w:t>carb</w:t>
      </w:r>
      <w:r w:rsidRPr="0028120A">
        <w:rPr>
          <w:rFonts w:eastAsiaTheme="minorEastAsia"/>
          <w:color w:val="0000FF"/>
          <w:sz w:val="20"/>
          <w:szCs w:val="20"/>
          <w:u w:val="single"/>
          <w:vertAlign w:val="subscript"/>
        </w:rPr>
        <w:t>-product</w:t>
      </w:r>
      <w:r w:rsidRPr="0028120A">
        <w:rPr>
          <w:rFonts w:eastAsiaTheme="minorEastAsia"/>
          <w:b/>
          <w:bCs/>
          <w:color w:val="0000FF"/>
          <w:sz w:val="20"/>
          <w:szCs w:val="20"/>
          <w:u w:val="single"/>
        </w:rPr>
        <w:t xml:space="preserve"> </w:t>
      </w:r>
      <w:r w:rsidRPr="0028120A">
        <w:rPr>
          <w:rFonts w:eastAsiaTheme="minorEastAsia"/>
          <w:color w:val="0000FF"/>
          <w:sz w:val="20"/>
          <w:szCs w:val="20"/>
          <w:u w:val="single"/>
        </w:rPr>
        <w:t xml:space="preserve">= </w:t>
      </w:r>
      <w:r w:rsidR="005F268C" w:rsidRPr="0028120A">
        <w:rPr>
          <w:rFonts w:eastAsiaTheme="minorEastAsia"/>
          <w:color w:val="0000FF"/>
          <w:sz w:val="20"/>
          <w:szCs w:val="20"/>
          <w:u w:val="single"/>
        </w:rPr>
        <w:t>C</w:t>
      </w:r>
      <w:r w:rsidRPr="0028120A">
        <w:rPr>
          <w:rFonts w:eastAsiaTheme="minorEastAsia"/>
          <w:color w:val="0000FF"/>
          <w:sz w:val="20"/>
          <w:szCs w:val="20"/>
          <w:u w:val="single"/>
        </w:rPr>
        <w:t>arbon</w:t>
      </w:r>
      <w:r w:rsidR="005F268C" w:rsidRPr="0028120A">
        <w:rPr>
          <w:rFonts w:eastAsiaTheme="minorEastAsia"/>
          <w:color w:val="0000FF"/>
          <w:sz w:val="20"/>
          <w:szCs w:val="20"/>
          <w:u w:val="single"/>
        </w:rPr>
        <w:t>ation</w:t>
      </w:r>
      <w:r w:rsidR="004E53A8">
        <w:rPr>
          <w:rFonts w:eastAsiaTheme="minorEastAsia"/>
          <w:color w:val="0000FF"/>
          <w:sz w:val="20"/>
          <w:szCs w:val="20"/>
          <w:u w:val="single"/>
        </w:rPr>
        <w:t>-based</w:t>
      </w:r>
      <w:r w:rsidRPr="0028120A">
        <w:rPr>
          <w:rFonts w:eastAsiaTheme="minorEastAsia"/>
          <w:color w:val="0000FF"/>
          <w:sz w:val="20"/>
          <w:szCs w:val="20"/>
          <w:u w:val="single"/>
        </w:rPr>
        <w:t xml:space="preserve"> storage for a project-specific quantity of a </w:t>
      </w:r>
      <w:r w:rsidR="005F268C" w:rsidRPr="0028120A">
        <w:rPr>
          <w:rFonts w:eastAsiaTheme="minorEastAsia"/>
          <w:color w:val="0000FF"/>
          <w:sz w:val="20"/>
          <w:szCs w:val="20"/>
          <w:u w:val="single"/>
        </w:rPr>
        <w:t>concrete</w:t>
      </w:r>
      <w:r w:rsidRPr="0028120A">
        <w:rPr>
          <w:rFonts w:eastAsiaTheme="minorEastAsia"/>
          <w:color w:val="0000FF"/>
          <w:sz w:val="20"/>
          <w:szCs w:val="20"/>
          <w:u w:val="single"/>
        </w:rPr>
        <w:t xml:space="preserve"> </w:t>
      </w:r>
      <w:r w:rsidRPr="0028120A">
        <w:rPr>
          <w:rFonts w:eastAsiaTheme="minorEastAsia"/>
          <w:i/>
          <w:color w:val="0000FF"/>
          <w:sz w:val="20"/>
          <w:szCs w:val="20"/>
          <w:u w:val="single"/>
        </w:rPr>
        <w:t>building product</w:t>
      </w:r>
      <w:r w:rsidRPr="0028120A">
        <w:rPr>
          <w:rFonts w:eastAsiaTheme="minorEastAsia"/>
          <w:color w:val="0000FF"/>
          <w:sz w:val="20"/>
          <w:szCs w:val="20"/>
          <w:u w:val="single"/>
        </w:rPr>
        <w:t xml:space="preserve"> for life cycle modules A1-A3 (kg CO</w:t>
      </w:r>
      <w:r w:rsidRPr="0028120A">
        <w:rPr>
          <w:rFonts w:eastAsiaTheme="minorEastAsia"/>
          <w:color w:val="0000FF"/>
          <w:sz w:val="20"/>
          <w:szCs w:val="20"/>
          <w:u w:val="single"/>
          <w:vertAlign w:val="subscript"/>
        </w:rPr>
        <w:t>2</w:t>
      </w:r>
      <w:r w:rsidRPr="0028120A">
        <w:rPr>
          <w:rFonts w:eastAsiaTheme="minorEastAsia"/>
          <w:color w:val="0000FF"/>
          <w:sz w:val="20"/>
          <w:szCs w:val="20"/>
          <w:u w:val="single"/>
        </w:rPr>
        <w:t>)</w:t>
      </w:r>
    </w:p>
    <w:p w14:paraId="3931A832" w14:textId="50E2464B" w:rsidR="001B2FBB" w:rsidRPr="0028120A" w:rsidRDefault="001B2FBB" w:rsidP="00FC7A89">
      <w:pPr>
        <w:ind w:left="720"/>
        <w:rPr>
          <w:rFonts w:eastAsiaTheme="minorEastAsia"/>
          <w:color w:val="0000FF"/>
          <w:sz w:val="20"/>
          <w:szCs w:val="20"/>
          <w:u w:val="single"/>
        </w:rPr>
      </w:pPr>
      <w:r w:rsidRPr="0028120A">
        <w:rPr>
          <w:rFonts w:eastAsiaTheme="minorEastAsia"/>
          <w:color w:val="0000FF"/>
          <w:sz w:val="20"/>
          <w:szCs w:val="20"/>
          <w:u w:val="single"/>
        </w:rPr>
        <w:t xml:space="preserve">Material Quantity = Total quantity of product </w:t>
      </w:r>
      <w:r w:rsidR="00A4354D">
        <w:rPr>
          <w:rFonts w:eastAsiaTheme="minorEastAsia"/>
          <w:color w:val="0000FF"/>
          <w:sz w:val="20"/>
          <w:szCs w:val="20"/>
          <w:u w:val="single"/>
        </w:rPr>
        <w:t>(kg or m</w:t>
      </w:r>
      <w:r w:rsidR="00A4354D" w:rsidRPr="00A4354D">
        <w:rPr>
          <w:rFonts w:eastAsiaTheme="minorEastAsia"/>
          <w:color w:val="0000FF"/>
          <w:sz w:val="20"/>
          <w:szCs w:val="20"/>
          <w:u w:val="single"/>
          <w:vertAlign w:val="superscript"/>
        </w:rPr>
        <w:t>3</w:t>
      </w:r>
      <w:r w:rsidR="00A4354D">
        <w:rPr>
          <w:rFonts w:eastAsiaTheme="minorEastAsia"/>
          <w:color w:val="0000FF"/>
          <w:sz w:val="20"/>
          <w:szCs w:val="20"/>
          <w:u w:val="single"/>
        </w:rPr>
        <w:t xml:space="preserve">), </w:t>
      </w:r>
      <w:r w:rsidRPr="0028120A">
        <w:rPr>
          <w:rFonts w:eastAsiaTheme="minorEastAsia"/>
          <w:color w:val="0000FF"/>
          <w:sz w:val="20"/>
          <w:szCs w:val="20"/>
          <w:u w:val="single"/>
        </w:rPr>
        <w:t>calculated as per Tables 10.1.1 and 10.1.5</w:t>
      </w:r>
    </w:p>
    <w:p w14:paraId="6140841E" w14:textId="3D576AB8" w:rsidR="001B2FBB" w:rsidRDefault="001B2FBB" w:rsidP="00FC7A89">
      <w:pPr>
        <w:ind w:left="720"/>
        <w:rPr>
          <w:rFonts w:eastAsiaTheme="minorEastAsia"/>
          <w:color w:val="0000FF"/>
          <w:sz w:val="20"/>
          <w:szCs w:val="20"/>
          <w:u w:val="single"/>
          <w:vertAlign w:val="superscript"/>
        </w:rPr>
      </w:pPr>
      <w:r w:rsidRPr="0028120A">
        <w:rPr>
          <w:rFonts w:eastAsiaTheme="minorEastAsia"/>
          <w:color w:val="0000FF"/>
          <w:sz w:val="20"/>
          <w:szCs w:val="20"/>
          <w:u w:val="single"/>
        </w:rPr>
        <w:t>Carbon</w:t>
      </w:r>
      <w:r w:rsidR="005F268C" w:rsidRPr="0028120A">
        <w:rPr>
          <w:rFonts w:eastAsiaTheme="minorEastAsia"/>
          <w:color w:val="0000FF"/>
          <w:sz w:val="20"/>
          <w:szCs w:val="20"/>
          <w:u w:val="single"/>
        </w:rPr>
        <w:t xml:space="preserve">ation </w:t>
      </w:r>
      <w:r w:rsidR="0056439E">
        <w:rPr>
          <w:rFonts w:eastAsiaTheme="minorEastAsia"/>
          <w:color w:val="0000FF"/>
          <w:sz w:val="20"/>
          <w:szCs w:val="20"/>
          <w:u w:val="single"/>
        </w:rPr>
        <w:t xml:space="preserve">Factor </w:t>
      </w:r>
      <w:r w:rsidR="005F268C" w:rsidRPr="0028120A">
        <w:rPr>
          <w:rFonts w:eastAsiaTheme="minorEastAsia"/>
          <w:color w:val="0000FF"/>
          <w:sz w:val="20"/>
          <w:szCs w:val="20"/>
          <w:u w:val="single"/>
        </w:rPr>
        <w:t xml:space="preserve">= </w:t>
      </w:r>
      <w:r w:rsidR="0056439E">
        <w:rPr>
          <w:rFonts w:eastAsiaTheme="minorEastAsia"/>
          <w:color w:val="0000FF"/>
          <w:sz w:val="20"/>
          <w:szCs w:val="20"/>
          <w:u w:val="single"/>
        </w:rPr>
        <w:t xml:space="preserve">Amount of </w:t>
      </w:r>
      <w:r w:rsidR="0056439E" w:rsidRPr="0028120A">
        <w:rPr>
          <w:rFonts w:eastAsiaTheme="minorEastAsia"/>
          <w:color w:val="0000FF"/>
          <w:sz w:val="20"/>
          <w:szCs w:val="20"/>
          <w:u w:val="single"/>
        </w:rPr>
        <w:t>CO</w:t>
      </w:r>
      <w:r w:rsidR="0056439E" w:rsidRPr="0028120A">
        <w:rPr>
          <w:rFonts w:eastAsiaTheme="minorEastAsia"/>
          <w:color w:val="0000FF"/>
          <w:sz w:val="20"/>
          <w:szCs w:val="20"/>
          <w:u w:val="single"/>
          <w:vertAlign w:val="subscript"/>
        </w:rPr>
        <w:t>2</w:t>
      </w:r>
      <w:r w:rsidR="0056439E">
        <w:rPr>
          <w:rFonts w:eastAsiaTheme="minorEastAsia"/>
          <w:color w:val="0000FF"/>
          <w:sz w:val="20"/>
          <w:szCs w:val="20"/>
          <w:u w:val="single"/>
          <w:vertAlign w:val="subscript"/>
        </w:rPr>
        <w:t xml:space="preserve"> </w:t>
      </w:r>
      <w:r w:rsidR="0056439E">
        <w:rPr>
          <w:rFonts w:eastAsiaTheme="minorEastAsia"/>
          <w:color w:val="0000FF"/>
          <w:sz w:val="20"/>
          <w:szCs w:val="20"/>
          <w:u w:val="single"/>
        </w:rPr>
        <w:t xml:space="preserve">absorbed per unit of product </w:t>
      </w:r>
      <w:r w:rsidR="005F268C" w:rsidRPr="0028120A">
        <w:rPr>
          <w:rFonts w:eastAsiaTheme="minorEastAsia"/>
          <w:color w:val="0000FF"/>
          <w:sz w:val="20"/>
          <w:szCs w:val="20"/>
          <w:u w:val="single"/>
        </w:rPr>
        <w:t>(kg CO</w:t>
      </w:r>
      <w:r w:rsidR="005F268C" w:rsidRPr="0028120A">
        <w:rPr>
          <w:rFonts w:eastAsiaTheme="minorEastAsia"/>
          <w:color w:val="0000FF"/>
          <w:sz w:val="20"/>
          <w:szCs w:val="20"/>
          <w:u w:val="single"/>
          <w:vertAlign w:val="subscript"/>
        </w:rPr>
        <w:t xml:space="preserve">2 </w:t>
      </w:r>
      <w:r w:rsidR="00830263">
        <w:rPr>
          <w:rFonts w:eastAsiaTheme="minorEastAsia"/>
          <w:color w:val="0000FF"/>
          <w:sz w:val="20"/>
          <w:szCs w:val="20"/>
          <w:u w:val="single"/>
        </w:rPr>
        <w:t>/unit</w:t>
      </w:r>
      <w:r w:rsidR="005F268C" w:rsidRPr="0028120A">
        <w:rPr>
          <w:rFonts w:eastAsiaTheme="minorEastAsia"/>
          <w:color w:val="0000FF"/>
          <w:sz w:val="20"/>
          <w:szCs w:val="20"/>
          <w:u w:val="single"/>
        </w:rPr>
        <w:t>)</w:t>
      </w:r>
      <w:r w:rsidR="00830263">
        <w:rPr>
          <w:rFonts w:eastAsiaTheme="minorEastAsia"/>
          <w:color w:val="0000FF"/>
          <w:sz w:val="20"/>
          <w:szCs w:val="20"/>
          <w:u w:val="single"/>
        </w:rPr>
        <w:t xml:space="preserve">, derived from </w:t>
      </w:r>
      <w:r w:rsidR="00EB58EA" w:rsidRPr="00EB58EA">
        <w:rPr>
          <w:rFonts w:eastAsiaTheme="minorEastAsia"/>
          <w:color w:val="0000FF"/>
          <w:sz w:val="20"/>
          <w:szCs w:val="20"/>
          <w:u w:val="single"/>
        </w:rPr>
        <w:t>data source selected according to Table 5.3.2</w:t>
      </w:r>
      <w:r w:rsidR="00EB58EA">
        <w:rPr>
          <w:rFonts w:eastAsiaTheme="minorEastAsia"/>
          <w:color w:val="0000FF"/>
          <w:sz w:val="20"/>
          <w:szCs w:val="20"/>
          <w:u w:val="single"/>
        </w:rPr>
        <w:t xml:space="preserve"> </w:t>
      </w:r>
      <w:r w:rsidR="00830263">
        <w:rPr>
          <w:rFonts w:eastAsiaTheme="minorEastAsia"/>
          <w:color w:val="0000FF"/>
          <w:sz w:val="20"/>
          <w:szCs w:val="20"/>
          <w:u w:val="single"/>
        </w:rPr>
        <w:t>or carbonation models</w:t>
      </w:r>
      <w:r w:rsidR="00275C08">
        <w:rPr>
          <w:rFonts w:eastAsiaTheme="minorEastAsia"/>
          <w:color w:val="0000FF"/>
          <w:sz w:val="20"/>
          <w:szCs w:val="20"/>
          <w:u w:val="single"/>
          <w:vertAlign w:val="superscript"/>
        </w:rPr>
        <w:t>1</w:t>
      </w:r>
    </w:p>
    <w:p w14:paraId="4C8D46B9" w14:textId="77777777" w:rsidR="005C589C" w:rsidRDefault="005C589C" w:rsidP="005C589C">
      <w:pPr>
        <w:spacing w:after="0"/>
        <w:rPr>
          <w:rFonts w:eastAsiaTheme="minorEastAsia"/>
          <w:color w:val="0000FF"/>
          <w:sz w:val="20"/>
          <w:szCs w:val="20"/>
          <w:u w:val="single"/>
          <w:vertAlign w:val="superscript"/>
        </w:rPr>
      </w:pPr>
    </w:p>
    <w:p w14:paraId="50F0565D" w14:textId="2E216492" w:rsidR="005C589C" w:rsidRPr="00051BA9" w:rsidRDefault="005C589C" w:rsidP="005C589C">
      <w:pPr>
        <w:spacing w:after="0"/>
        <w:rPr>
          <w:rFonts w:eastAsiaTheme="minorEastAsia"/>
          <w:color w:val="000000" w:themeColor="text1"/>
          <w:sz w:val="20"/>
          <w:szCs w:val="20"/>
        </w:rPr>
      </w:pPr>
      <w:r w:rsidRPr="00051BA9">
        <w:rPr>
          <w:rFonts w:eastAsiaTheme="minorEastAsia"/>
          <w:color w:val="000000" w:themeColor="text1"/>
          <w:sz w:val="20"/>
          <w:szCs w:val="20"/>
        </w:rPr>
        <w:t>Add footnote:</w:t>
      </w:r>
    </w:p>
    <w:p w14:paraId="150152A0" w14:textId="44572688" w:rsidR="005C589C" w:rsidRPr="00051BA9" w:rsidRDefault="00275C08" w:rsidP="00051BA9">
      <w:pPr>
        <w:spacing w:after="0"/>
        <w:rPr>
          <w:rFonts w:eastAsiaTheme="minorEastAsia"/>
          <w:color w:val="0000FF"/>
          <w:sz w:val="20"/>
          <w:szCs w:val="20"/>
          <w:u w:val="single"/>
        </w:rPr>
      </w:pPr>
      <w:r>
        <w:rPr>
          <w:rFonts w:eastAsiaTheme="minorEastAsia"/>
          <w:color w:val="0000FF"/>
          <w:sz w:val="20"/>
          <w:szCs w:val="20"/>
          <w:u w:val="single"/>
        </w:rPr>
        <w:t>1</w:t>
      </w:r>
      <w:r w:rsidR="00051BA9">
        <w:rPr>
          <w:rFonts w:eastAsiaTheme="minorEastAsia"/>
          <w:color w:val="0000FF"/>
          <w:sz w:val="20"/>
          <w:szCs w:val="20"/>
          <w:u w:val="single"/>
        </w:rPr>
        <w:t xml:space="preserve">: </w:t>
      </w:r>
      <w:r w:rsidR="00051BA9" w:rsidRPr="00051BA9">
        <w:rPr>
          <w:rFonts w:eastAsiaTheme="minorEastAsia"/>
          <w:color w:val="0000FF"/>
          <w:sz w:val="20"/>
          <w:szCs w:val="20"/>
          <w:u w:val="single"/>
        </w:rPr>
        <w:t>In many EPDs, carbonation (CO₂ uptake) is reported together with calcination (CO₂ release) under a combined category such as “Calcination and Carbonation Emissions (CCE).” While calcination represents a positive emission (release of CO₂), carbonation represents a negative emission (uptake of CO₂). Because these are opposing flows, the net CCE value can be positive, negative, or zero. To avoid misinterpretation, it is recommended that calcination and carbonation values be reported and assessed separately wherever possible.</w:t>
      </w:r>
    </w:p>
    <w:p w14:paraId="7DD8A835" w14:textId="0D8EBFA8" w:rsidR="0000630F" w:rsidRPr="00B06019" w:rsidRDefault="0000630F">
      <w:pPr>
        <w:rPr>
          <w:sz w:val="20"/>
          <w:szCs w:val="20"/>
        </w:rPr>
      </w:pPr>
    </w:p>
    <w:sectPr w:rsidR="0000630F" w:rsidRPr="00B0601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C4F6" w14:textId="77777777" w:rsidR="00936FC3" w:rsidRDefault="00936FC3" w:rsidP="00237923">
      <w:pPr>
        <w:spacing w:after="0" w:line="240" w:lineRule="auto"/>
      </w:pPr>
      <w:r>
        <w:separator/>
      </w:r>
    </w:p>
  </w:endnote>
  <w:endnote w:type="continuationSeparator" w:id="0">
    <w:p w14:paraId="4B128FD2" w14:textId="77777777" w:rsidR="00936FC3" w:rsidRDefault="00936FC3"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70DC" w14:textId="77777777" w:rsidR="00936FC3" w:rsidRDefault="00936FC3" w:rsidP="00237923">
      <w:pPr>
        <w:spacing w:after="0" w:line="240" w:lineRule="auto"/>
      </w:pPr>
      <w:r>
        <w:separator/>
      </w:r>
    </w:p>
  </w:footnote>
  <w:footnote w:type="continuationSeparator" w:id="0">
    <w:p w14:paraId="2732CDA6" w14:textId="77777777" w:rsidR="00936FC3" w:rsidRDefault="00936FC3"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163"/>
    <w:multiLevelType w:val="hybridMultilevel"/>
    <w:tmpl w:val="F1EEB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22284B"/>
    <w:multiLevelType w:val="hybridMultilevel"/>
    <w:tmpl w:val="EF4CE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C262A5"/>
    <w:multiLevelType w:val="hybridMultilevel"/>
    <w:tmpl w:val="1F0434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7AF5753"/>
    <w:multiLevelType w:val="hybridMultilevel"/>
    <w:tmpl w:val="349ED8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CFD4F39"/>
    <w:multiLevelType w:val="hybridMultilevel"/>
    <w:tmpl w:val="5B9AB6C0"/>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806659">
    <w:abstractNumId w:val="4"/>
  </w:num>
  <w:num w:numId="2" w16cid:durableId="1095438330">
    <w:abstractNumId w:val="3"/>
  </w:num>
  <w:num w:numId="3" w16cid:durableId="96028833">
    <w:abstractNumId w:val="0"/>
  </w:num>
  <w:num w:numId="4" w16cid:durableId="1455446755">
    <w:abstractNumId w:val="2"/>
  </w:num>
  <w:num w:numId="5" w16cid:durableId="132076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D0E"/>
    <w:rsid w:val="00001E7A"/>
    <w:rsid w:val="0000630F"/>
    <w:rsid w:val="000165DE"/>
    <w:rsid w:val="00017BFE"/>
    <w:rsid w:val="00036584"/>
    <w:rsid w:val="00051BA9"/>
    <w:rsid w:val="000543A5"/>
    <w:rsid w:val="00055E1A"/>
    <w:rsid w:val="00063803"/>
    <w:rsid w:val="0007137F"/>
    <w:rsid w:val="000810B5"/>
    <w:rsid w:val="000833D4"/>
    <w:rsid w:val="000907A1"/>
    <w:rsid w:val="000B53A5"/>
    <w:rsid w:val="000C101B"/>
    <w:rsid w:val="000C28B5"/>
    <w:rsid w:val="000D2279"/>
    <w:rsid w:val="000D3CCB"/>
    <w:rsid w:val="000D4951"/>
    <w:rsid w:val="000E18FA"/>
    <w:rsid w:val="000F4F20"/>
    <w:rsid w:val="001079F5"/>
    <w:rsid w:val="001163E0"/>
    <w:rsid w:val="00132A07"/>
    <w:rsid w:val="00151B3B"/>
    <w:rsid w:val="00164451"/>
    <w:rsid w:val="00184E3F"/>
    <w:rsid w:val="001B2FBB"/>
    <w:rsid w:val="001C0112"/>
    <w:rsid w:val="001D2F97"/>
    <w:rsid w:val="001E2350"/>
    <w:rsid w:val="00211A33"/>
    <w:rsid w:val="00216C7D"/>
    <w:rsid w:val="00230A84"/>
    <w:rsid w:val="00235715"/>
    <w:rsid w:val="002377BD"/>
    <w:rsid w:val="00237923"/>
    <w:rsid w:val="002403C6"/>
    <w:rsid w:val="00241016"/>
    <w:rsid w:val="002456BA"/>
    <w:rsid w:val="00247B19"/>
    <w:rsid w:val="0025051E"/>
    <w:rsid w:val="00255E22"/>
    <w:rsid w:val="00275C08"/>
    <w:rsid w:val="0028120A"/>
    <w:rsid w:val="002A0952"/>
    <w:rsid w:val="002B2DA9"/>
    <w:rsid w:val="002C5294"/>
    <w:rsid w:val="002E3A70"/>
    <w:rsid w:val="002F191C"/>
    <w:rsid w:val="002F4467"/>
    <w:rsid w:val="002F5B93"/>
    <w:rsid w:val="002F63E2"/>
    <w:rsid w:val="0030009C"/>
    <w:rsid w:val="0030090B"/>
    <w:rsid w:val="00374DEC"/>
    <w:rsid w:val="00385528"/>
    <w:rsid w:val="003A43B5"/>
    <w:rsid w:val="003A50BC"/>
    <w:rsid w:val="003A6DFA"/>
    <w:rsid w:val="003B753B"/>
    <w:rsid w:val="003D608A"/>
    <w:rsid w:val="003E780D"/>
    <w:rsid w:val="00401525"/>
    <w:rsid w:val="00413E2C"/>
    <w:rsid w:val="004207CE"/>
    <w:rsid w:val="00421E05"/>
    <w:rsid w:val="00426F7F"/>
    <w:rsid w:val="00430FA0"/>
    <w:rsid w:val="00431CCB"/>
    <w:rsid w:val="00443871"/>
    <w:rsid w:val="00463ADA"/>
    <w:rsid w:val="00466DC0"/>
    <w:rsid w:val="00467397"/>
    <w:rsid w:val="00470625"/>
    <w:rsid w:val="00482EB6"/>
    <w:rsid w:val="00484D5C"/>
    <w:rsid w:val="00491077"/>
    <w:rsid w:val="004B085B"/>
    <w:rsid w:val="004D4C62"/>
    <w:rsid w:val="004E1851"/>
    <w:rsid w:val="004E53A8"/>
    <w:rsid w:val="004F6873"/>
    <w:rsid w:val="00502492"/>
    <w:rsid w:val="00506338"/>
    <w:rsid w:val="00525BF3"/>
    <w:rsid w:val="005345BD"/>
    <w:rsid w:val="0053567B"/>
    <w:rsid w:val="0054577C"/>
    <w:rsid w:val="00551E3B"/>
    <w:rsid w:val="00553226"/>
    <w:rsid w:val="00553D0D"/>
    <w:rsid w:val="00557051"/>
    <w:rsid w:val="0056439E"/>
    <w:rsid w:val="00564B8E"/>
    <w:rsid w:val="00583F2A"/>
    <w:rsid w:val="005851DC"/>
    <w:rsid w:val="00596590"/>
    <w:rsid w:val="005B28E0"/>
    <w:rsid w:val="005C1477"/>
    <w:rsid w:val="005C589C"/>
    <w:rsid w:val="005D2BAB"/>
    <w:rsid w:val="005F268C"/>
    <w:rsid w:val="0060288D"/>
    <w:rsid w:val="00605100"/>
    <w:rsid w:val="006178CE"/>
    <w:rsid w:val="00622E1E"/>
    <w:rsid w:val="00625B9E"/>
    <w:rsid w:val="00627E00"/>
    <w:rsid w:val="00632F5D"/>
    <w:rsid w:val="0063521A"/>
    <w:rsid w:val="006517EF"/>
    <w:rsid w:val="00651A5E"/>
    <w:rsid w:val="00656E89"/>
    <w:rsid w:val="00666580"/>
    <w:rsid w:val="0069609C"/>
    <w:rsid w:val="006A67B7"/>
    <w:rsid w:val="006A7527"/>
    <w:rsid w:val="006B109F"/>
    <w:rsid w:val="006B18B4"/>
    <w:rsid w:val="006C1D37"/>
    <w:rsid w:val="006C37F6"/>
    <w:rsid w:val="006C7CB6"/>
    <w:rsid w:val="006F389A"/>
    <w:rsid w:val="006F6BA3"/>
    <w:rsid w:val="006F6FB2"/>
    <w:rsid w:val="00706FE3"/>
    <w:rsid w:val="00715269"/>
    <w:rsid w:val="007153D2"/>
    <w:rsid w:val="00754110"/>
    <w:rsid w:val="00765953"/>
    <w:rsid w:val="007953DD"/>
    <w:rsid w:val="007A0045"/>
    <w:rsid w:val="007A0C31"/>
    <w:rsid w:val="007B2A2C"/>
    <w:rsid w:val="007C2A29"/>
    <w:rsid w:val="007D5911"/>
    <w:rsid w:val="007D7D8C"/>
    <w:rsid w:val="007E508C"/>
    <w:rsid w:val="007E74A6"/>
    <w:rsid w:val="00804960"/>
    <w:rsid w:val="008132CB"/>
    <w:rsid w:val="00827800"/>
    <w:rsid w:val="00830263"/>
    <w:rsid w:val="008306AE"/>
    <w:rsid w:val="00837AF6"/>
    <w:rsid w:val="00842815"/>
    <w:rsid w:val="00847371"/>
    <w:rsid w:val="008649C6"/>
    <w:rsid w:val="00884C12"/>
    <w:rsid w:val="00893BAF"/>
    <w:rsid w:val="008A5130"/>
    <w:rsid w:val="008A70C2"/>
    <w:rsid w:val="008B1D29"/>
    <w:rsid w:val="008B476F"/>
    <w:rsid w:val="008B4CD6"/>
    <w:rsid w:val="008C048F"/>
    <w:rsid w:val="008C2F70"/>
    <w:rsid w:val="008D0AF0"/>
    <w:rsid w:val="008E63DD"/>
    <w:rsid w:val="008E7A7C"/>
    <w:rsid w:val="008F5EA2"/>
    <w:rsid w:val="00902B8B"/>
    <w:rsid w:val="00906953"/>
    <w:rsid w:val="00934D15"/>
    <w:rsid w:val="00936FC3"/>
    <w:rsid w:val="00940D60"/>
    <w:rsid w:val="00940EA9"/>
    <w:rsid w:val="009459CC"/>
    <w:rsid w:val="00954243"/>
    <w:rsid w:val="00990131"/>
    <w:rsid w:val="009A4332"/>
    <w:rsid w:val="009B5047"/>
    <w:rsid w:val="009B5259"/>
    <w:rsid w:val="009B658F"/>
    <w:rsid w:val="009E4296"/>
    <w:rsid w:val="009E449A"/>
    <w:rsid w:val="009E7BA7"/>
    <w:rsid w:val="009F6D55"/>
    <w:rsid w:val="00A04115"/>
    <w:rsid w:val="00A052BB"/>
    <w:rsid w:val="00A3386B"/>
    <w:rsid w:val="00A373B7"/>
    <w:rsid w:val="00A42173"/>
    <w:rsid w:val="00A4354D"/>
    <w:rsid w:val="00A47829"/>
    <w:rsid w:val="00A519E2"/>
    <w:rsid w:val="00A63039"/>
    <w:rsid w:val="00A84090"/>
    <w:rsid w:val="00A868BD"/>
    <w:rsid w:val="00A914E0"/>
    <w:rsid w:val="00A94C4B"/>
    <w:rsid w:val="00AA50A5"/>
    <w:rsid w:val="00AB671A"/>
    <w:rsid w:val="00AB6728"/>
    <w:rsid w:val="00AC4C5F"/>
    <w:rsid w:val="00AE5747"/>
    <w:rsid w:val="00AF4C3C"/>
    <w:rsid w:val="00B00ECD"/>
    <w:rsid w:val="00B06019"/>
    <w:rsid w:val="00B11681"/>
    <w:rsid w:val="00B3206E"/>
    <w:rsid w:val="00B36711"/>
    <w:rsid w:val="00B60B29"/>
    <w:rsid w:val="00B60BF5"/>
    <w:rsid w:val="00B6761A"/>
    <w:rsid w:val="00B87094"/>
    <w:rsid w:val="00B962EF"/>
    <w:rsid w:val="00BA2E42"/>
    <w:rsid w:val="00BA7E6E"/>
    <w:rsid w:val="00BB7C92"/>
    <w:rsid w:val="00BC0459"/>
    <w:rsid w:val="00BC2D3D"/>
    <w:rsid w:val="00BF3297"/>
    <w:rsid w:val="00BF4860"/>
    <w:rsid w:val="00C0065B"/>
    <w:rsid w:val="00C14E00"/>
    <w:rsid w:val="00C30296"/>
    <w:rsid w:val="00C52C3C"/>
    <w:rsid w:val="00C66025"/>
    <w:rsid w:val="00C76637"/>
    <w:rsid w:val="00C903AD"/>
    <w:rsid w:val="00C92B37"/>
    <w:rsid w:val="00C95E8C"/>
    <w:rsid w:val="00C97111"/>
    <w:rsid w:val="00CA7078"/>
    <w:rsid w:val="00CA7264"/>
    <w:rsid w:val="00CB516B"/>
    <w:rsid w:val="00CB760D"/>
    <w:rsid w:val="00CD1E7C"/>
    <w:rsid w:val="00CD6AC1"/>
    <w:rsid w:val="00CE427F"/>
    <w:rsid w:val="00CE55A3"/>
    <w:rsid w:val="00CE6CE8"/>
    <w:rsid w:val="00D0670F"/>
    <w:rsid w:val="00D22A29"/>
    <w:rsid w:val="00D25292"/>
    <w:rsid w:val="00D374F4"/>
    <w:rsid w:val="00D40096"/>
    <w:rsid w:val="00D557ED"/>
    <w:rsid w:val="00D6168E"/>
    <w:rsid w:val="00D61BAD"/>
    <w:rsid w:val="00D76622"/>
    <w:rsid w:val="00D824DE"/>
    <w:rsid w:val="00D836C5"/>
    <w:rsid w:val="00D85011"/>
    <w:rsid w:val="00D865C7"/>
    <w:rsid w:val="00D86DDD"/>
    <w:rsid w:val="00D926DA"/>
    <w:rsid w:val="00DB6103"/>
    <w:rsid w:val="00DC19FE"/>
    <w:rsid w:val="00DC3A80"/>
    <w:rsid w:val="00DF0B47"/>
    <w:rsid w:val="00DF23A3"/>
    <w:rsid w:val="00E05019"/>
    <w:rsid w:val="00E0635B"/>
    <w:rsid w:val="00E326FC"/>
    <w:rsid w:val="00E36B41"/>
    <w:rsid w:val="00E4405F"/>
    <w:rsid w:val="00E47938"/>
    <w:rsid w:val="00E63B12"/>
    <w:rsid w:val="00E649FD"/>
    <w:rsid w:val="00E71B09"/>
    <w:rsid w:val="00E765B2"/>
    <w:rsid w:val="00E76D2D"/>
    <w:rsid w:val="00EB58EA"/>
    <w:rsid w:val="00EE0452"/>
    <w:rsid w:val="00F11C87"/>
    <w:rsid w:val="00F1444D"/>
    <w:rsid w:val="00F17B71"/>
    <w:rsid w:val="00F225A8"/>
    <w:rsid w:val="00F2367B"/>
    <w:rsid w:val="00F26C4E"/>
    <w:rsid w:val="00F30678"/>
    <w:rsid w:val="00F35DEE"/>
    <w:rsid w:val="00F3778D"/>
    <w:rsid w:val="00F44574"/>
    <w:rsid w:val="00F44C65"/>
    <w:rsid w:val="00F45103"/>
    <w:rsid w:val="00F4512B"/>
    <w:rsid w:val="00F73E52"/>
    <w:rsid w:val="00F75279"/>
    <w:rsid w:val="00FA615E"/>
    <w:rsid w:val="00FB0AE8"/>
    <w:rsid w:val="00FB2711"/>
    <w:rsid w:val="00FC094B"/>
    <w:rsid w:val="00FC671C"/>
    <w:rsid w:val="00FC72C7"/>
    <w:rsid w:val="00FC7A89"/>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character" w:styleId="CommentReference">
    <w:name w:val="annotation reference"/>
    <w:basedOn w:val="DefaultParagraphFont"/>
    <w:uiPriority w:val="99"/>
    <w:semiHidden/>
    <w:unhideWhenUsed/>
    <w:rsid w:val="006B18B4"/>
    <w:rPr>
      <w:sz w:val="16"/>
      <w:szCs w:val="16"/>
    </w:rPr>
  </w:style>
  <w:style w:type="paragraph" w:styleId="CommentText">
    <w:name w:val="annotation text"/>
    <w:basedOn w:val="Normal"/>
    <w:link w:val="CommentTextChar"/>
    <w:uiPriority w:val="99"/>
    <w:unhideWhenUsed/>
    <w:rsid w:val="006B18B4"/>
    <w:pPr>
      <w:spacing w:line="240" w:lineRule="auto"/>
    </w:pPr>
    <w:rPr>
      <w:sz w:val="20"/>
      <w:szCs w:val="20"/>
    </w:rPr>
  </w:style>
  <w:style w:type="character" w:customStyle="1" w:styleId="CommentTextChar">
    <w:name w:val="Comment Text Char"/>
    <w:basedOn w:val="DefaultParagraphFont"/>
    <w:link w:val="CommentText"/>
    <w:uiPriority w:val="99"/>
    <w:rsid w:val="006B18B4"/>
    <w:rPr>
      <w:sz w:val="20"/>
      <w:szCs w:val="20"/>
    </w:rPr>
  </w:style>
  <w:style w:type="paragraph" w:styleId="CommentSubject">
    <w:name w:val="annotation subject"/>
    <w:basedOn w:val="CommentText"/>
    <w:next w:val="CommentText"/>
    <w:link w:val="CommentSubjectChar"/>
    <w:uiPriority w:val="99"/>
    <w:semiHidden/>
    <w:unhideWhenUsed/>
    <w:rsid w:val="006B18B4"/>
    <w:rPr>
      <w:b/>
      <w:bCs/>
    </w:rPr>
  </w:style>
  <w:style w:type="character" w:customStyle="1" w:styleId="CommentSubjectChar">
    <w:name w:val="Comment Subject Char"/>
    <w:basedOn w:val="CommentTextChar"/>
    <w:link w:val="CommentSubject"/>
    <w:uiPriority w:val="99"/>
    <w:semiHidden/>
    <w:rsid w:val="006B18B4"/>
    <w:rPr>
      <w:b/>
      <w:bCs/>
      <w:sz w:val="20"/>
      <w:szCs w:val="20"/>
    </w:rPr>
  </w:style>
  <w:style w:type="character" w:styleId="Hyperlink">
    <w:name w:val="Hyperlink"/>
    <w:basedOn w:val="DefaultParagraphFont"/>
    <w:uiPriority w:val="99"/>
    <w:unhideWhenUsed/>
    <w:rsid w:val="006B18B4"/>
    <w:rPr>
      <w:color w:val="467886" w:themeColor="hyperlink"/>
      <w:u w:val="single"/>
    </w:rPr>
  </w:style>
  <w:style w:type="character" w:styleId="UnresolvedMention">
    <w:name w:val="Unresolved Mention"/>
    <w:basedOn w:val="DefaultParagraphFont"/>
    <w:uiPriority w:val="99"/>
    <w:semiHidden/>
    <w:unhideWhenUsed/>
    <w:rsid w:val="006B18B4"/>
    <w:rPr>
      <w:color w:val="605E5C"/>
      <w:shd w:val="clear" w:color="auto" w:fill="E1DFDD"/>
    </w:rPr>
  </w:style>
  <w:style w:type="character" w:styleId="FollowedHyperlink">
    <w:name w:val="FollowedHyperlink"/>
    <w:basedOn w:val="DefaultParagraphFont"/>
    <w:uiPriority w:val="99"/>
    <w:semiHidden/>
    <w:unhideWhenUsed/>
    <w:rsid w:val="004D4C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90307">
      <w:bodyDiv w:val="1"/>
      <w:marLeft w:val="0"/>
      <w:marRight w:val="0"/>
      <w:marTop w:val="0"/>
      <w:marBottom w:val="0"/>
      <w:divBdr>
        <w:top w:val="none" w:sz="0" w:space="0" w:color="auto"/>
        <w:left w:val="none" w:sz="0" w:space="0" w:color="auto"/>
        <w:bottom w:val="none" w:sz="0" w:space="0" w:color="auto"/>
        <w:right w:val="none" w:sz="0" w:space="0" w:color="auto"/>
      </w:divBdr>
    </w:div>
    <w:div w:id="9672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rmca.org/wp-content/uploads/NRMCA-IW-EPD-v3.2-ext-2026.03.31.pdf" TargetMode="External"/><Relationship Id="rId5" Type="http://schemas.openxmlformats.org/officeDocument/2006/relationships/styles" Target="styles.xml"/><Relationship Id="rId10" Type="http://schemas.openxmlformats.org/officeDocument/2006/relationships/hyperlink" Target="https://www.nrmca.org/wp-content/uploads/NRMCA-IW-EPD-v3.2-ext-2026.03.3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4BCF715D4AD4F91C01182295CEFC1" ma:contentTypeVersion="20" ma:contentTypeDescription="Create a new document." ma:contentTypeScope="" ma:versionID="1471b12c27521517e0f325006a7c1259">
  <xsd:schema xmlns:xsd="http://www.w3.org/2001/XMLSchema" xmlns:xs="http://www.w3.org/2001/XMLSchema" xmlns:p="http://schemas.microsoft.com/office/2006/metadata/properties" xmlns:ns2="165a71d3-e0a0-490b-84d6-e4435d601f38" xmlns:ns3="01495b67-12aa-4b93-9011-f94ea5f3e05d" targetNamespace="http://schemas.microsoft.com/office/2006/metadata/properties" ma:root="true" ma:fieldsID="8a8efc0d0e28bf6a2851dcbc84f7a3d8" ns2:_="" ns3:_="">
    <xsd:import namespace="165a71d3-e0a0-490b-84d6-e4435d601f38"/>
    <xsd:import namespace="01495b67-12aa-4b93-9011-f94ea5f3e0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a71d3-e0a0-490b-84d6-e4435d601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03b80b-8175-4c13-af67-3d8e268027a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95b67-12aa-4b93-9011-f94ea5f3e0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795212-3982-4b5b-8994-fcbc5f9cf0d9}" ma:internalName="TaxCatchAll" ma:showField="CatchAllData" ma:web="01495b67-12aa-4b93-9011-f94ea5f3e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5a71d3-e0a0-490b-84d6-e4435d601f38">
      <Terms xmlns="http://schemas.microsoft.com/office/infopath/2007/PartnerControls"/>
    </lcf76f155ced4ddcb4097134ff3c332f>
    <_Flow_SignoffStatus xmlns="165a71d3-e0a0-490b-84d6-e4435d601f38" xsi:nil="true"/>
    <TaxCatchAll xmlns="01495b67-12aa-4b93-9011-f94ea5f3e0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A9A03-175C-4096-BFFF-BCD8FDC94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a71d3-e0a0-490b-84d6-e4435d601f38"/>
    <ds:schemaRef ds:uri="01495b67-12aa-4b93-9011-f94ea5f3e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BE321-351B-41C5-82E6-A596D210B8D9}">
  <ds:schemaRefs>
    <ds:schemaRef ds:uri="http://schemas.microsoft.com/office/2006/metadata/properties"/>
    <ds:schemaRef ds:uri="http://schemas.microsoft.com/office/infopath/2007/PartnerControls"/>
    <ds:schemaRef ds:uri="165a71d3-e0a0-490b-84d6-e4435d601f38"/>
    <ds:schemaRef ds:uri="01495b67-12aa-4b93-9011-f94ea5f3e05d"/>
  </ds:schemaRefs>
</ds:datastoreItem>
</file>

<file path=customXml/itemProps3.xml><?xml version="1.0" encoding="utf-8"?>
<ds:datastoreItem xmlns:ds="http://schemas.openxmlformats.org/officeDocument/2006/customXml" ds:itemID="{02C3FFF1-529B-4296-87AC-D51300E9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Natasha Jeremic</cp:lastModifiedBy>
  <cp:revision>3</cp:revision>
  <dcterms:created xsi:type="dcterms:W3CDTF">2025-10-02T20:39:00Z</dcterms:created>
  <dcterms:modified xsi:type="dcterms:W3CDTF">2025-10-02T20:39:00Z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0x01010058C4BCF715D4AD4F91C01182295CEFC1</vt:lpwstr>
  </property>
  <property fmtid="{D5CDD505-2E9C-101B-9397-08002B2CF9AE}" pid="3" name="MediaServiceImageTags">
    <vt:lpwstr/>
  </property>
  <property fmtid="{D5CDD505-2E9C-101B-9397-08002B2CF9AE}" pid="4" name="docLang">
    <vt:lpwstr>en</vt:lpwstr>
  </property>
</Properties>
</file>