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E5EB6" w14:textId="6DBE925A" w:rsidR="00237923" w:rsidRDefault="00237923">
      <w:pPr>
        <w:rPr>
          <w:sz w:val="20"/>
          <w:szCs w:val="20"/>
        </w:rPr>
      </w:pPr>
      <w:r>
        <w:rPr>
          <w:b/>
          <w:bCs/>
        </w:rPr>
        <w:t>Comment/Explanation</w:t>
      </w:r>
      <w:r w:rsidR="0000630F" w:rsidRPr="0000630F">
        <w:rPr>
          <w:b/>
          <w:bCs/>
          <w:color w:val="FF0000"/>
        </w:rPr>
        <w:t>*</w:t>
      </w:r>
      <w:r>
        <w:rPr>
          <w:b/>
          <w:bCs/>
        </w:rPr>
        <w:t xml:space="preserve">: </w:t>
      </w:r>
      <w:r>
        <w:rPr>
          <w:b/>
          <w:bCs/>
        </w:rPr>
        <w:br/>
      </w:r>
      <w:r w:rsidRPr="008C2F70">
        <w:rPr>
          <w:i/>
          <w:iCs/>
          <w:sz w:val="20"/>
          <w:szCs w:val="20"/>
        </w:rPr>
        <w:t>Include your justification for your proposed change to the draft standard</w:t>
      </w:r>
      <w:r w:rsidR="005C1477">
        <w:rPr>
          <w:i/>
          <w:iCs/>
          <w:sz w:val="20"/>
          <w:szCs w:val="20"/>
        </w:rPr>
        <w:t xml:space="preserve"> below.</w:t>
      </w:r>
      <w:r w:rsidR="0000630F">
        <w:rPr>
          <w:sz w:val="20"/>
          <w:szCs w:val="20"/>
        </w:rPr>
        <w:br/>
        <w:t>_________________________________________________________________________________________</w:t>
      </w:r>
    </w:p>
    <w:p w14:paraId="58F2615F" w14:textId="3D6DE2D8" w:rsidR="0000630F" w:rsidRDefault="00F74D73">
      <w:pPr>
        <w:rPr>
          <w:sz w:val="20"/>
          <w:szCs w:val="20"/>
        </w:rPr>
      </w:pPr>
      <w:r>
        <w:rPr>
          <w:sz w:val="20"/>
          <w:szCs w:val="20"/>
        </w:rPr>
        <w:t xml:space="preserve">As noted in Q&amp;A: RESNET HERS Addendum 77 on </w:t>
      </w:r>
      <w:r w:rsidR="00F237EE">
        <w:rPr>
          <w:sz w:val="20"/>
          <w:szCs w:val="20"/>
        </w:rPr>
        <w:t>Integrated</w:t>
      </w:r>
      <w:r>
        <w:rPr>
          <w:sz w:val="20"/>
          <w:szCs w:val="20"/>
        </w:rPr>
        <w:t xml:space="preserve"> Heat Pump Water Heaters, there are opportunities to shape the proposal and </w:t>
      </w:r>
      <w:r w:rsidR="003F0164">
        <w:rPr>
          <w:sz w:val="20"/>
          <w:szCs w:val="20"/>
        </w:rPr>
        <w:t xml:space="preserve">time to achieve the January 1, </w:t>
      </w:r>
      <w:proofErr w:type="gramStart"/>
      <w:r w:rsidR="003F0164">
        <w:rPr>
          <w:sz w:val="20"/>
          <w:szCs w:val="20"/>
        </w:rPr>
        <w:t>2029</w:t>
      </w:r>
      <w:proofErr w:type="gramEnd"/>
      <w:r w:rsidR="003F0164">
        <w:rPr>
          <w:sz w:val="20"/>
          <w:szCs w:val="20"/>
        </w:rPr>
        <w:t xml:space="preserve"> mandatory compliance date.  A</w:t>
      </w:r>
      <w:r>
        <w:rPr>
          <w:sz w:val="20"/>
          <w:szCs w:val="20"/>
        </w:rPr>
        <w:t xml:space="preserve">s </w:t>
      </w:r>
      <w:r w:rsidR="003F0164">
        <w:rPr>
          <w:sz w:val="20"/>
          <w:szCs w:val="20"/>
        </w:rPr>
        <w:t>observed</w:t>
      </w:r>
      <w:r>
        <w:rPr>
          <w:sz w:val="20"/>
          <w:szCs w:val="20"/>
        </w:rPr>
        <w:t xml:space="preserve"> by </w:t>
      </w:r>
      <w:r w:rsidR="00915360">
        <w:rPr>
          <w:sz w:val="20"/>
          <w:szCs w:val="20"/>
        </w:rPr>
        <w:t>industry</w:t>
      </w:r>
      <w:r>
        <w:rPr>
          <w:sz w:val="20"/>
          <w:szCs w:val="20"/>
        </w:rPr>
        <w:t xml:space="preserve"> in a previous comment period for this addendum, “The inclusion of numerous – sometimes intricate – equations risks deterring adoption rather than promoting it (HPWH), while making enforcement especially challenging for inspectors and builders.”</w:t>
      </w:r>
      <w:r w:rsidR="003F0164">
        <w:rPr>
          <w:sz w:val="20"/>
          <w:szCs w:val="20"/>
        </w:rPr>
        <w:br/>
      </w:r>
      <w:r w:rsidR="003F0164">
        <w:rPr>
          <w:sz w:val="20"/>
          <w:szCs w:val="20"/>
        </w:rPr>
        <w:br/>
        <w:t xml:space="preserve">In a review of HPWHs from the AHRI </w:t>
      </w:r>
      <w:r w:rsidR="00F237EE">
        <w:rPr>
          <w:sz w:val="20"/>
          <w:szCs w:val="20"/>
        </w:rPr>
        <w:t>Directory of Certified Product Performance</w:t>
      </w:r>
      <w:r w:rsidR="003F0164">
        <w:rPr>
          <w:sz w:val="20"/>
          <w:szCs w:val="20"/>
        </w:rPr>
        <w:t>, utilizing the calculations from Table X: Heat pump COP</w:t>
      </w:r>
      <w:r w:rsidR="003F0164">
        <w:rPr>
          <w:sz w:val="16"/>
          <w:szCs w:val="16"/>
        </w:rPr>
        <w:t xml:space="preserve">  </w:t>
      </w:r>
      <w:r w:rsidR="003F0164">
        <w:rPr>
          <w:sz w:val="20"/>
          <w:szCs w:val="20"/>
        </w:rPr>
        <w:t xml:space="preserve">Values results in a </w:t>
      </w:r>
      <w:proofErr w:type="spellStart"/>
      <w:r w:rsidR="003F0164">
        <w:rPr>
          <w:sz w:val="20"/>
          <w:szCs w:val="20"/>
        </w:rPr>
        <w:t>COPhp</w:t>
      </w:r>
      <w:proofErr w:type="spellEnd"/>
      <w:r w:rsidR="003F0164">
        <w:rPr>
          <w:sz w:val="20"/>
          <w:szCs w:val="20"/>
        </w:rPr>
        <w:t xml:space="preserve"> which is lower than the UEF for all </w:t>
      </w:r>
      <w:r w:rsidR="00BC0CA4">
        <w:rPr>
          <w:sz w:val="20"/>
          <w:szCs w:val="20"/>
        </w:rPr>
        <w:t xml:space="preserve">HPWHs with a First Hour Rating (FHR) ≥18, &lt;51 which were </w:t>
      </w:r>
      <w:r w:rsidR="003F0164">
        <w:rPr>
          <w:sz w:val="20"/>
          <w:szCs w:val="20"/>
        </w:rPr>
        <w:t xml:space="preserve">Low Usage HPWHs; this is not the case for all Medium Usage and High Usage HPWHs which </w:t>
      </w:r>
      <w:r w:rsidR="00BC0CA4">
        <w:rPr>
          <w:sz w:val="20"/>
          <w:szCs w:val="20"/>
        </w:rPr>
        <w:t xml:space="preserve">result in a </w:t>
      </w:r>
      <w:proofErr w:type="spellStart"/>
      <w:r w:rsidR="00BC0CA4">
        <w:rPr>
          <w:sz w:val="20"/>
          <w:szCs w:val="20"/>
        </w:rPr>
        <w:t>COPhp</w:t>
      </w:r>
      <w:proofErr w:type="spellEnd"/>
      <w:r w:rsidR="00BC0CA4">
        <w:rPr>
          <w:sz w:val="20"/>
          <w:szCs w:val="20"/>
        </w:rPr>
        <w:t xml:space="preserve"> greater than the UEF of the HPWH.  The equation </w:t>
      </w:r>
      <w:proofErr w:type="gramStart"/>
      <w:r w:rsidR="00BC0CA4">
        <w:rPr>
          <w:sz w:val="20"/>
          <w:szCs w:val="20"/>
        </w:rPr>
        <w:t>would appear to</w:t>
      </w:r>
      <w:proofErr w:type="gramEnd"/>
      <w:r w:rsidR="00BC0CA4">
        <w:rPr>
          <w:sz w:val="20"/>
          <w:szCs w:val="20"/>
        </w:rPr>
        <w:t xml:space="preserve"> penalize lower FHR units as they cannot keep up with large draws, running longer and deeper into recovery cycles with reliance on </w:t>
      </w:r>
      <w:r w:rsidR="00F0669B">
        <w:rPr>
          <w:sz w:val="20"/>
          <w:szCs w:val="20"/>
        </w:rPr>
        <w:t xml:space="preserve">electric </w:t>
      </w:r>
      <w:r w:rsidR="00BC0CA4">
        <w:rPr>
          <w:sz w:val="20"/>
          <w:szCs w:val="20"/>
        </w:rPr>
        <w:t>resistance</w:t>
      </w:r>
      <w:r w:rsidR="00F0669B">
        <w:rPr>
          <w:sz w:val="20"/>
          <w:szCs w:val="20"/>
        </w:rPr>
        <w:t xml:space="preserve">.  This results in an unintended bias against properly sized lower-FHR HPWHs.  Refer to the 2024 Uniform Plumbing Code, Chapter 5, Table 501.1(2) for sizing based on the Number of Bedrooms, Number of Bathrooms, and the First Hour Rating of water heaters.  </w:t>
      </w:r>
      <w:r w:rsidR="00FC27B9">
        <w:rPr>
          <w:sz w:val="20"/>
          <w:szCs w:val="20"/>
        </w:rPr>
        <w:t xml:space="preserve">The calculation should be reviewed </w:t>
      </w:r>
      <w:proofErr w:type="gramStart"/>
      <w:r w:rsidR="00FC27B9">
        <w:rPr>
          <w:sz w:val="20"/>
          <w:szCs w:val="20"/>
        </w:rPr>
        <w:t>as to</w:t>
      </w:r>
      <w:proofErr w:type="gramEnd"/>
      <w:r w:rsidR="00FC27B9">
        <w:rPr>
          <w:sz w:val="20"/>
          <w:szCs w:val="20"/>
        </w:rPr>
        <w:t xml:space="preserve"> not </w:t>
      </w:r>
      <w:r w:rsidR="00F237EE">
        <w:rPr>
          <w:sz w:val="20"/>
          <w:szCs w:val="20"/>
        </w:rPr>
        <w:t>to penalize</w:t>
      </w:r>
      <w:r w:rsidR="00FC27B9">
        <w:rPr>
          <w:sz w:val="20"/>
          <w:szCs w:val="20"/>
        </w:rPr>
        <w:t xml:space="preserve"> properly sized lower-FHR HPWHs.  </w:t>
      </w:r>
    </w:p>
    <w:p w14:paraId="7205E14E" w14:textId="478DE98C" w:rsidR="00FC27B9" w:rsidRDefault="00F237EE" w:rsidP="00B238D9">
      <w:pPr>
        <w:rPr>
          <w:sz w:val="20"/>
          <w:szCs w:val="20"/>
        </w:rPr>
      </w:pPr>
      <w:r w:rsidRPr="00F237EE">
        <w:rPr>
          <w:sz w:val="20"/>
          <w:szCs w:val="20"/>
        </w:rPr>
        <w:t>Analyzing the impact of the 1,500</w:t>
      </w:r>
      <w:r w:rsidR="00B238D9">
        <w:rPr>
          <w:sz w:val="20"/>
          <w:szCs w:val="20"/>
        </w:rPr>
        <w:t xml:space="preserve"> </w:t>
      </w:r>
      <w:r w:rsidR="00344700" w:rsidRPr="00344700">
        <w:rPr>
          <w:sz w:val="20"/>
          <w:szCs w:val="20"/>
        </w:rPr>
        <w:t>ft³</w:t>
      </w:r>
      <w:r w:rsidRPr="00F237EE">
        <w:rPr>
          <w:sz w:val="20"/>
          <w:szCs w:val="20"/>
        </w:rPr>
        <w:t xml:space="preserve"> </w:t>
      </w:r>
      <w:r w:rsidR="00344700">
        <w:rPr>
          <w:sz w:val="20"/>
          <w:szCs w:val="20"/>
        </w:rPr>
        <w:t>variable</w:t>
      </w:r>
      <w:r w:rsidRPr="00F237EE">
        <w:rPr>
          <w:sz w:val="20"/>
          <w:szCs w:val="20"/>
        </w:rPr>
        <w:t xml:space="preserve"> with data from AHRI Certified Database</w:t>
      </w:r>
      <w:r>
        <w:rPr>
          <w:sz w:val="20"/>
          <w:szCs w:val="20"/>
        </w:rPr>
        <w:t>, w</w:t>
      </w:r>
      <w:r w:rsidR="00FC27B9">
        <w:rPr>
          <w:sz w:val="20"/>
          <w:szCs w:val="20"/>
        </w:rPr>
        <w:t xml:space="preserve">e believe it premature </w:t>
      </w:r>
      <w:proofErr w:type="gramStart"/>
      <w:r w:rsidR="00FC27B9">
        <w:rPr>
          <w:sz w:val="20"/>
          <w:szCs w:val="20"/>
        </w:rPr>
        <w:t>at this time</w:t>
      </w:r>
      <w:proofErr w:type="gramEnd"/>
      <w:r w:rsidR="00FC27B9">
        <w:rPr>
          <w:sz w:val="20"/>
          <w:szCs w:val="20"/>
        </w:rPr>
        <w:t xml:space="preserve"> to derate the </w:t>
      </w:r>
      <w:proofErr w:type="spellStart"/>
      <w:r w:rsidR="00FC27B9">
        <w:rPr>
          <w:sz w:val="20"/>
          <w:szCs w:val="20"/>
        </w:rPr>
        <w:t>COPhp</w:t>
      </w:r>
      <w:proofErr w:type="spellEnd"/>
      <w:r w:rsidR="00FC27B9">
        <w:rPr>
          <w:sz w:val="20"/>
          <w:szCs w:val="20"/>
        </w:rPr>
        <w:t xml:space="preserve"> of HPWHs with </w:t>
      </w:r>
      <w:r w:rsidR="00FC27B9" w:rsidRPr="00FC27B9">
        <w:rPr>
          <w:sz w:val="20"/>
          <w:szCs w:val="20"/>
        </w:rPr>
        <w:t>Eq 4.x-y</w:t>
      </w:r>
      <w:r w:rsidR="00FC27B9">
        <w:rPr>
          <w:sz w:val="20"/>
          <w:szCs w:val="20"/>
        </w:rPr>
        <w:t>.  Per UL 60335-2-40, manufacturers include in their Installation/Owner Manuals the minimum air volume requirements, open air-flow area needed</w:t>
      </w:r>
      <w:r w:rsidR="001145D6">
        <w:rPr>
          <w:sz w:val="20"/>
          <w:szCs w:val="20"/>
        </w:rPr>
        <w:t>, ducting requirements, louvres</w:t>
      </w:r>
      <w:r w:rsidR="00344700">
        <w:rPr>
          <w:sz w:val="20"/>
          <w:szCs w:val="20"/>
        </w:rPr>
        <w:t>,</w:t>
      </w:r>
      <w:r w:rsidR="001145D6">
        <w:rPr>
          <w:sz w:val="20"/>
          <w:szCs w:val="20"/>
        </w:rPr>
        <w:t xml:space="preserve"> et al.  </w:t>
      </w:r>
      <w:r w:rsidR="00367E94">
        <w:rPr>
          <w:sz w:val="20"/>
          <w:szCs w:val="20"/>
        </w:rPr>
        <w:t xml:space="preserve">Air-Conditioning, Heating, and Refrigeration Institute (AHRI) represents over 315 </w:t>
      </w:r>
      <w:r w:rsidR="00367E94" w:rsidRPr="00367E94">
        <w:rPr>
          <w:sz w:val="20"/>
          <w:szCs w:val="20"/>
        </w:rPr>
        <w:t>air-conditioning, heating, and refrigeration equipment manufacturers</w:t>
      </w:r>
      <w:r w:rsidR="00367E94">
        <w:rPr>
          <w:sz w:val="20"/>
          <w:szCs w:val="20"/>
        </w:rPr>
        <w:t xml:space="preserve">; stakeholders from industry and outside industry are active in the process of developing Guideline U-202x Residential Heat Pump Water Heater Installation.  The guideline for residential HPWHs looks to improve field installation practices, and consistency across manufacturer instructions.  We strongly recommend RESNET members participation. </w:t>
      </w:r>
      <w:r w:rsidR="000548F7">
        <w:rPr>
          <w:sz w:val="20"/>
          <w:szCs w:val="20"/>
        </w:rPr>
        <w:t xml:space="preserve"> </w:t>
      </w:r>
      <w:r>
        <w:rPr>
          <w:sz w:val="20"/>
          <w:szCs w:val="20"/>
        </w:rPr>
        <w:br/>
      </w:r>
      <w:r>
        <w:rPr>
          <w:sz w:val="20"/>
          <w:szCs w:val="20"/>
        </w:rPr>
        <w:br/>
        <w:t xml:space="preserve">The Amazing Shrinking Room Study is a great start to understanding air volume requirements for HPWHs.   </w:t>
      </w:r>
      <w:r w:rsidR="00751C43">
        <w:rPr>
          <w:sz w:val="20"/>
          <w:szCs w:val="20"/>
        </w:rPr>
        <w:t xml:space="preserve">There are opportunities to broaden our understanding of </w:t>
      </w:r>
      <w:r w:rsidR="00887DD1">
        <w:rPr>
          <w:sz w:val="20"/>
          <w:szCs w:val="20"/>
        </w:rPr>
        <w:t>this subject</w:t>
      </w:r>
      <w:r w:rsidR="00751C43">
        <w:rPr>
          <w:sz w:val="20"/>
          <w:szCs w:val="20"/>
        </w:rPr>
        <w:t>, as t</w:t>
      </w:r>
      <w:r w:rsidR="007C5144">
        <w:rPr>
          <w:sz w:val="20"/>
          <w:szCs w:val="20"/>
        </w:rPr>
        <w:t xml:space="preserve">he 2022 study evaluated one (1) HPWH from a single manufacturer.  </w:t>
      </w:r>
      <w:r w:rsidR="00B238D9">
        <w:rPr>
          <w:sz w:val="20"/>
          <w:szCs w:val="20"/>
        </w:rPr>
        <w:t>The project team notes that other HPWH products on the market have somewhat different operating mode strategies and compressor operating ranges, stating</w:t>
      </w:r>
      <w:r w:rsidR="00344700">
        <w:rPr>
          <w:sz w:val="20"/>
          <w:szCs w:val="20"/>
        </w:rPr>
        <w:t xml:space="preserve"> </w:t>
      </w:r>
      <w:r w:rsidR="00B238D9">
        <w:rPr>
          <w:sz w:val="20"/>
          <w:szCs w:val="20"/>
        </w:rPr>
        <w:t xml:space="preserve"> ‘H</w:t>
      </w:r>
      <w:r w:rsidR="00B238D9" w:rsidRPr="00B238D9">
        <w:rPr>
          <w:sz w:val="20"/>
          <w:szCs w:val="20"/>
        </w:rPr>
        <w:t>owever, the controls of different models are more similar than not,</w:t>
      </w:r>
      <w:r w:rsidR="00B238D9">
        <w:rPr>
          <w:sz w:val="20"/>
          <w:szCs w:val="20"/>
        </w:rPr>
        <w:t xml:space="preserve"> </w:t>
      </w:r>
      <w:r w:rsidR="00B238D9" w:rsidRPr="00B238D9">
        <w:rPr>
          <w:sz w:val="20"/>
          <w:szCs w:val="20"/>
        </w:rPr>
        <w:t>which leads the project team to conjecture that the actionable findings from studying a</w:t>
      </w:r>
      <w:r w:rsidR="00B238D9">
        <w:rPr>
          <w:sz w:val="20"/>
          <w:szCs w:val="20"/>
        </w:rPr>
        <w:t xml:space="preserve"> </w:t>
      </w:r>
      <w:r w:rsidR="00B238D9" w:rsidRPr="00B238D9">
        <w:rPr>
          <w:sz w:val="20"/>
          <w:szCs w:val="20"/>
        </w:rPr>
        <w:t>different water heater would be similar to those of the one studied here</w:t>
      </w:r>
      <w:r w:rsidR="00B238D9">
        <w:rPr>
          <w:sz w:val="20"/>
          <w:szCs w:val="20"/>
        </w:rPr>
        <w:t>’</w:t>
      </w:r>
      <w:r w:rsidR="00B238D9" w:rsidRPr="00B238D9">
        <w:rPr>
          <w:sz w:val="20"/>
          <w:szCs w:val="20"/>
        </w:rPr>
        <w:t>.</w:t>
      </w:r>
      <w:r w:rsidR="00B238D9">
        <w:rPr>
          <w:sz w:val="20"/>
          <w:szCs w:val="20"/>
        </w:rPr>
        <w:t xml:space="preserve"> </w:t>
      </w:r>
      <w:r w:rsidR="009A03A7">
        <w:rPr>
          <w:sz w:val="20"/>
          <w:szCs w:val="20"/>
        </w:rPr>
        <w:t>Also,</w:t>
      </w:r>
      <w:r w:rsidR="00B238D9">
        <w:rPr>
          <w:sz w:val="20"/>
          <w:szCs w:val="20"/>
        </w:rPr>
        <w:t xml:space="preserve"> ‘</w:t>
      </w:r>
      <w:r w:rsidR="00B238D9" w:rsidRPr="00B238D9">
        <w:rPr>
          <w:sz w:val="20"/>
          <w:szCs w:val="20"/>
        </w:rPr>
        <w:t>although this study examined one specific HPWH from</w:t>
      </w:r>
      <w:r w:rsidR="00703B1F">
        <w:rPr>
          <w:sz w:val="20"/>
          <w:szCs w:val="20"/>
        </w:rPr>
        <w:t>…</w:t>
      </w:r>
      <w:r w:rsidR="00B238D9" w:rsidRPr="00B238D9">
        <w:rPr>
          <w:sz w:val="20"/>
          <w:szCs w:val="20"/>
        </w:rPr>
        <w:t>, the findings</w:t>
      </w:r>
      <w:r w:rsidR="00B238D9">
        <w:rPr>
          <w:sz w:val="20"/>
          <w:szCs w:val="20"/>
        </w:rPr>
        <w:t xml:space="preserve"> </w:t>
      </w:r>
      <w:r w:rsidR="00B238D9" w:rsidRPr="00B238D9">
        <w:rPr>
          <w:sz w:val="20"/>
          <w:szCs w:val="20"/>
        </w:rPr>
        <w:t>about the impacts of the air-cooling effect are generalizable to the other makes and models</w:t>
      </w:r>
      <w:r w:rsidR="00B238D9">
        <w:rPr>
          <w:sz w:val="20"/>
          <w:szCs w:val="20"/>
        </w:rPr>
        <w:t xml:space="preserve"> </w:t>
      </w:r>
      <w:r w:rsidR="00B238D9" w:rsidRPr="00B238D9">
        <w:rPr>
          <w:sz w:val="20"/>
          <w:szCs w:val="20"/>
        </w:rPr>
        <w:t>currently on the market.</w:t>
      </w:r>
      <w:r w:rsidR="00B238D9">
        <w:rPr>
          <w:sz w:val="20"/>
          <w:szCs w:val="20"/>
        </w:rPr>
        <w:t xml:space="preserve">’ </w:t>
      </w:r>
      <w:r w:rsidR="00703B1F">
        <w:rPr>
          <w:sz w:val="20"/>
          <w:szCs w:val="20"/>
        </w:rPr>
        <w:t xml:space="preserve">  BWC observes </w:t>
      </w:r>
      <w:r w:rsidR="00B238D9" w:rsidRPr="00B238D9">
        <w:rPr>
          <w:sz w:val="20"/>
          <w:szCs w:val="20"/>
        </w:rPr>
        <w:t>HPWHs may not achieve the product’s rated</w:t>
      </w:r>
      <w:r w:rsidR="00B238D9">
        <w:rPr>
          <w:sz w:val="20"/>
          <w:szCs w:val="20"/>
        </w:rPr>
        <w:t xml:space="preserve"> </w:t>
      </w:r>
      <w:r w:rsidR="00B238D9" w:rsidRPr="00B238D9">
        <w:rPr>
          <w:sz w:val="20"/>
          <w:szCs w:val="20"/>
        </w:rPr>
        <w:t xml:space="preserve">Uniform Energy Factor (UEF) once installed due to several factors </w:t>
      </w:r>
      <w:proofErr w:type="gramStart"/>
      <w:r w:rsidR="00B238D9" w:rsidRPr="00B238D9">
        <w:rPr>
          <w:sz w:val="20"/>
          <w:szCs w:val="20"/>
        </w:rPr>
        <w:t>including:</w:t>
      </w:r>
      <w:proofErr w:type="gramEnd"/>
      <w:r w:rsidR="00B238D9" w:rsidRPr="00B238D9">
        <w:rPr>
          <w:sz w:val="20"/>
          <w:szCs w:val="20"/>
        </w:rPr>
        <w:t xml:space="preserve"> ambient room temperature,</w:t>
      </w:r>
      <w:r w:rsidR="00B238D9">
        <w:rPr>
          <w:sz w:val="20"/>
          <w:szCs w:val="20"/>
        </w:rPr>
        <w:t xml:space="preserve"> </w:t>
      </w:r>
      <w:r w:rsidR="00B238D9" w:rsidRPr="00B238D9">
        <w:rPr>
          <w:sz w:val="20"/>
          <w:szCs w:val="20"/>
        </w:rPr>
        <w:t>available air volume to exchange heat, occupancy usage patterns, etc.</w:t>
      </w:r>
    </w:p>
    <w:p w14:paraId="7D7A495F" w14:textId="247FA1A0" w:rsidR="009969D4" w:rsidRDefault="009969D4" w:rsidP="009969D4">
      <w:pPr>
        <w:rPr>
          <w:sz w:val="20"/>
          <w:szCs w:val="20"/>
        </w:rPr>
      </w:pPr>
      <w:r w:rsidRPr="009969D4">
        <w:rPr>
          <w:sz w:val="20"/>
          <w:szCs w:val="20"/>
        </w:rPr>
        <w:t>Review of Eq. 4.x</w:t>
      </w:r>
      <w:r w:rsidRPr="009969D4">
        <w:rPr>
          <w:sz w:val="20"/>
          <w:szCs w:val="20"/>
        </w:rPr>
        <w:noBreakHyphen/>
        <w:t xml:space="preserve">y suggests that </w:t>
      </w:r>
      <w:proofErr w:type="spellStart"/>
      <w:r w:rsidRPr="009969D4">
        <w:rPr>
          <w:sz w:val="20"/>
          <w:szCs w:val="20"/>
        </w:rPr>
        <w:t>COPeff</w:t>
      </w:r>
      <w:proofErr w:type="spellEnd"/>
      <w:r w:rsidRPr="009969D4">
        <w:rPr>
          <w:sz w:val="20"/>
          <w:szCs w:val="20"/>
        </w:rPr>
        <w:t xml:space="preserve"> degradation with decreasing containment volume is applied uniformly across HPWHs, regardless of manufacturer-specific installation requirements. In practice, performance impacts are more appropriately related to the ratio of available air volume to the minimum volume specified by the manufacturer, not to a single absolute reference value.</w:t>
      </w:r>
      <w:r>
        <w:rPr>
          <w:sz w:val="20"/>
          <w:szCs w:val="20"/>
        </w:rPr>
        <w:t xml:space="preserve">  </w:t>
      </w:r>
    </w:p>
    <w:p w14:paraId="51B761A3" w14:textId="2EE133EA" w:rsidR="009969D4" w:rsidRPr="009969D4" w:rsidRDefault="009969D4" w:rsidP="009969D4">
      <w:pPr>
        <w:rPr>
          <w:sz w:val="20"/>
          <w:szCs w:val="20"/>
        </w:rPr>
      </w:pPr>
      <w:r w:rsidRPr="009969D4">
        <w:rPr>
          <w:sz w:val="20"/>
          <w:szCs w:val="20"/>
        </w:rPr>
        <w:lastRenderedPageBreak/>
        <w:t>Eq. 4.x</w:t>
      </w:r>
      <w:r w:rsidRPr="009969D4">
        <w:rPr>
          <w:sz w:val="20"/>
          <w:szCs w:val="20"/>
        </w:rPr>
        <w:noBreakHyphen/>
        <w:t xml:space="preserve">y does not appear to account for differences in manufacturer-required minimum air volumes. As written, it applies similar degradation trends to all units under the same usage pattern, even though HPWHs are designed and rated for different installation volumes (e.g., </w:t>
      </w:r>
      <w:r w:rsidR="00344700">
        <w:rPr>
          <w:sz w:val="20"/>
          <w:szCs w:val="20"/>
        </w:rPr>
        <w:t xml:space="preserve">400 </w:t>
      </w:r>
      <w:r w:rsidR="00344700" w:rsidRPr="00344700">
        <w:rPr>
          <w:sz w:val="20"/>
          <w:szCs w:val="20"/>
        </w:rPr>
        <w:t>ft³</w:t>
      </w:r>
      <w:r w:rsidR="00344700">
        <w:rPr>
          <w:sz w:val="20"/>
          <w:szCs w:val="20"/>
        </w:rPr>
        <w:t xml:space="preserve"> vs. </w:t>
      </w:r>
      <w:r w:rsidRPr="009969D4">
        <w:rPr>
          <w:sz w:val="20"/>
          <w:szCs w:val="20"/>
        </w:rPr>
        <w:t>750 ft³ vs. 1500 ft³).</w:t>
      </w:r>
    </w:p>
    <w:p w14:paraId="1B225D65" w14:textId="32AF3025" w:rsidR="009969D4" w:rsidRPr="009969D4" w:rsidRDefault="009969D4" w:rsidP="009969D4">
      <w:pPr>
        <w:rPr>
          <w:sz w:val="20"/>
          <w:szCs w:val="20"/>
        </w:rPr>
      </w:pPr>
      <w:r w:rsidRPr="009969D4">
        <w:rPr>
          <w:sz w:val="20"/>
          <w:szCs w:val="20"/>
        </w:rPr>
        <w:t xml:space="preserve">Illustrative comparisons highlight this inconsistency. A unit requiring 750 ft³ installed in a 400 ft³ space (≈53% of required volume) shows a substantial </w:t>
      </w:r>
      <w:proofErr w:type="spellStart"/>
      <w:r w:rsidRPr="009969D4">
        <w:rPr>
          <w:sz w:val="20"/>
          <w:szCs w:val="20"/>
        </w:rPr>
        <w:t>COPeff</w:t>
      </w:r>
      <w:proofErr w:type="spellEnd"/>
      <w:r w:rsidRPr="009969D4">
        <w:rPr>
          <w:sz w:val="20"/>
          <w:szCs w:val="20"/>
        </w:rPr>
        <w:t xml:space="preserve"> reduction (e.g., ~95% to ~82%), and even more severe degradation at smaller volumes. In contrast, a unit requiring 1500 ft³ installed at an equivalent fraction of its required volume shows significantly smaller </w:t>
      </w:r>
      <w:proofErr w:type="spellStart"/>
      <w:r w:rsidRPr="009969D4">
        <w:rPr>
          <w:sz w:val="20"/>
          <w:szCs w:val="20"/>
        </w:rPr>
        <w:t>COPeff</w:t>
      </w:r>
      <w:proofErr w:type="spellEnd"/>
      <w:r w:rsidRPr="009969D4">
        <w:rPr>
          <w:sz w:val="20"/>
          <w:szCs w:val="20"/>
        </w:rPr>
        <w:t xml:space="preserve"> degradation. </w:t>
      </w:r>
      <w:r w:rsidR="00915360">
        <w:rPr>
          <w:sz w:val="20"/>
          <w:szCs w:val="20"/>
        </w:rPr>
        <w:t>It appears</w:t>
      </w:r>
      <w:r w:rsidRPr="009969D4">
        <w:rPr>
          <w:sz w:val="20"/>
          <w:szCs w:val="20"/>
        </w:rPr>
        <w:t xml:space="preserve"> that the equation does not consistently scale performance impacts relative to manufacturer requirements.</w:t>
      </w:r>
    </w:p>
    <w:p w14:paraId="1065A564" w14:textId="77777777" w:rsidR="009969D4" w:rsidRPr="009969D4" w:rsidRDefault="009969D4" w:rsidP="009969D4">
      <w:pPr>
        <w:rPr>
          <w:sz w:val="20"/>
          <w:szCs w:val="20"/>
        </w:rPr>
      </w:pPr>
      <w:r w:rsidRPr="009969D4">
        <w:rPr>
          <w:sz w:val="20"/>
          <w:szCs w:val="20"/>
        </w:rPr>
        <w:t>As a result, Eq. 4.x</w:t>
      </w:r>
      <w:r w:rsidRPr="009969D4">
        <w:rPr>
          <w:sz w:val="20"/>
          <w:szCs w:val="20"/>
        </w:rPr>
        <w:noBreakHyphen/>
        <w:t>y may understate performance penalties for some units while overstating them for others, depending on their design constraints.</w:t>
      </w:r>
    </w:p>
    <w:p w14:paraId="26869B90" w14:textId="336EDFC5" w:rsidR="009969D4" w:rsidRPr="009969D4" w:rsidRDefault="009969D4" w:rsidP="009969D4">
      <w:pPr>
        <w:rPr>
          <w:sz w:val="20"/>
          <w:szCs w:val="20"/>
        </w:rPr>
      </w:pPr>
      <w:r>
        <w:rPr>
          <w:sz w:val="20"/>
          <w:szCs w:val="20"/>
        </w:rPr>
        <w:t xml:space="preserve">We recommend </w:t>
      </w:r>
      <w:r w:rsidRPr="009969D4">
        <w:rPr>
          <w:sz w:val="20"/>
          <w:szCs w:val="20"/>
        </w:rPr>
        <w:t xml:space="preserve">additional research and validation before </w:t>
      </w:r>
      <w:r>
        <w:rPr>
          <w:sz w:val="20"/>
          <w:szCs w:val="20"/>
        </w:rPr>
        <w:t>Eq 4.x-y</w:t>
      </w:r>
      <w:r w:rsidR="009A03A7">
        <w:rPr>
          <w:sz w:val="20"/>
          <w:szCs w:val="20"/>
        </w:rPr>
        <w:t xml:space="preserve"> is to be considered for possible inclusion in the public review of Addendum 77.</w:t>
      </w:r>
    </w:p>
    <w:p w14:paraId="023A17B3" w14:textId="77777777" w:rsidR="0000630F" w:rsidRDefault="0000630F" w:rsidP="0000630F">
      <w:pPr>
        <w:rPr>
          <w:b/>
          <w:bCs/>
        </w:rPr>
      </w:pPr>
    </w:p>
    <w:p w14:paraId="3ADFCCE6" w14:textId="77777777" w:rsidR="000E18FA" w:rsidRDefault="0000630F" w:rsidP="0000630F">
      <w:pPr>
        <w:rPr>
          <w:i/>
          <w:iCs/>
          <w:sz w:val="20"/>
          <w:szCs w:val="20"/>
        </w:rPr>
      </w:pPr>
      <w:r>
        <w:rPr>
          <w:b/>
          <w:bCs/>
        </w:rPr>
        <w:t>Proposed Change to the Draft Standard</w:t>
      </w:r>
      <w:r w:rsidRPr="0000630F">
        <w:rPr>
          <w:b/>
          <w:bCs/>
          <w:color w:val="FF0000"/>
        </w:rPr>
        <w:t>*</w:t>
      </w:r>
      <w:r>
        <w:br/>
      </w:r>
      <w:r w:rsidRPr="0000630F">
        <w:rPr>
          <w:i/>
          <w:iCs/>
          <w:sz w:val="20"/>
          <w:szCs w:val="20"/>
        </w:rPr>
        <w:t xml:space="preserve">Use “strikethrough” and “underline” formatting to indicate all proposed changes. </w:t>
      </w:r>
      <w:r w:rsidR="00001E7A">
        <w:rPr>
          <w:i/>
          <w:iCs/>
          <w:sz w:val="20"/>
          <w:szCs w:val="20"/>
        </w:rPr>
        <w:t>Changes must be shown with</w:t>
      </w:r>
      <w:r w:rsidR="00A519E2">
        <w:rPr>
          <w:i/>
          <w:iCs/>
          <w:sz w:val="20"/>
          <w:szCs w:val="20"/>
        </w:rPr>
        <w:t xml:space="preserve"> “</w:t>
      </w:r>
      <w:proofErr w:type="gramStart"/>
      <w:r w:rsidR="00A519E2">
        <w:rPr>
          <w:i/>
          <w:iCs/>
          <w:sz w:val="20"/>
          <w:szCs w:val="20"/>
        </w:rPr>
        <w:t>hard-formatting</w:t>
      </w:r>
      <w:proofErr w:type="gramEnd"/>
      <w:r w:rsidR="00A519E2">
        <w:rPr>
          <w:i/>
          <w:iCs/>
          <w:sz w:val="20"/>
          <w:szCs w:val="20"/>
        </w:rPr>
        <w:t xml:space="preserve">” strikethrough and underline, </w:t>
      </w:r>
      <w:r w:rsidR="00A519E2">
        <w:rPr>
          <w:i/>
          <w:iCs/>
          <w:sz w:val="20"/>
          <w:szCs w:val="20"/>
          <w:u w:val="single"/>
        </w:rPr>
        <w:t>not</w:t>
      </w:r>
      <w:r w:rsidR="00A519E2">
        <w:rPr>
          <w:i/>
          <w:iCs/>
          <w:sz w:val="20"/>
          <w:szCs w:val="20"/>
        </w:rPr>
        <w:t xml:space="preserve"> “track changes”.</w:t>
      </w:r>
      <w:r w:rsidR="000E18FA">
        <w:rPr>
          <w:i/>
          <w:iCs/>
          <w:sz w:val="20"/>
          <w:szCs w:val="20"/>
        </w:rPr>
        <w:t xml:space="preserve"> </w:t>
      </w:r>
    </w:p>
    <w:p w14:paraId="00BA7E5F" w14:textId="03DC4B5C" w:rsidR="0000630F" w:rsidRPr="0000630F" w:rsidRDefault="00255E22" w:rsidP="0000630F">
      <w:r>
        <w:rPr>
          <w:i/>
          <w:iCs/>
          <w:sz w:val="20"/>
          <w:szCs w:val="20"/>
        </w:rPr>
        <w:t>Use</w:t>
      </w:r>
      <w:r w:rsidR="000E18FA">
        <w:rPr>
          <w:i/>
          <w:iCs/>
          <w:sz w:val="20"/>
          <w:szCs w:val="20"/>
        </w:rPr>
        <w:t xml:space="preserve"> a color other than red to indicate proposed changes</w:t>
      </w:r>
      <w:r>
        <w:rPr>
          <w:i/>
          <w:iCs/>
          <w:sz w:val="20"/>
          <w:szCs w:val="20"/>
        </w:rPr>
        <w:t xml:space="preserve"> to the draft.</w:t>
      </w:r>
      <w:r w:rsidR="0000630F">
        <w:rPr>
          <w:i/>
          <w:iCs/>
          <w:sz w:val="20"/>
          <w:szCs w:val="20"/>
        </w:rPr>
        <w:br/>
      </w:r>
      <w:r w:rsidR="0000630F">
        <w:rPr>
          <w:sz w:val="20"/>
          <w:szCs w:val="20"/>
        </w:rPr>
        <w:t>____________________________________________________________________________________________</w:t>
      </w:r>
    </w:p>
    <w:p w14:paraId="3D9A7A93" w14:textId="77777777" w:rsidR="00782C92" w:rsidRPr="005C130D" w:rsidRDefault="00782C92" w:rsidP="00782C92">
      <w:pPr>
        <w:rPr>
          <w:color w:val="FF0000"/>
          <w:u w:val="single"/>
        </w:rPr>
      </w:pPr>
      <w:r w:rsidRPr="25E20A6D">
        <w:rPr>
          <w:color w:val="000000" w:themeColor="text1"/>
          <w:u w:val="single"/>
        </w:rPr>
        <w:t>v.3 For all HPWH, the UEF shall be separated into the heat pump COP</w:t>
      </w:r>
      <w:r w:rsidRPr="008844D6">
        <w:rPr>
          <w:rStyle w:val="FootnoteReference"/>
          <w:u w:val="single"/>
        </w:rPr>
        <w:footnoteReference w:id="1"/>
      </w:r>
      <w:proofErr w:type="gramStart"/>
      <w:r w:rsidRPr="132068C3">
        <w:t>￼</w:t>
      </w:r>
      <w:r w:rsidRPr="008844D6">
        <w:rPr>
          <w:u w:val="single"/>
        </w:rPr>
        <w:t xml:space="preserve"> ,which</w:t>
      </w:r>
      <w:proofErr w:type="gramEnd"/>
      <w:r w:rsidRPr="008844D6">
        <w:rPr>
          <w:u w:val="single"/>
        </w:rPr>
        <w:t xml:space="preserve"> excludes electric resistance power, and </w:t>
      </w:r>
      <w:r w:rsidRPr="25E20A6D">
        <w:rPr>
          <w:color w:val="000000" w:themeColor="text1"/>
          <w:u w:val="single"/>
        </w:rPr>
        <w:t xml:space="preserve">the tank UA </w:t>
      </w:r>
      <w:r w:rsidRPr="25E20A6D">
        <w:rPr>
          <w:u w:val="single"/>
        </w:rPr>
        <w:t>according to Tables X and Y.</w:t>
      </w:r>
    </w:p>
    <w:p w14:paraId="6A5D2A3F" w14:textId="77777777" w:rsidR="00782C92" w:rsidRPr="00F90EC0" w:rsidRDefault="00782C92" w:rsidP="00782C92">
      <w:pPr>
        <w:jc w:val="center"/>
        <w:rPr>
          <w:rFonts w:cstheme="minorHAnsi"/>
          <w:u w:val="single"/>
        </w:rPr>
      </w:pPr>
      <w:r w:rsidRPr="00F90EC0">
        <w:rPr>
          <w:rFonts w:cstheme="minorHAnsi"/>
          <w:u w:val="single"/>
        </w:rPr>
        <w:t xml:space="preserve">Table </w:t>
      </w:r>
      <w:r w:rsidRPr="008844D6">
        <w:rPr>
          <w:rFonts w:cstheme="minorHAnsi"/>
          <w:u w:val="single"/>
        </w:rPr>
        <w:t xml:space="preserve">X: Heat pump </w:t>
      </w:r>
      <w:r w:rsidRPr="00F90EC0">
        <w:rPr>
          <w:rFonts w:cstheme="minorHAnsi"/>
          <w:u w:val="single"/>
        </w:rPr>
        <w:t>COP Values</w:t>
      </w:r>
    </w:p>
    <w:tbl>
      <w:tblPr>
        <w:tblStyle w:val="TableGrid"/>
        <w:tblW w:w="0" w:type="auto"/>
        <w:jc w:val="center"/>
        <w:tblLook w:val="04A0" w:firstRow="1" w:lastRow="0" w:firstColumn="1" w:lastColumn="0" w:noHBand="0" w:noVBand="1"/>
      </w:tblPr>
      <w:tblGrid>
        <w:gridCol w:w="2760"/>
        <w:gridCol w:w="2395"/>
      </w:tblGrid>
      <w:tr w:rsidR="00782C92" w:rsidRPr="00F90EC0" w14:paraId="525C137A" w14:textId="77777777" w:rsidTr="00C026A5">
        <w:trPr>
          <w:jc w:val="center"/>
        </w:trPr>
        <w:tc>
          <w:tcPr>
            <w:tcW w:w="2760" w:type="dxa"/>
          </w:tcPr>
          <w:p w14:paraId="132AB2B8" w14:textId="77777777" w:rsidR="00782C92" w:rsidRPr="00F90EC0" w:rsidRDefault="00782C92" w:rsidP="00C026A5">
            <w:pPr>
              <w:rPr>
                <w:rFonts w:cstheme="minorHAnsi"/>
                <w:b/>
                <w:bCs/>
                <w:u w:val="single"/>
              </w:rPr>
            </w:pPr>
            <w:r w:rsidRPr="00F90EC0">
              <w:rPr>
                <w:rFonts w:cstheme="minorHAnsi"/>
                <w:b/>
                <w:bCs/>
                <w:u w:val="single"/>
              </w:rPr>
              <w:t>First Hour Rating</w:t>
            </w:r>
            <w:r w:rsidRPr="00F90EC0">
              <w:rPr>
                <w:rFonts w:cs="Times New Roman"/>
                <w:b/>
                <w:bCs/>
                <w:u w:val="single"/>
                <w:vertAlign w:val="superscript"/>
              </w:rPr>
              <w:footnoteReference w:id="2"/>
            </w:r>
            <w:r w:rsidRPr="00F90EC0">
              <w:rPr>
                <w:rFonts w:cstheme="minorHAnsi"/>
                <w:b/>
                <w:bCs/>
                <w:u w:val="single"/>
              </w:rPr>
              <w:t xml:space="preserve"> (gal/</w:t>
            </w:r>
            <w:proofErr w:type="spellStart"/>
            <w:r w:rsidRPr="00F90EC0">
              <w:rPr>
                <w:rFonts w:cstheme="minorHAnsi"/>
                <w:b/>
                <w:bCs/>
                <w:u w:val="single"/>
              </w:rPr>
              <w:t>hr</w:t>
            </w:r>
            <w:proofErr w:type="spellEnd"/>
            <w:r w:rsidRPr="00F90EC0">
              <w:rPr>
                <w:rFonts w:cstheme="minorHAnsi"/>
                <w:b/>
                <w:bCs/>
                <w:u w:val="single"/>
              </w:rPr>
              <w:t>)</w:t>
            </w:r>
          </w:p>
        </w:tc>
        <w:tc>
          <w:tcPr>
            <w:tcW w:w="2395" w:type="dxa"/>
          </w:tcPr>
          <w:p w14:paraId="6816EBAC" w14:textId="77777777" w:rsidR="00782C92" w:rsidRPr="00F90EC0" w:rsidRDefault="00782C92" w:rsidP="00C026A5">
            <w:pPr>
              <w:rPr>
                <w:rFonts w:cstheme="minorHAnsi"/>
                <w:b/>
                <w:bCs/>
                <w:u w:val="single"/>
              </w:rPr>
            </w:pPr>
            <w:proofErr w:type="spellStart"/>
            <w:r w:rsidRPr="00F90EC0">
              <w:rPr>
                <w:rFonts w:cstheme="minorHAnsi"/>
                <w:b/>
                <w:bCs/>
                <w:u w:val="single"/>
              </w:rPr>
              <w:t>CO</w:t>
            </w:r>
            <w:r w:rsidRPr="008844D6">
              <w:rPr>
                <w:rFonts w:cstheme="minorHAnsi"/>
                <w:b/>
                <w:bCs/>
                <w:u w:val="single"/>
              </w:rPr>
              <w:t>P</w:t>
            </w:r>
            <w:r w:rsidRPr="008844D6">
              <w:rPr>
                <w:rFonts w:cstheme="minorHAnsi"/>
                <w:b/>
                <w:bCs/>
                <w:vertAlign w:val="subscript"/>
              </w:rPr>
              <w:t>hp</w:t>
            </w:r>
            <w:proofErr w:type="spellEnd"/>
          </w:p>
        </w:tc>
      </w:tr>
      <w:tr w:rsidR="00782C92" w:rsidRPr="00F90EC0" w14:paraId="1E0B56C5" w14:textId="77777777" w:rsidTr="00C026A5">
        <w:trPr>
          <w:jc w:val="center"/>
        </w:trPr>
        <w:tc>
          <w:tcPr>
            <w:tcW w:w="2760" w:type="dxa"/>
          </w:tcPr>
          <w:p w14:paraId="31642209" w14:textId="77777777" w:rsidR="00782C92" w:rsidRPr="00F90EC0" w:rsidRDefault="00782C92" w:rsidP="00C026A5">
            <w:pPr>
              <w:rPr>
                <w:rFonts w:cstheme="minorHAnsi"/>
                <w:u w:val="single"/>
              </w:rPr>
            </w:pPr>
            <w:r w:rsidRPr="00F90EC0">
              <w:rPr>
                <w:rFonts w:cstheme="minorHAnsi"/>
                <w:u w:val="single"/>
              </w:rPr>
              <w:t>&gt;= 18, &lt; 51</w:t>
            </w:r>
          </w:p>
        </w:tc>
        <w:tc>
          <w:tcPr>
            <w:tcW w:w="2395" w:type="dxa"/>
          </w:tcPr>
          <w:p w14:paraId="697A90A1" w14:textId="77777777" w:rsidR="00782C92" w:rsidRPr="00F90EC0" w:rsidRDefault="00782C92" w:rsidP="00C026A5">
            <w:pPr>
              <w:rPr>
                <w:rFonts w:cstheme="minorHAnsi"/>
                <w:u w:val="single"/>
              </w:rPr>
            </w:pPr>
            <w:r w:rsidRPr="00F90EC0">
              <w:rPr>
                <w:rFonts w:cstheme="minorHAnsi"/>
                <w:u w:val="single"/>
              </w:rPr>
              <w:t>1.0005 * UEF - 0.0789</w:t>
            </w:r>
          </w:p>
        </w:tc>
      </w:tr>
      <w:tr w:rsidR="00782C92" w:rsidRPr="00F90EC0" w14:paraId="152F50E7" w14:textId="77777777" w:rsidTr="00C026A5">
        <w:trPr>
          <w:jc w:val="center"/>
        </w:trPr>
        <w:tc>
          <w:tcPr>
            <w:tcW w:w="2760" w:type="dxa"/>
          </w:tcPr>
          <w:p w14:paraId="340C74B8" w14:textId="77777777" w:rsidR="00782C92" w:rsidRPr="00F90EC0" w:rsidRDefault="00782C92" w:rsidP="00C026A5">
            <w:pPr>
              <w:rPr>
                <w:rFonts w:cstheme="minorHAnsi"/>
                <w:u w:val="single"/>
              </w:rPr>
            </w:pPr>
            <w:r w:rsidRPr="00F90EC0">
              <w:rPr>
                <w:rFonts w:cstheme="minorHAnsi"/>
                <w:u w:val="single"/>
              </w:rPr>
              <w:t>&gt;= 51, &lt; 75</w:t>
            </w:r>
          </w:p>
        </w:tc>
        <w:tc>
          <w:tcPr>
            <w:tcW w:w="2395" w:type="dxa"/>
          </w:tcPr>
          <w:p w14:paraId="5CE696AD" w14:textId="77777777" w:rsidR="00782C92" w:rsidRPr="00F90EC0" w:rsidRDefault="00782C92" w:rsidP="00C026A5">
            <w:pPr>
              <w:rPr>
                <w:rFonts w:cstheme="minorHAnsi"/>
                <w:u w:val="single"/>
              </w:rPr>
            </w:pPr>
            <w:r w:rsidRPr="00F90EC0">
              <w:rPr>
                <w:rFonts w:cstheme="minorHAnsi"/>
                <w:u w:val="single"/>
              </w:rPr>
              <w:t>1.0909 * UEF - 0.0868</w:t>
            </w:r>
          </w:p>
        </w:tc>
      </w:tr>
      <w:tr w:rsidR="00782C92" w:rsidRPr="00F90EC0" w14:paraId="246A2417" w14:textId="77777777" w:rsidTr="00C026A5">
        <w:trPr>
          <w:jc w:val="center"/>
        </w:trPr>
        <w:tc>
          <w:tcPr>
            <w:tcW w:w="2760" w:type="dxa"/>
          </w:tcPr>
          <w:p w14:paraId="533F7087" w14:textId="77777777" w:rsidR="00782C92" w:rsidRPr="00F90EC0" w:rsidRDefault="00782C92" w:rsidP="00C026A5">
            <w:pPr>
              <w:rPr>
                <w:rFonts w:cstheme="minorHAnsi"/>
                <w:u w:val="single"/>
              </w:rPr>
            </w:pPr>
            <w:r w:rsidRPr="00F90EC0">
              <w:rPr>
                <w:rFonts w:cstheme="minorHAnsi"/>
                <w:u w:val="single"/>
              </w:rPr>
              <w:t>&gt;= 75</w:t>
            </w:r>
          </w:p>
        </w:tc>
        <w:tc>
          <w:tcPr>
            <w:tcW w:w="2395" w:type="dxa"/>
          </w:tcPr>
          <w:p w14:paraId="43CCD73D" w14:textId="77777777" w:rsidR="00782C92" w:rsidRPr="00F90EC0" w:rsidRDefault="00782C92" w:rsidP="00C026A5">
            <w:pPr>
              <w:rPr>
                <w:rFonts w:cstheme="minorHAnsi"/>
                <w:u w:val="single"/>
              </w:rPr>
            </w:pPr>
            <w:r w:rsidRPr="00F90EC0">
              <w:rPr>
                <w:rFonts w:cstheme="minorHAnsi"/>
                <w:u w:val="single"/>
              </w:rPr>
              <w:t>1.1022 * UEF - 0.0877</w:t>
            </w:r>
          </w:p>
        </w:tc>
      </w:tr>
    </w:tbl>
    <w:p w14:paraId="16F75389" w14:textId="77777777" w:rsidR="00782C92" w:rsidRPr="00F90EC0" w:rsidRDefault="00782C92" w:rsidP="00782C92">
      <w:pPr>
        <w:spacing w:after="0" w:line="240" w:lineRule="auto"/>
        <w:rPr>
          <w:rFonts w:cstheme="minorHAnsi"/>
          <w:u w:val="single"/>
        </w:rPr>
      </w:pPr>
    </w:p>
    <w:p w14:paraId="294C65B2" w14:textId="77777777" w:rsidR="00782C92" w:rsidRPr="00F90EC0" w:rsidRDefault="00782C92" w:rsidP="00782C92">
      <w:pPr>
        <w:jc w:val="center"/>
        <w:rPr>
          <w:rFonts w:cstheme="minorHAnsi"/>
          <w:u w:val="single"/>
        </w:rPr>
      </w:pPr>
      <w:r w:rsidRPr="00F90EC0">
        <w:rPr>
          <w:rFonts w:cstheme="minorHAnsi"/>
          <w:u w:val="single"/>
        </w:rPr>
        <w:t>Table Y: HPWH Tank UA Values</w:t>
      </w:r>
    </w:p>
    <w:tbl>
      <w:tblPr>
        <w:tblStyle w:val="TableGrid"/>
        <w:tblW w:w="0" w:type="auto"/>
        <w:jc w:val="center"/>
        <w:tblLook w:val="04A0" w:firstRow="1" w:lastRow="0" w:firstColumn="1" w:lastColumn="0" w:noHBand="0" w:noVBand="1"/>
      </w:tblPr>
      <w:tblGrid>
        <w:gridCol w:w="2785"/>
        <w:gridCol w:w="2395"/>
      </w:tblGrid>
      <w:tr w:rsidR="00782C92" w:rsidRPr="00F90EC0" w14:paraId="570FC83B" w14:textId="77777777" w:rsidTr="00C026A5">
        <w:trPr>
          <w:jc w:val="center"/>
        </w:trPr>
        <w:tc>
          <w:tcPr>
            <w:tcW w:w="2785" w:type="dxa"/>
          </w:tcPr>
          <w:p w14:paraId="72E6169B" w14:textId="77777777" w:rsidR="00782C92" w:rsidRPr="00F90EC0" w:rsidRDefault="00782C92" w:rsidP="00C026A5">
            <w:pPr>
              <w:rPr>
                <w:rFonts w:cstheme="minorHAnsi"/>
                <w:b/>
                <w:bCs/>
                <w:u w:val="single"/>
              </w:rPr>
            </w:pPr>
            <w:r w:rsidRPr="00F90EC0">
              <w:rPr>
                <w:rFonts w:cstheme="minorHAnsi"/>
                <w:b/>
                <w:bCs/>
                <w:u w:val="single"/>
              </w:rPr>
              <w:t>Tank Volume (gal)</w:t>
            </w:r>
          </w:p>
        </w:tc>
        <w:tc>
          <w:tcPr>
            <w:tcW w:w="2395" w:type="dxa"/>
          </w:tcPr>
          <w:p w14:paraId="7FFE3A4E" w14:textId="77777777" w:rsidR="00782C92" w:rsidRPr="00F90EC0" w:rsidRDefault="00782C92" w:rsidP="00C026A5">
            <w:pPr>
              <w:rPr>
                <w:rFonts w:cstheme="minorHAnsi"/>
                <w:b/>
                <w:bCs/>
                <w:u w:val="single"/>
              </w:rPr>
            </w:pPr>
            <w:r w:rsidRPr="00F90EC0">
              <w:rPr>
                <w:rFonts w:cstheme="minorHAnsi"/>
                <w:b/>
                <w:bCs/>
                <w:u w:val="single"/>
              </w:rPr>
              <w:t>Tank UA (Btu/</w:t>
            </w:r>
            <w:proofErr w:type="spellStart"/>
            <w:r w:rsidRPr="00F90EC0">
              <w:rPr>
                <w:rFonts w:cstheme="minorHAnsi"/>
                <w:b/>
                <w:bCs/>
                <w:u w:val="single"/>
              </w:rPr>
              <w:t>hr</w:t>
            </w:r>
            <w:proofErr w:type="spellEnd"/>
            <w:r w:rsidRPr="00F90EC0">
              <w:rPr>
                <w:rFonts w:cstheme="minorHAnsi"/>
                <w:b/>
                <w:bCs/>
                <w:u w:val="single"/>
              </w:rPr>
              <w:t>-F)</w:t>
            </w:r>
          </w:p>
        </w:tc>
      </w:tr>
      <w:tr w:rsidR="00782C92" w:rsidRPr="00F90EC0" w14:paraId="12241199" w14:textId="77777777" w:rsidTr="00C026A5">
        <w:trPr>
          <w:jc w:val="center"/>
        </w:trPr>
        <w:tc>
          <w:tcPr>
            <w:tcW w:w="2785" w:type="dxa"/>
          </w:tcPr>
          <w:p w14:paraId="1381700E" w14:textId="77777777" w:rsidR="00782C92" w:rsidRPr="00F90EC0" w:rsidRDefault="00782C92" w:rsidP="00C026A5">
            <w:pPr>
              <w:rPr>
                <w:rFonts w:cstheme="minorHAnsi"/>
                <w:u w:val="single"/>
              </w:rPr>
            </w:pPr>
            <w:r w:rsidRPr="00F90EC0">
              <w:rPr>
                <w:rFonts w:cstheme="minorHAnsi"/>
                <w:u w:val="single"/>
              </w:rPr>
              <w:t>&lt;= 58</w:t>
            </w:r>
          </w:p>
        </w:tc>
        <w:tc>
          <w:tcPr>
            <w:tcW w:w="2395" w:type="dxa"/>
          </w:tcPr>
          <w:p w14:paraId="67B47CC9" w14:textId="77777777" w:rsidR="00782C92" w:rsidRPr="00F90EC0" w:rsidRDefault="00782C92" w:rsidP="00C026A5">
            <w:pPr>
              <w:rPr>
                <w:rFonts w:cstheme="minorHAnsi"/>
                <w:u w:val="single"/>
              </w:rPr>
            </w:pPr>
            <w:r w:rsidRPr="00F90EC0">
              <w:rPr>
                <w:rFonts w:cstheme="minorHAnsi"/>
                <w:u w:val="single"/>
              </w:rPr>
              <w:t>3.6</w:t>
            </w:r>
          </w:p>
        </w:tc>
      </w:tr>
      <w:tr w:rsidR="00782C92" w:rsidRPr="00F90EC0" w14:paraId="56AE765E" w14:textId="77777777" w:rsidTr="00C026A5">
        <w:trPr>
          <w:jc w:val="center"/>
        </w:trPr>
        <w:tc>
          <w:tcPr>
            <w:tcW w:w="2785" w:type="dxa"/>
          </w:tcPr>
          <w:p w14:paraId="0CC3E79D" w14:textId="77777777" w:rsidR="00782C92" w:rsidRPr="00F90EC0" w:rsidRDefault="00782C92" w:rsidP="00C026A5">
            <w:pPr>
              <w:rPr>
                <w:rFonts w:cstheme="minorHAnsi"/>
                <w:u w:val="single"/>
              </w:rPr>
            </w:pPr>
            <w:r w:rsidRPr="00F90EC0">
              <w:rPr>
                <w:rFonts w:cstheme="minorHAnsi"/>
                <w:u w:val="single"/>
              </w:rPr>
              <w:t>&gt; 58, &lt;= 73</w:t>
            </w:r>
          </w:p>
        </w:tc>
        <w:tc>
          <w:tcPr>
            <w:tcW w:w="2395" w:type="dxa"/>
          </w:tcPr>
          <w:p w14:paraId="52991B05" w14:textId="77777777" w:rsidR="00782C92" w:rsidRPr="00F90EC0" w:rsidRDefault="00782C92" w:rsidP="00C026A5">
            <w:pPr>
              <w:rPr>
                <w:rFonts w:cstheme="minorHAnsi"/>
                <w:u w:val="single"/>
              </w:rPr>
            </w:pPr>
            <w:r w:rsidRPr="00F90EC0">
              <w:rPr>
                <w:rFonts w:cstheme="minorHAnsi"/>
                <w:u w:val="single"/>
              </w:rPr>
              <w:t>4.0</w:t>
            </w:r>
          </w:p>
        </w:tc>
      </w:tr>
      <w:tr w:rsidR="00782C92" w:rsidRPr="00F90EC0" w14:paraId="475DDBFD" w14:textId="77777777" w:rsidTr="00C026A5">
        <w:trPr>
          <w:jc w:val="center"/>
        </w:trPr>
        <w:tc>
          <w:tcPr>
            <w:tcW w:w="2785" w:type="dxa"/>
          </w:tcPr>
          <w:p w14:paraId="7DFFCF08" w14:textId="77777777" w:rsidR="00782C92" w:rsidRPr="00F90EC0" w:rsidRDefault="00782C92" w:rsidP="00C026A5">
            <w:pPr>
              <w:rPr>
                <w:rFonts w:cstheme="minorHAnsi"/>
                <w:u w:val="single"/>
              </w:rPr>
            </w:pPr>
            <w:r w:rsidRPr="00F90EC0">
              <w:rPr>
                <w:rFonts w:cstheme="minorHAnsi"/>
                <w:u w:val="single"/>
              </w:rPr>
              <w:t>&gt; 73</w:t>
            </w:r>
          </w:p>
        </w:tc>
        <w:tc>
          <w:tcPr>
            <w:tcW w:w="2395" w:type="dxa"/>
          </w:tcPr>
          <w:p w14:paraId="59B672C5" w14:textId="77777777" w:rsidR="00782C92" w:rsidRPr="00F90EC0" w:rsidRDefault="00782C92" w:rsidP="00C026A5">
            <w:pPr>
              <w:rPr>
                <w:rFonts w:cstheme="minorHAnsi"/>
                <w:u w:val="single"/>
              </w:rPr>
            </w:pPr>
            <w:r w:rsidRPr="00F90EC0">
              <w:rPr>
                <w:rFonts w:cstheme="minorHAnsi"/>
                <w:u w:val="single"/>
              </w:rPr>
              <w:t>4.7</w:t>
            </w:r>
          </w:p>
        </w:tc>
      </w:tr>
    </w:tbl>
    <w:p w14:paraId="2C40EA38" w14:textId="77777777" w:rsidR="00782C92" w:rsidRPr="00782C92" w:rsidRDefault="00782C92" w:rsidP="00782C92"/>
    <w:p w14:paraId="55E7F43A" w14:textId="77777777" w:rsidR="00782C92" w:rsidRDefault="00782C92" w:rsidP="00782C92">
      <w:pPr>
        <w:rPr>
          <w:strike/>
          <w:color w:val="00B0F0"/>
          <w:u w:val="single"/>
        </w:rPr>
      </w:pPr>
    </w:p>
    <w:p w14:paraId="0CBB5E65" w14:textId="5166200A" w:rsidR="00782C92" w:rsidRPr="00782C92" w:rsidRDefault="00782C92" w:rsidP="00782C92">
      <w:pPr>
        <w:rPr>
          <w:rFonts w:ascii="Calibri" w:hAnsi="Calibri" w:cs="Calibri"/>
          <w:strike/>
          <w:color w:val="FF0000"/>
          <w:u w:val="single"/>
        </w:rPr>
      </w:pPr>
      <w:r w:rsidRPr="00782C92">
        <w:rPr>
          <w:strike/>
          <w:color w:val="00B0F0"/>
          <w:u w:val="single"/>
        </w:rPr>
        <w:t xml:space="preserve">In addition, all </w:t>
      </w:r>
      <w:proofErr w:type="spellStart"/>
      <w:r w:rsidRPr="00782C92">
        <w:rPr>
          <w:strike/>
          <w:color w:val="00B0F0"/>
          <w:u w:val="single"/>
        </w:rPr>
        <w:t>iHPWH</w:t>
      </w:r>
      <w:proofErr w:type="spellEnd"/>
      <w:r w:rsidRPr="00782C92">
        <w:rPr>
          <w:strike/>
          <w:color w:val="00B0F0"/>
          <w:u w:val="single"/>
        </w:rPr>
        <w:t xml:space="preserve"> installations shall account for the containment volume of the </w:t>
      </w:r>
      <w:proofErr w:type="spellStart"/>
      <w:r w:rsidRPr="00782C92">
        <w:rPr>
          <w:strike/>
          <w:color w:val="00B0F0"/>
          <w:u w:val="single"/>
        </w:rPr>
        <w:t>iHPWH</w:t>
      </w:r>
      <w:proofErr w:type="spellEnd"/>
      <w:r w:rsidRPr="00782C92">
        <w:rPr>
          <w:strike/>
          <w:color w:val="00B0F0"/>
          <w:u w:val="single"/>
        </w:rPr>
        <w:t xml:space="preserve"> by using </w:t>
      </w:r>
      <w:r w:rsidRPr="00782C92">
        <w:rPr>
          <w:rFonts w:ascii="Calibri" w:hAnsi="Calibri" w:cs="Calibri"/>
          <w:strike/>
          <w:color w:val="00B0F0"/>
          <w:u w:val="single"/>
        </w:rPr>
        <w:t>the effective COP (</w:t>
      </w:r>
      <w:proofErr w:type="spellStart"/>
      <w:r w:rsidRPr="00782C92">
        <w:rPr>
          <w:rFonts w:ascii="Calibri" w:hAnsi="Calibri" w:cs="Calibri"/>
          <w:strike/>
          <w:color w:val="00B0F0"/>
          <w:u w:val="single"/>
        </w:rPr>
        <w:t>COP</w:t>
      </w:r>
      <w:r w:rsidRPr="00782C92">
        <w:rPr>
          <w:rFonts w:ascii="Calibri" w:hAnsi="Calibri" w:cs="Calibri"/>
          <w:strike/>
          <w:color w:val="00B0F0"/>
          <w:u w:val="single"/>
          <w:vertAlign w:val="subscript"/>
        </w:rPr>
        <w:t>eff</w:t>
      </w:r>
      <w:proofErr w:type="spellEnd"/>
      <w:r w:rsidRPr="00782C92">
        <w:rPr>
          <w:rStyle w:val="FootnoteReference"/>
          <w:rFonts w:ascii="Calibri" w:hAnsi="Calibri"/>
          <w:strike/>
          <w:color w:val="00B0F0"/>
          <w:u w:val="single"/>
        </w:rPr>
        <w:footnoteReference w:id="3"/>
      </w:r>
      <w:r w:rsidRPr="00782C92">
        <w:rPr>
          <w:rFonts w:ascii="Calibri" w:hAnsi="Calibri" w:cs="Calibri"/>
          <w:strike/>
          <w:color w:val="00B0F0"/>
          <w:u w:val="single"/>
        </w:rPr>
        <w:t xml:space="preserve"> as determined by Equation 4.x-y. </w:t>
      </w:r>
    </w:p>
    <w:p w14:paraId="36714758" w14:textId="77777777" w:rsidR="00782C92" w:rsidRPr="00782C92" w:rsidRDefault="00782C92" w:rsidP="00782C92">
      <w:pPr>
        <w:tabs>
          <w:tab w:val="right" w:pos="12780"/>
        </w:tabs>
        <w:ind w:firstLine="720"/>
        <w:rPr>
          <w:rFonts w:ascii="Calibri" w:hAnsi="Calibri" w:cs="Calibri"/>
          <w:strike/>
          <w:color w:val="00B0F0"/>
          <w:u w:val="single"/>
        </w:rPr>
      </w:pPr>
      <w:proofErr w:type="spellStart"/>
      <w:r w:rsidRPr="00782C92">
        <w:rPr>
          <w:rFonts w:ascii="Calibri" w:hAnsi="Calibri" w:cs="Calibri"/>
          <w:strike/>
          <w:color w:val="00B0F0"/>
          <w:u w:val="single"/>
        </w:rPr>
        <w:t>COP</w:t>
      </w:r>
      <w:r w:rsidRPr="00782C92">
        <w:rPr>
          <w:rFonts w:ascii="Calibri" w:hAnsi="Calibri" w:cs="Calibri"/>
          <w:strike/>
          <w:color w:val="00B0F0"/>
          <w:u w:val="single"/>
          <w:vertAlign w:val="subscript"/>
        </w:rPr>
        <w:t>eff</w:t>
      </w:r>
      <w:proofErr w:type="spellEnd"/>
      <w:r w:rsidRPr="00782C92">
        <w:rPr>
          <w:rFonts w:ascii="Calibri" w:hAnsi="Calibri" w:cs="Calibri"/>
          <w:strike/>
          <w:color w:val="00B0F0"/>
          <w:u w:val="single"/>
        </w:rPr>
        <w:t xml:space="preserve"> = (</w:t>
      </w:r>
      <w:proofErr w:type="spellStart"/>
      <w:r w:rsidRPr="00782C92">
        <w:rPr>
          <w:rFonts w:ascii="Calibri" w:hAnsi="Calibri" w:cs="Calibri"/>
          <w:strike/>
          <w:color w:val="00B0F0"/>
          <w:u w:val="single"/>
        </w:rPr>
        <w:t>COP</w:t>
      </w:r>
      <w:r w:rsidRPr="00782C92">
        <w:rPr>
          <w:rFonts w:cstheme="minorHAnsi"/>
          <w:strike/>
          <w:color w:val="00B0F0"/>
          <w:u w:val="single"/>
          <w:vertAlign w:val="subscript"/>
        </w:rPr>
        <w:t>hp</w:t>
      </w:r>
      <w:proofErr w:type="spellEnd"/>
      <w:r w:rsidRPr="00782C92">
        <w:rPr>
          <w:rFonts w:ascii="Calibri" w:hAnsi="Calibri" w:cs="Calibri"/>
          <w:strike/>
          <w:color w:val="00B0F0"/>
          <w:u w:val="single"/>
          <w:vertAlign w:val="subscript"/>
        </w:rPr>
        <w:t xml:space="preserve"> </w:t>
      </w:r>
      <w:r w:rsidRPr="00782C92">
        <w:rPr>
          <w:rFonts w:ascii="Calibri" w:hAnsi="Calibri" w:cs="Calibri"/>
          <w:strike/>
          <w:color w:val="00B0F0"/>
          <w:u w:val="single"/>
        </w:rPr>
        <w:t xml:space="preserve">- 0.92) * (1 - </w:t>
      </w:r>
      <w:proofErr w:type="gramStart"/>
      <w:r w:rsidRPr="00782C92">
        <w:rPr>
          <w:rFonts w:ascii="Calibri" w:hAnsi="Calibri" w:cs="Calibri"/>
          <w:strike/>
          <w:color w:val="00B0F0"/>
          <w:u w:val="single"/>
        </w:rPr>
        <w:t>( 1.009</w:t>
      </w:r>
      <w:proofErr w:type="gramEnd"/>
      <w:r w:rsidRPr="00782C92">
        <w:rPr>
          <w:rFonts w:ascii="Calibri" w:hAnsi="Calibri" w:cs="Calibri"/>
          <w:strike/>
          <w:color w:val="00B0F0"/>
          <w:u w:val="single"/>
        </w:rPr>
        <w:t xml:space="preserve"> * exp(-5.492*(RV</w:t>
      </w:r>
      <w:proofErr w:type="gramStart"/>
      <w:r w:rsidRPr="00782C92">
        <w:rPr>
          <w:rFonts w:ascii="Calibri" w:hAnsi="Calibri" w:cs="Calibri"/>
          <w:strike/>
          <w:color w:val="00B0F0"/>
          <w:u w:val="single"/>
        </w:rPr>
        <w:t>) )</w:t>
      </w:r>
      <w:proofErr w:type="gramEnd"/>
      <w:r w:rsidRPr="00782C92">
        <w:rPr>
          <w:rFonts w:ascii="Calibri" w:hAnsi="Calibri" w:cs="Calibri"/>
          <w:strike/>
          <w:color w:val="00B0F0"/>
          <w:u w:val="single"/>
        </w:rPr>
        <w:t xml:space="preserve"> </w:t>
      </w:r>
      <w:proofErr w:type="gramStart"/>
      <w:r w:rsidRPr="00782C92">
        <w:rPr>
          <w:rFonts w:ascii="Calibri" w:hAnsi="Calibri" w:cs="Calibri"/>
          <w:strike/>
          <w:color w:val="00B0F0"/>
          <w:u w:val="single"/>
        </w:rPr>
        <w:t>) )</w:t>
      </w:r>
      <w:proofErr w:type="gramEnd"/>
      <w:r w:rsidRPr="00782C92">
        <w:rPr>
          <w:rFonts w:ascii="Calibri" w:hAnsi="Calibri" w:cs="Calibri"/>
          <w:strike/>
          <w:color w:val="00B0F0"/>
          <w:u w:val="single"/>
        </w:rPr>
        <w:t xml:space="preserve"> + 0.92</w:t>
      </w:r>
      <w:r w:rsidRPr="00782C92">
        <w:rPr>
          <w:rFonts w:ascii="Calibri" w:hAnsi="Calibri" w:cs="Calibri"/>
          <w:strike/>
          <w:color w:val="00B0F0"/>
          <w:u w:val="single"/>
        </w:rPr>
        <w:tab/>
        <w:t>Eq 4.x-y</w:t>
      </w:r>
    </w:p>
    <w:p w14:paraId="32CACCF1" w14:textId="77777777" w:rsidR="00782C92" w:rsidRPr="00782C92" w:rsidRDefault="00782C92" w:rsidP="00782C92">
      <w:pPr>
        <w:spacing w:after="0"/>
        <w:ind w:left="720"/>
        <w:rPr>
          <w:rFonts w:cstheme="minorHAnsi"/>
          <w:strike/>
          <w:color w:val="00B0F0"/>
          <w:u w:val="single"/>
        </w:rPr>
      </w:pPr>
      <w:r w:rsidRPr="00782C92">
        <w:rPr>
          <w:rFonts w:cstheme="minorHAnsi"/>
          <w:strike/>
          <w:color w:val="00B0F0"/>
          <w:u w:val="single"/>
        </w:rPr>
        <w:t>Where:</w:t>
      </w:r>
    </w:p>
    <w:p w14:paraId="29250874" w14:textId="77777777" w:rsidR="00782C92" w:rsidRPr="00782C92" w:rsidRDefault="00782C92" w:rsidP="00782C92">
      <w:pPr>
        <w:spacing w:after="0"/>
        <w:ind w:left="1080"/>
        <w:rPr>
          <w:rFonts w:cstheme="minorHAnsi"/>
          <w:strike/>
          <w:color w:val="00B0F0"/>
          <w:u w:val="single"/>
        </w:rPr>
      </w:pPr>
      <w:proofErr w:type="spellStart"/>
      <w:r w:rsidRPr="00782C92">
        <w:rPr>
          <w:rFonts w:cstheme="minorHAnsi"/>
          <w:strike/>
          <w:color w:val="00B0F0"/>
          <w:u w:val="single"/>
        </w:rPr>
        <w:t>COP</w:t>
      </w:r>
      <w:r w:rsidRPr="00782C92">
        <w:rPr>
          <w:rFonts w:cstheme="minorHAnsi"/>
          <w:strike/>
          <w:color w:val="00B0F0"/>
          <w:u w:val="single"/>
          <w:vertAlign w:val="subscript"/>
        </w:rPr>
        <w:t>hp</w:t>
      </w:r>
      <w:proofErr w:type="spellEnd"/>
      <w:r w:rsidRPr="00782C92">
        <w:rPr>
          <w:rFonts w:cstheme="minorHAnsi"/>
          <w:strike/>
          <w:color w:val="00B0F0"/>
          <w:u w:val="single"/>
        </w:rPr>
        <w:t xml:space="preserve"> = Value determined from Table X Heat pump COP at the rated UEF ambient air temperature and a tank temperature equal to the UEF temperature setpoint</w:t>
      </w:r>
    </w:p>
    <w:p w14:paraId="0CC207E3" w14:textId="77777777" w:rsidR="00782C92" w:rsidRPr="00782C92" w:rsidRDefault="00782C92" w:rsidP="00782C92">
      <w:pPr>
        <w:ind w:left="360" w:firstLine="720"/>
        <w:rPr>
          <w:rStyle w:val="markedcontent"/>
          <w:rFonts w:cstheme="minorHAnsi"/>
          <w:strike/>
          <w:color w:val="00B0F0"/>
          <w:u w:val="single"/>
        </w:rPr>
      </w:pPr>
      <w:r w:rsidRPr="00782C92">
        <w:rPr>
          <w:rFonts w:cstheme="minorHAnsi"/>
          <w:strike/>
          <w:color w:val="00B0F0"/>
          <w:u w:val="single"/>
        </w:rPr>
        <w:t>RV = Relative Volume = MIN [(</w:t>
      </w:r>
      <w:proofErr w:type="spellStart"/>
      <w:r w:rsidRPr="00782C92">
        <w:rPr>
          <w:rFonts w:cstheme="minorHAnsi"/>
          <w:strike/>
          <w:color w:val="00B0F0"/>
          <w:u w:val="single"/>
        </w:rPr>
        <w:t>iHPWH</w:t>
      </w:r>
      <w:proofErr w:type="spellEnd"/>
      <w:r w:rsidRPr="00782C92">
        <w:rPr>
          <w:rFonts w:cstheme="minorHAnsi"/>
          <w:strike/>
          <w:color w:val="00B0F0"/>
          <w:u w:val="single"/>
        </w:rPr>
        <w:t xml:space="preserve"> </w:t>
      </w:r>
      <w:proofErr w:type="spellStart"/>
      <w:r w:rsidRPr="00782C92">
        <w:rPr>
          <w:rFonts w:cstheme="minorHAnsi"/>
          <w:strike/>
          <w:color w:val="00B0F0"/>
          <w:u w:val="single"/>
        </w:rPr>
        <w:t>Ccontainment</w:t>
      </w:r>
      <w:proofErr w:type="spellEnd"/>
      <w:r w:rsidRPr="00782C92">
        <w:rPr>
          <w:rFonts w:cstheme="minorHAnsi"/>
          <w:strike/>
          <w:color w:val="00B0F0"/>
          <w:u w:val="single"/>
        </w:rPr>
        <w:t xml:space="preserve"> </w:t>
      </w:r>
      <w:proofErr w:type="spellStart"/>
      <w:r w:rsidRPr="00782C92">
        <w:rPr>
          <w:rFonts w:cstheme="minorHAnsi"/>
          <w:strike/>
          <w:color w:val="00B0F0"/>
          <w:u w:val="single"/>
        </w:rPr>
        <w:t>Vvolume</w:t>
      </w:r>
      <w:proofErr w:type="spellEnd"/>
      <w:r w:rsidRPr="00782C92">
        <w:rPr>
          <w:rFonts w:cstheme="minorHAnsi"/>
          <w:strike/>
          <w:color w:val="00B0F0"/>
          <w:u w:val="single"/>
        </w:rPr>
        <w:t>, ft</w:t>
      </w:r>
      <w:r w:rsidRPr="00782C92">
        <w:rPr>
          <w:rFonts w:cstheme="minorHAnsi"/>
          <w:strike/>
          <w:color w:val="00B0F0"/>
          <w:u w:val="single"/>
          <w:vertAlign w:val="superscript"/>
        </w:rPr>
        <w:t>3</w:t>
      </w:r>
      <w:r w:rsidRPr="00782C92">
        <w:rPr>
          <w:rFonts w:cstheme="minorHAnsi"/>
          <w:strike/>
          <w:color w:val="00B0F0"/>
          <w:u w:val="single"/>
        </w:rPr>
        <w:t>)/1,500 ft</w:t>
      </w:r>
      <w:r w:rsidRPr="00782C92">
        <w:rPr>
          <w:rFonts w:cstheme="minorHAnsi"/>
          <w:strike/>
          <w:color w:val="00B0F0"/>
          <w:u w:val="single"/>
          <w:vertAlign w:val="superscript"/>
        </w:rPr>
        <w:t>3</w:t>
      </w:r>
      <w:r w:rsidRPr="00782C92">
        <w:rPr>
          <w:rFonts w:cstheme="minorHAnsi"/>
          <w:strike/>
          <w:color w:val="00B0F0"/>
          <w:u w:val="single"/>
        </w:rPr>
        <w:t>), 1.0]</w:t>
      </w:r>
    </w:p>
    <w:p w14:paraId="0AB5365B" w14:textId="77777777" w:rsidR="00782C92" w:rsidRPr="00782C92" w:rsidRDefault="00782C92" w:rsidP="00782C92">
      <w:pPr>
        <w:ind w:left="1440"/>
        <w:rPr>
          <w:strike/>
          <w:color w:val="00B0F0"/>
          <w:u w:val="single"/>
        </w:rPr>
      </w:pPr>
      <w:r w:rsidRPr="00782C92">
        <w:rPr>
          <w:strike/>
          <w:color w:val="00B0F0"/>
          <w:u w:val="single"/>
        </w:rPr>
        <w:t xml:space="preserve">Containment Volume = The volume of the smallest enclosed space that contains the </w:t>
      </w:r>
      <w:proofErr w:type="spellStart"/>
      <w:r w:rsidRPr="00782C92">
        <w:rPr>
          <w:strike/>
          <w:color w:val="00B0F0"/>
          <w:u w:val="single"/>
        </w:rPr>
        <w:t>iHPWH</w:t>
      </w:r>
      <w:proofErr w:type="spellEnd"/>
      <w:r w:rsidRPr="00782C92">
        <w:rPr>
          <w:strike/>
          <w:color w:val="00B0F0"/>
          <w:u w:val="single"/>
        </w:rPr>
        <w:t>. The containment volume shall be permitted to be expanded as follows:</w:t>
      </w:r>
    </w:p>
    <w:p w14:paraId="64F2FEF3" w14:textId="77777777" w:rsidR="00782C92" w:rsidRPr="00782C92" w:rsidRDefault="00782C92" w:rsidP="00782C92">
      <w:pPr>
        <w:ind w:left="1800"/>
        <w:rPr>
          <w:strike/>
          <w:color w:val="FF0000"/>
          <w:u w:val="single"/>
        </w:rPr>
      </w:pPr>
      <w:r w:rsidRPr="00782C92">
        <w:rPr>
          <w:strike/>
          <w:color w:val="00B0F0"/>
          <w:u w:val="single"/>
        </w:rPr>
        <w:t xml:space="preserve">Where the enclosed space containing the </w:t>
      </w:r>
      <w:proofErr w:type="spellStart"/>
      <w:r w:rsidRPr="00782C92">
        <w:rPr>
          <w:strike/>
          <w:color w:val="00B0F0"/>
          <w:u w:val="single"/>
        </w:rPr>
        <w:t>iHPWH</w:t>
      </w:r>
      <w:proofErr w:type="spellEnd"/>
      <w:r w:rsidRPr="00782C92">
        <w:rPr>
          <w:strike/>
          <w:color w:val="00B0F0"/>
          <w:u w:val="single"/>
        </w:rPr>
        <w:t> includes a louvered door or upper and lower vents with a total net free area of 300 in</w:t>
      </w:r>
      <w:r w:rsidRPr="00782C92">
        <w:rPr>
          <w:strike/>
          <w:color w:val="00B0F0"/>
          <w:u w:val="single"/>
          <w:vertAlign w:val="superscript"/>
        </w:rPr>
        <w:t>2</w:t>
      </w:r>
      <w:r w:rsidRPr="00782C92">
        <w:rPr>
          <w:strike/>
          <w:color w:val="00B0F0"/>
          <w:u w:val="single"/>
        </w:rPr>
        <w:t> or larger, the volume of the adjacent air thermal resource shall be permitted to be included in the containment volume. </w:t>
      </w:r>
    </w:p>
    <w:p w14:paraId="07ADED32" w14:textId="77777777" w:rsidR="00782C92" w:rsidRPr="000109D3" w:rsidRDefault="00782C92" w:rsidP="00782C92">
      <w:pPr>
        <w:rPr>
          <w:strike/>
          <w:color w:val="00B0F0"/>
          <w:u w:val="single"/>
        </w:rPr>
      </w:pPr>
    </w:p>
    <w:p w14:paraId="3C81B1FC" w14:textId="77777777" w:rsidR="000109D3" w:rsidRPr="000109D3" w:rsidRDefault="000109D3" w:rsidP="000109D3">
      <w:pPr>
        <w:rPr>
          <w:strike/>
          <w:color w:val="00B0F0"/>
        </w:rPr>
      </w:pPr>
      <w:r w:rsidRPr="000109D3">
        <w:rPr>
          <w:strike/>
          <w:color w:val="00B0F0"/>
        </w:rPr>
        <w:t xml:space="preserve">Where a ducted intake and ducted exhaust directly connect the </w:t>
      </w:r>
      <w:proofErr w:type="spellStart"/>
      <w:r w:rsidRPr="000109D3">
        <w:rPr>
          <w:strike/>
          <w:color w:val="00B0F0"/>
        </w:rPr>
        <w:t>iHPWH</w:t>
      </w:r>
      <w:proofErr w:type="spellEnd"/>
      <w:r w:rsidRPr="000109D3">
        <w:rPr>
          <w:strike/>
          <w:color w:val="00B0F0"/>
        </w:rPr>
        <w:t xml:space="preserve"> to a nearby air thermal resource, that air thermal resource volume shall be the containment volume.</w:t>
      </w:r>
    </w:p>
    <w:p w14:paraId="5695E24B" w14:textId="77777777" w:rsidR="000109D3" w:rsidRPr="000109D3" w:rsidRDefault="000109D3" w:rsidP="000109D3">
      <w:pPr>
        <w:rPr>
          <w:strike/>
          <w:color w:val="00B0F0"/>
        </w:rPr>
      </w:pPr>
      <w:r w:rsidRPr="000109D3">
        <w:rPr>
          <w:strike/>
          <w:color w:val="00B0F0"/>
        </w:rPr>
        <w:t xml:space="preserve">Where either intake or exhaust ductwork combined with at least 150 in2 of vents connects the </w:t>
      </w:r>
      <w:proofErr w:type="spellStart"/>
      <w:r w:rsidRPr="000109D3">
        <w:rPr>
          <w:strike/>
          <w:color w:val="00B0F0"/>
        </w:rPr>
        <w:t>iHPWH</w:t>
      </w:r>
      <w:proofErr w:type="spellEnd"/>
      <w:r w:rsidRPr="000109D3">
        <w:rPr>
          <w:strike/>
          <w:color w:val="00B0F0"/>
        </w:rPr>
        <w:t xml:space="preserve"> with a nearby air thermal resource, the air thermal resource volume supplying air to the </w:t>
      </w:r>
      <w:proofErr w:type="spellStart"/>
      <w:r w:rsidRPr="000109D3">
        <w:rPr>
          <w:strike/>
          <w:color w:val="00B0F0"/>
        </w:rPr>
        <w:t>iHPWH</w:t>
      </w:r>
      <w:proofErr w:type="spellEnd"/>
      <w:r w:rsidRPr="000109D3">
        <w:rPr>
          <w:strike/>
          <w:color w:val="00B0F0"/>
        </w:rPr>
        <w:t xml:space="preserve"> shall be permitted to be included in the containment volume.</w:t>
      </w:r>
    </w:p>
    <w:p w14:paraId="4F17379A" w14:textId="77777777" w:rsidR="000109D3" w:rsidRPr="000109D3" w:rsidRDefault="000109D3" w:rsidP="000109D3">
      <w:pPr>
        <w:rPr>
          <w:strike/>
          <w:color w:val="00B0F0"/>
        </w:rPr>
      </w:pPr>
      <w:r w:rsidRPr="000109D3">
        <w:rPr>
          <w:strike/>
          <w:color w:val="00B0F0"/>
        </w:rPr>
        <w:t xml:space="preserve">Air thermal resource = The air available to the supply air intake of an </w:t>
      </w:r>
      <w:proofErr w:type="spellStart"/>
      <w:r w:rsidRPr="000109D3">
        <w:rPr>
          <w:strike/>
          <w:color w:val="00B0F0"/>
        </w:rPr>
        <w:t>iHPWH</w:t>
      </w:r>
      <w:proofErr w:type="spellEnd"/>
      <w:r w:rsidRPr="000109D3">
        <w:rPr>
          <w:strike/>
          <w:color w:val="00B0F0"/>
        </w:rPr>
        <w:t>. Where the air thermal resource is outdoors, assume a containment volume of 1,500 ft3.</w:t>
      </w:r>
    </w:p>
    <w:p w14:paraId="7DD8A835" w14:textId="0D8EBFA8" w:rsidR="0000630F" w:rsidRPr="0000630F" w:rsidRDefault="0000630F"/>
    <w:sectPr w:rsidR="0000630F" w:rsidRPr="0000630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C65B1" w14:textId="77777777" w:rsidR="00163C85" w:rsidRDefault="00163C85" w:rsidP="00237923">
      <w:pPr>
        <w:spacing w:after="0" w:line="240" w:lineRule="auto"/>
      </w:pPr>
      <w:r>
        <w:separator/>
      </w:r>
    </w:p>
  </w:endnote>
  <w:endnote w:type="continuationSeparator" w:id="0">
    <w:p w14:paraId="361E29C2" w14:textId="77777777" w:rsidR="00163C85" w:rsidRDefault="00163C85" w:rsidP="00237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B7D5C" w14:textId="77777777" w:rsidR="00163C85" w:rsidRDefault="00163C85" w:rsidP="00237923">
      <w:pPr>
        <w:spacing w:after="0" w:line="240" w:lineRule="auto"/>
      </w:pPr>
      <w:r>
        <w:separator/>
      </w:r>
    </w:p>
  </w:footnote>
  <w:footnote w:type="continuationSeparator" w:id="0">
    <w:p w14:paraId="78B6EE45" w14:textId="77777777" w:rsidR="00163C85" w:rsidRDefault="00163C85" w:rsidP="00237923">
      <w:pPr>
        <w:spacing w:after="0" w:line="240" w:lineRule="auto"/>
      </w:pPr>
      <w:r>
        <w:continuationSeparator/>
      </w:r>
    </w:p>
  </w:footnote>
  <w:footnote w:id="1">
    <w:p w14:paraId="76CD4C61" w14:textId="77777777" w:rsidR="00782C92" w:rsidRPr="00F6775A" w:rsidRDefault="00782C92" w:rsidP="00782C92">
      <w:pPr>
        <w:pStyle w:val="FootnoteText"/>
        <w:rPr>
          <w:rFonts w:asciiTheme="minorHAnsi" w:hAnsiTheme="minorHAnsi" w:cstheme="minorHAnsi"/>
          <w:u w:val="single"/>
        </w:rPr>
      </w:pPr>
      <w:r w:rsidRPr="00F6775A">
        <w:rPr>
          <w:rStyle w:val="FootnoteReference"/>
          <w:rFonts w:asciiTheme="minorHAnsi" w:hAnsiTheme="minorHAnsi" w:cstheme="minorHAnsi"/>
          <w:u w:val="single"/>
        </w:rPr>
        <w:footnoteRef/>
      </w:r>
      <w:r w:rsidRPr="00F6775A">
        <w:rPr>
          <w:rFonts w:asciiTheme="minorHAnsi" w:hAnsiTheme="minorHAnsi" w:cstheme="minorHAnsi"/>
          <w:u w:val="single"/>
        </w:rPr>
        <w:t xml:space="preserve"> (Informative Note) Heat pump COP does not include any power from electric resistance heating elements.</w:t>
      </w:r>
    </w:p>
  </w:footnote>
  <w:footnote w:id="2">
    <w:p w14:paraId="3CF80C6A" w14:textId="77777777" w:rsidR="00782C92" w:rsidRPr="00F6775A" w:rsidRDefault="00782C92" w:rsidP="00782C92">
      <w:pPr>
        <w:rPr>
          <w:sz w:val="20"/>
          <w:szCs w:val="20"/>
        </w:rPr>
      </w:pPr>
      <w:r w:rsidRPr="00F6775A">
        <w:rPr>
          <w:rStyle w:val="FootnoteReference"/>
          <w:rFonts w:eastAsia="MS Mincho" w:cstheme="minorHAnsi"/>
          <w:sz w:val="20"/>
          <w:szCs w:val="20"/>
          <w:u w:val="single"/>
        </w:rPr>
        <w:footnoteRef/>
      </w:r>
      <w:r w:rsidRPr="00F6775A">
        <w:rPr>
          <w:rFonts w:cstheme="minorHAnsi"/>
          <w:sz w:val="20"/>
          <w:szCs w:val="20"/>
          <w:u w:val="single"/>
        </w:rPr>
        <w:t xml:space="preserve"> (Informative Note) </w:t>
      </w:r>
      <w:r w:rsidRPr="00F6775A">
        <w:rPr>
          <w:rFonts w:cstheme="minorHAnsi"/>
          <w:color w:val="FF0000"/>
          <w:sz w:val="20"/>
          <w:szCs w:val="20"/>
          <w:u w:val="single"/>
        </w:rPr>
        <w:t xml:space="preserve">At the time of publication of this Standard, </w:t>
      </w:r>
      <w:proofErr w:type="spellStart"/>
      <w:r w:rsidRPr="00F6775A">
        <w:rPr>
          <w:rFonts w:cstheme="minorHAnsi"/>
          <w:color w:val="FF0000"/>
          <w:sz w:val="20"/>
          <w:szCs w:val="20"/>
          <w:u w:val="single"/>
        </w:rPr>
        <w:t>t</w:t>
      </w:r>
      <w:r w:rsidRPr="00F6775A">
        <w:rPr>
          <w:rFonts w:cstheme="minorHAnsi"/>
          <w:strike/>
          <w:color w:val="FF0000"/>
          <w:sz w:val="20"/>
          <w:szCs w:val="20"/>
          <w:u w:val="single"/>
        </w:rPr>
        <w:t>T</w:t>
      </w:r>
      <w:r w:rsidRPr="00F6775A">
        <w:rPr>
          <w:rFonts w:cstheme="minorHAnsi"/>
          <w:sz w:val="20"/>
          <w:szCs w:val="20"/>
          <w:u w:val="single"/>
        </w:rPr>
        <w:t>here</w:t>
      </w:r>
      <w:proofErr w:type="spellEnd"/>
      <w:r w:rsidRPr="00F6775A">
        <w:rPr>
          <w:rFonts w:cstheme="minorHAnsi"/>
          <w:sz w:val="20"/>
          <w:szCs w:val="20"/>
          <w:u w:val="single"/>
        </w:rPr>
        <w:t xml:space="preserve"> </w:t>
      </w:r>
      <w:proofErr w:type="gramStart"/>
      <w:r w:rsidRPr="00F6775A">
        <w:rPr>
          <w:rFonts w:cstheme="minorHAnsi"/>
          <w:color w:val="FF0000"/>
          <w:sz w:val="20"/>
          <w:szCs w:val="20"/>
          <w:u w:val="single"/>
        </w:rPr>
        <w:t>were</w:t>
      </w:r>
      <w:proofErr w:type="gramEnd"/>
      <w:r w:rsidRPr="00F6775A">
        <w:rPr>
          <w:rFonts w:cstheme="minorHAnsi"/>
          <w:color w:val="FF0000"/>
          <w:sz w:val="20"/>
          <w:szCs w:val="20"/>
          <w:u w:val="single"/>
        </w:rPr>
        <w:t xml:space="preserve"> </w:t>
      </w:r>
      <w:r w:rsidRPr="00F6775A">
        <w:rPr>
          <w:rFonts w:cstheme="minorHAnsi"/>
          <w:strike/>
          <w:color w:val="FF0000"/>
          <w:sz w:val="20"/>
          <w:szCs w:val="20"/>
          <w:u w:val="single"/>
        </w:rPr>
        <w:t>are</w:t>
      </w:r>
      <w:r w:rsidRPr="00F6775A">
        <w:rPr>
          <w:rFonts w:cstheme="minorHAnsi"/>
          <w:sz w:val="20"/>
          <w:szCs w:val="20"/>
          <w:u w:val="single"/>
        </w:rPr>
        <w:t xml:space="preserve"> no HPWH products </w:t>
      </w:r>
      <w:r w:rsidRPr="00F6775A">
        <w:rPr>
          <w:rFonts w:cstheme="minorHAnsi"/>
          <w:strike/>
          <w:color w:val="FF0000"/>
          <w:sz w:val="20"/>
          <w:szCs w:val="20"/>
          <w:u w:val="single"/>
        </w:rPr>
        <w:t>currently</w:t>
      </w:r>
      <w:r w:rsidRPr="00F6775A">
        <w:rPr>
          <w:rFonts w:cstheme="minorHAnsi"/>
          <w:sz w:val="20"/>
          <w:szCs w:val="20"/>
          <w:u w:val="single"/>
        </w:rPr>
        <w:t xml:space="preserve"> on the market with </w:t>
      </w:r>
      <w:r w:rsidRPr="00F6775A">
        <w:rPr>
          <w:rFonts w:cstheme="minorHAnsi"/>
          <w:color w:val="FF0000"/>
          <w:sz w:val="20"/>
          <w:szCs w:val="20"/>
          <w:u w:val="single"/>
        </w:rPr>
        <w:t xml:space="preserve">a </w:t>
      </w:r>
      <w:r w:rsidRPr="00F6775A">
        <w:rPr>
          <w:rFonts w:cstheme="minorHAnsi"/>
          <w:sz w:val="20"/>
          <w:szCs w:val="20"/>
          <w:u w:val="single"/>
        </w:rPr>
        <w:t>First Hour Rating &lt; 18 gal/hr.</w:t>
      </w:r>
      <w:r w:rsidRPr="00F6775A">
        <w:rPr>
          <w:sz w:val="20"/>
          <w:szCs w:val="20"/>
        </w:rPr>
        <w:t xml:space="preserve"> </w:t>
      </w:r>
    </w:p>
  </w:footnote>
  <w:footnote w:id="3">
    <w:p w14:paraId="0B20FAF9" w14:textId="330729A5" w:rsidR="00782C92" w:rsidRPr="00782C92" w:rsidRDefault="00782C92" w:rsidP="00782C9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3CBE" w14:textId="34205FA6" w:rsidR="00237923" w:rsidRPr="00237923" w:rsidRDefault="00237923" w:rsidP="00237923">
    <w:pPr>
      <w:pStyle w:val="Header"/>
      <w:jc w:val="center"/>
    </w:pPr>
    <w:r>
      <w:rPr>
        <w:b/>
        <w:bCs/>
      </w:rPr>
      <w:t>RESNET® Standards Public Comment and Proposed Change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923"/>
    <w:rsid w:val="00001E7A"/>
    <w:rsid w:val="0000630F"/>
    <w:rsid w:val="000109D3"/>
    <w:rsid w:val="00036584"/>
    <w:rsid w:val="000548F7"/>
    <w:rsid w:val="00055E1A"/>
    <w:rsid w:val="000A1341"/>
    <w:rsid w:val="000E18FA"/>
    <w:rsid w:val="001145D6"/>
    <w:rsid w:val="00163C85"/>
    <w:rsid w:val="002377BD"/>
    <w:rsid w:val="00237923"/>
    <w:rsid w:val="00255E22"/>
    <w:rsid w:val="00274FCF"/>
    <w:rsid w:val="00344700"/>
    <w:rsid w:val="00367E94"/>
    <w:rsid w:val="003F0164"/>
    <w:rsid w:val="004731EA"/>
    <w:rsid w:val="004A0EBB"/>
    <w:rsid w:val="00553D0D"/>
    <w:rsid w:val="005C1477"/>
    <w:rsid w:val="0062627B"/>
    <w:rsid w:val="006A624B"/>
    <w:rsid w:val="00703B1F"/>
    <w:rsid w:val="00751C43"/>
    <w:rsid w:val="00782C92"/>
    <w:rsid w:val="007C5144"/>
    <w:rsid w:val="00887DD1"/>
    <w:rsid w:val="008C2F70"/>
    <w:rsid w:val="00915360"/>
    <w:rsid w:val="009600D5"/>
    <w:rsid w:val="009969D4"/>
    <w:rsid w:val="009A03A7"/>
    <w:rsid w:val="00A14368"/>
    <w:rsid w:val="00A519E2"/>
    <w:rsid w:val="00AB6728"/>
    <w:rsid w:val="00B238D9"/>
    <w:rsid w:val="00BC0CA4"/>
    <w:rsid w:val="00D36217"/>
    <w:rsid w:val="00D824DE"/>
    <w:rsid w:val="00DE3EE6"/>
    <w:rsid w:val="00F0669B"/>
    <w:rsid w:val="00F237EE"/>
    <w:rsid w:val="00F44C65"/>
    <w:rsid w:val="00F74D73"/>
    <w:rsid w:val="00FC2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BDA0A"/>
  <w15:chartTrackingRefBased/>
  <w15:docId w15:val="{F04E0F48-9025-41BC-8245-17635A63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9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9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9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9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9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9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9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9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9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9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9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9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9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9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9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9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9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923"/>
    <w:rPr>
      <w:rFonts w:eastAsiaTheme="majorEastAsia" w:cstheme="majorBidi"/>
      <w:color w:val="272727" w:themeColor="text1" w:themeTint="D8"/>
    </w:rPr>
  </w:style>
  <w:style w:type="paragraph" w:styleId="Title">
    <w:name w:val="Title"/>
    <w:basedOn w:val="Normal"/>
    <w:next w:val="Normal"/>
    <w:link w:val="TitleChar"/>
    <w:uiPriority w:val="10"/>
    <w:qFormat/>
    <w:rsid w:val="002379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9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9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9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923"/>
    <w:pPr>
      <w:spacing w:before="160"/>
      <w:jc w:val="center"/>
    </w:pPr>
    <w:rPr>
      <w:i/>
      <w:iCs/>
      <w:color w:val="404040" w:themeColor="text1" w:themeTint="BF"/>
    </w:rPr>
  </w:style>
  <w:style w:type="character" w:customStyle="1" w:styleId="QuoteChar">
    <w:name w:val="Quote Char"/>
    <w:basedOn w:val="DefaultParagraphFont"/>
    <w:link w:val="Quote"/>
    <w:uiPriority w:val="29"/>
    <w:rsid w:val="00237923"/>
    <w:rPr>
      <w:i/>
      <w:iCs/>
      <w:color w:val="404040" w:themeColor="text1" w:themeTint="BF"/>
    </w:rPr>
  </w:style>
  <w:style w:type="paragraph" w:styleId="ListParagraph">
    <w:name w:val="List Paragraph"/>
    <w:basedOn w:val="Normal"/>
    <w:uiPriority w:val="34"/>
    <w:qFormat/>
    <w:rsid w:val="00237923"/>
    <w:pPr>
      <w:ind w:left="720"/>
      <w:contextualSpacing/>
    </w:pPr>
  </w:style>
  <w:style w:type="character" w:styleId="IntenseEmphasis">
    <w:name w:val="Intense Emphasis"/>
    <w:basedOn w:val="DefaultParagraphFont"/>
    <w:uiPriority w:val="21"/>
    <w:qFormat/>
    <w:rsid w:val="00237923"/>
    <w:rPr>
      <w:i/>
      <w:iCs/>
      <w:color w:val="0F4761" w:themeColor="accent1" w:themeShade="BF"/>
    </w:rPr>
  </w:style>
  <w:style w:type="paragraph" w:styleId="IntenseQuote">
    <w:name w:val="Intense Quote"/>
    <w:basedOn w:val="Normal"/>
    <w:next w:val="Normal"/>
    <w:link w:val="IntenseQuoteChar"/>
    <w:uiPriority w:val="30"/>
    <w:qFormat/>
    <w:rsid w:val="002379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923"/>
    <w:rPr>
      <w:i/>
      <w:iCs/>
      <w:color w:val="0F4761" w:themeColor="accent1" w:themeShade="BF"/>
    </w:rPr>
  </w:style>
  <w:style w:type="character" w:styleId="IntenseReference">
    <w:name w:val="Intense Reference"/>
    <w:basedOn w:val="DefaultParagraphFont"/>
    <w:uiPriority w:val="32"/>
    <w:qFormat/>
    <w:rsid w:val="00237923"/>
    <w:rPr>
      <w:b/>
      <w:bCs/>
      <w:smallCaps/>
      <w:color w:val="0F4761" w:themeColor="accent1" w:themeShade="BF"/>
      <w:spacing w:val="5"/>
    </w:rPr>
  </w:style>
  <w:style w:type="paragraph" w:styleId="Header">
    <w:name w:val="header"/>
    <w:basedOn w:val="Normal"/>
    <w:link w:val="HeaderChar"/>
    <w:uiPriority w:val="99"/>
    <w:unhideWhenUsed/>
    <w:rsid w:val="002379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923"/>
  </w:style>
  <w:style w:type="paragraph" w:styleId="Footer">
    <w:name w:val="footer"/>
    <w:basedOn w:val="Normal"/>
    <w:link w:val="FooterChar"/>
    <w:uiPriority w:val="99"/>
    <w:unhideWhenUsed/>
    <w:rsid w:val="002379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923"/>
  </w:style>
  <w:style w:type="paragraph" w:styleId="FootnoteText">
    <w:name w:val="footnote text"/>
    <w:basedOn w:val="Normal"/>
    <w:link w:val="FootnoteTextChar"/>
    <w:uiPriority w:val="99"/>
    <w:rsid w:val="00782C92"/>
    <w:pPr>
      <w:spacing w:after="0" w:line="240" w:lineRule="auto"/>
    </w:pPr>
    <w:rPr>
      <w:rFonts w:ascii="Times New Roman" w:eastAsia="MS Mincho"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782C92"/>
    <w:rPr>
      <w:rFonts w:ascii="Times New Roman" w:eastAsia="MS Mincho" w:hAnsi="Times New Roman" w:cs="Times New Roman"/>
      <w:kern w:val="0"/>
      <w:sz w:val="20"/>
      <w:szCs w:val="20"/>
      <w14:ligatures w14:val="none"/>
    </w:rPr>
  </w:style>
  <w:style w:type="character" w:styleId="FootnoteReference">
    <w:name w:val="footnote reference"/>
    <w:uiPriority w:val="99"/>
    <w:rsid w:val="00782C92"/>
    <w:rPr>
      <w:rFonts w:cs="Times New Roman"/>
      <w:vertAlign w:val="superscript"/>
    </w:rPr>
  </w:style>
  <w:style w:type="character" w:customStyle="1" w:styleId="markedcontent">
    <w:name w:val="markedcontent"/>
    <w:basedOn w:val="DefaultParagraphFont"/>
    <w:rsid w:val="00782C92"/>
  </w:style>
  <w:style w:type="table" w:styleId="TableGrid">
    <w:name w:val="Table Grid"/>
    <w:basedOn w:val="TableNormal"/>
    <w:uiPriority w:val="39"/>
    <w:rsid w:val="00782C9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CA0A2A6E635C44B9384D7B4942CE22" ma:contentTypeVersion="18" ma:contentTypeDescription="Create a new document." ma:contentTypeScope="" ma:versionID="0d0c22f3fbbbe3556e5a693ab0fda24b">
  <xsd:schema xmlns:xsd="http://www.w3.org/2001/XMLSchema" xmlns:xs="http://www.w3.org/2001/XMLSchema" xmlns:p="http://schemas.microsoft.com/office/2006/metadata/properties" xmlns:ns2="a22c15c9-5ee2-43fc-bf23-4bf4823d633f" xmlns:ns3="d541df19-1d95-40b9-8952-f391e5cd1063" targetNamespace="http://schemas.microsoft.com/office/2006/metadata/properties" ma:root="true" ma:fieldsID="7715e200de597c72f5cbd8a04d59d0d7" ns2:_="" ns3:_="">
    <xsd:import namespace="a22c15c9-5ee2-43fc-bf23-4bf4823d633f"/>
    <xsd:import namespace="d541df19-1d95-40b9-8952-f391e5cd10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c15c9-5ee2-43fc-bf23-4bf4823d6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39e30c-ef1c-450d-954e-69f1f4f1b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41df19-1d95-40b9-8952-f391e5cd10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11c1d5-b7a9-400e-9f48-19c3aaabcfd6}" ma:internalName="TaxCatchAll" ma:showField="CatchAllData" ma:web="d541df19-1d95-40b9-8952-f391e5cd10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C3FFF1-529B-4296-87AC-D51300E905DF}">
  <ds:schemaRefs>
    <ds:schemaRef ds:uri="http://schemas.microsoft.com/sharepoint/v3/contenttype/forms"/>
  </ds:schemaRefs>
</ds:datastoreItem>
</file>

<file path=customXml/itemProps2.xml><?xml version="1.0" encoding="utf-8"?>
<ds:datastoreItem xmlns:ds="http://schemas.openxmlformats.org/officeDocument/2006/customXml" ds:itemID="{164BF0AC-1FFE-4666-8EF1-0692E6E6C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c15c9-5ee2-43fc-bf23-4bf4823d633f"/>
    <ds:schemaRef ds:uri="d541df19-1d95-40b9-8952-f391e5cd1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1188</Words>
  <Characters>6074</Characters>
  <Application>Microsoft Office Word</Application>
  <DocSecurity>0</DocSecurity>
  <Lines>148</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Meres</dc:creator>
  <cp:keywords/>
  <dc:description/>
  <cp:lastModifiedBy>Bryan Ahee</cp:lastModifiedBy>
  <cp:revision>5</cp:revision>
  <dcterms:created xsi:type="dcterms:W3CDTF">2026-05-29T21:13:00Z</dcterms:created>
  <dcterms:modified xsi:type="dcterms:W3CDTF">2026-05-29T21:33:00Z</dcterms:modified>
</cp:coreProperties>
</file>