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016CB" w14:textId="77777777" w:rsidR="00BF6714" w:rsidRPr="00804C61" w:rsidRDefault="00BF6714" w:rsidP="00BF6714">
      <w:pPr>
        <w:spacing w:after="0" w:line="240" w:lineRule="auto"/>
        <w:rPr>
          <w:b/>
          <w:bCs/>
        </w:rPr>
      </w:pPr>
      <w:r w:rsidRPr="00804C61">
        <w:rPr>
          <w:b/>
          <w:bCs/>
        </w:rPr>
        <w:t>COMMENT 1</w:t>
      </w:r>
      <w:r>
        <w:rPr>
          <w:b/>
          <w:bCs/>
        </w:rPr>
        <w:t>0</w:t>
      </w:r>
    </w:p>
    <w:p w14:paraId="46E76108" w14:textId="77777777" w:rsidR="00BF6714" w:rsidRDefault="00BF6714" w:rsidP="00BF6714">
      <w:pPr>
        <w:spacing w:after="0" w:line="240" w:lineRule="auto"/>
      </w:pPr>
    </w:p>
    <w:p w14:paraId="35825057" w14:textId="77777777" w:rsidR="00BF6714" w:rsidRPr="00141E8E" w:rsidRDefault="00BF6714" w:rsidP="00BF6714">
      <w:pPr>
        <w:pStyle w:val="Heading2"/>
        <w:rPr>
          <w:color w:val="EE0000"/>
          <w:u w:val="single"/>
        </w:rPr>
      </w:pPr>
      <w:bookmarkStart w:id="0" w:name="_Toc895697399"/>
      <w:bookmarkStart w:id="1" w:name="_Toc1658154082"/>
      <w:r>
        <w:rPr>
          <w:color w:val="EE0000"/>
          <w:u w:val="single"/>
        </w:rPr>
        <w:t xml:space="preserve">10.5 </w:t>
      </w:r>
      <w:r w:rsidRPr="00141E8E">
        <w:rPr>
          <w:color w:val="EE0000"/>
          <w:u w:val="single"/>
        </w:rPr>
        <w:t>Limitations of This Methodology (Informative)</w:t>
      </w:r>
      <w:bookmarkEnd w:id="0"/>
      <w:bookmarkEnd w:id="1"/>
    </w:p>
    <w:p w14:paraId="6350EAAD" w14:textId="77777777" w:rsidR="00BF6714" w:rsidRPr="00141E8E" w:rsidRDefault="00BF6714" w:rsidP="00BF6714">
      <w:pPr>
        <w:rPr>
          <w:color w:val="EE0000"/>
          <w:u w:val="single"/>
        </w:rPr>
      </w:pPr>
      <w:r w:rsidRPr="00141E8E">
        <w:rPr>
          <w:color w:val="EE0000"/>
          <w:u w:val="single"/>
        </w:rPr>
        <w:t xml:space="preserve">This Standard calculates the </w:t>
      </w:r>
      <w:r w:rsidRPr="00141E8E">
        <w:rPr>
          <w:i/>
          <w:iCs/>
          <w:color w:val="EE0000"/>
          <w:u w:val="single"/>
        </w:rPr>
        <w:t>embodied carbon</w:t>
      </w:r>
      <w:r w:rsidRPr="00141E8E">
        <w:rPr>
          <w:color w:val="EE0000"/>
          <w:u w:val="single"/>
        </w:rPr>
        <w:t xml:space="preserve"> of building products for </w:t>
      </w:r>
      <w:r w:rsidRPr="00141E8E">
        <w:rPr>
          <w:i/>
          <w:iCs/>
          <w:color w:val="EE0000"/>
          <w:u w:val="single"/>
        </w:rPr>
        <w:t xml:space="preserve">assessed </w:t>
      </w:r>
      <w:r w:rsidRPr="00141E8E">
        <w:rPr>
          <w:rFonts w:eastAsiaTheme="minorEastAsia"/>
          <w:i/>
          <w:iCs/>
          <w:color w:val="EE0000"/>
          <w:u w:val="single"/>
        </w:rPr>
        <w:t>dwelling units</w:t>
      </w:r>
      <w:r w:rsidRPr="00141E8E">
        <w:rPr>
          <w:color w:val="EE0000"/>
          <w:u w:val="single"/>
        </w:rPr>
        <w:t xml:space="preserve"> for life cycle </w:t>
      </w:r>
      <w:r w:rsidRPr="00141E8E">
        <w:rPr>
          <w:i/>
          <w:iCs/>
          <w:color w:val="EE0000"/>
          <w:u w:val="single"/>
        </w:rPr>
        <w:t xml:space="preserve">modules A1-A3 </w:t>
      </w:r>
      <w:r w:rsidRPr="00141E8E">
        <w:rPr>
          <w:color w:val="EE0000"/>
          <w:u w:val="single"/>
        </w:rPr>
        <w:t xml:space="preserve">+ A5.3. This standard does not provide guidance for calculating </w:t>
      </w:r>
      <w:r w:rsidRPr="00141E8E">
        <w:rPr>
          <w:i/>
          <w:iCs/>
          <w:color w:val="EE0000"/>
          <w:u w:val="single"/>
        </w:rPr>
        <w:t>embodied carbon</w:t>
      </w:r>
      <w:r w:rsidRPr="00141E8E">
        <w:rPr>
          <w:color w:val="EE0000"/>
          <w:u w:val="single"/>
        </w:rPr>
        <w:t xml:space="preserve"> emissions from other life cycle modules and interpretations of the results achieved using this Standard </w:t>
      </w:r>
      <w:r w:rsidRPr="00141E8E">
        <w:rPr>
          <w:rFonts w:eastAsiaTheme="minorEastAsia"/>
          <w:color w:val="EE0000"/>
          <w:u w:val="single"/>
        </w:rPr>
        <w:t>must</w:t>
      </w:r>
      <w:r w:rsidRPr="00141E8E">
        <w:rPr>
          <w:color w:val="EE0000"/>
          <w:u w:val="single"/>
        </w:rPr>
        <w:t xml:space="preserve"> be understood in this context.</w:t>
      </w:r>
    </w:p>
    <w:p w14:paraId="3247DD38" w14:textId="77777777" w:rsidR="00BF6714" w:rsidRPr="00141E8E" w:rsidRDefault="00BF6714" w:rsidP="00BF6714">
      <w:pPr>
        <w:rPr>
          <w:rFonts w:eastAsiaTheme="minorEastAsia"/>
          <w:color w:val="EE0000"/>
          <w:u w:val="single"/>
        </w:rPr>
      </w:pPr>
      <w:r w:rsidRPr="00141E8E">
        <w:rPr>
          <w:color w:val="EE0000"/>
          <w:u w:val="single"/>
        </w:rPr>
        <w:t xml:space="preserve">Emissions from modules A1-A3 + A5.3 for building products typically represent the largest proportion of total life cycle emissions, enabling this Standard to calculate and report on these substantially impactful life cycle </w:t>
      </w:r>
      <w:r w:rsidRPr="00141E8E">
        <w:rPr>
          <w:rFonts w:eastAsiaTheme="minorEastAsia"/>
          <w:color w:val="EE0000"/>
          <w:u w:val="single"/>
        </w:rPr>
        <w:t xml:space="preserve">modules. </w:t>
      </w:r>
    </w:p>
    <w:p w14:paraId="09FE762D" w14:textId="77777777" w:rsidR="00BF6714" w:rsidRPr="00141E8E" w:rsidRDefault="00BF6714" w:rsidP="00BF6714">
      <w:pPr>
        <w:rPr>
          <w:color w:val="EE0000"/>
          <w:u w:val="single"/>
        </w:rPr>
      </w:pPr>
      <w:r w:rsidRPr="00141E8E">
        <w:rPr>
          <w:color w:val="EE0000"/>
          <w:u w:val="single"/>
        </w:rPr>
        <w:t xml:space="preserve">Including only life cycle modules A1-A3 results in reporting of carbon storage in products that will, to some degree, be emitted back to the atmosphere at the end of the product’s life cycle. Without the inclusion of B and C modules, no estimates regarding the timing or extent of these emissions are included in this Standard. By requiring reporting of stored carbon as a distinct A1-A3 result, the Standard enables users to </w:t>
      </w:r>
      <w:r w:rsidRPr="00EF6E51">
        <w:rPr>
          <w:color w:val="EE0000"/>
          <w:u w:val="single"/>
        </w:rPr>
        <w:t xml:space="preserve">transparently </w:t>
      </w:r>
      <w:r w:rsidRPr="00141E8E">
        <w:rPr>
          <w:color w:val="EE0000"/>
          <w:u w:val="single"/>
        </w:rPr>
        <w:t>identify and quantify stored carbon at the product and building level</w:t>
      </w:r>
      <w:r>
        <w:rPr>
          <w:color w:val="EE0000"/>
          <w:u w:val="single"/>
        </w:rPr>
        <w:t xml:space="preserve"> </w:t>
      </w:r>
      <w:r w:rsidRPr="005176D2">
        <w:rPr>
          <w:u w:val="double"/>
        </w:rPr>
        <w:t xml:space="preserve">in a simple and idealistic manner that may overstate the durability and actual life cycle value </w:t>
      </w:r>
      <w:proofErr w:type="gramStart"/>
      <w:r w:rsidRPr="005176D2">
        <w:rPr>
          <w:u w:val="double"/>
        </w:rPr>
        <w:t>of</w:t>
      </w:r>
      <w:r w:rsidRPr="005176D2">
        <w:rPr>
          <w:color w:val="EE0000"/>
          <w:u w:val="single"/>
        </w:rPr>
        <w:t xml:space="preserve"> </w:t>
      </w:r>
      <w:r w:rsidRPr="005176D2">
        <w:rPr>
          <w:strike/>
          <w:color w:val="EE0000"/>
          <w:u w:val="single"/>
        </w:rPr>
        <w:t>,</w:t>
      </w:r>
      <w:proofErr w:type="gramEnd"/>
      <w:r w:rsidRPr="005176D2">
        <w:rPr>
          <w:strike/>
          <w:color w:val="EE0000"/>
          <w:u w:val="single"/>
        </w:rPr>
        <w:t xml:space="preserve"> but the Standard does not attempt to ascribe any value to</w:t>
      </w:r>
      <w:r w:rsidRPr="005176D2">
        <w:rPr>
          <w:color w:val="EE0000"/>
          <w:u w:val="single"/>
        </w:rPr>
        <w:t xml:space="preserve"> this stored carbon.</w:t>
      </w:r>
      <w:r w:rsidRPr="00141E8E">
        <w:rPr>
          <w:color w:val="EE0000"/>
          <w:u w:val="single"/>
        </w:rPr>
        <w:t xml:space="preserve"> The source of the stored carbon and the duration for which the carbon is stored in the product will have important ramifications for any valuation of the carbon storage and it is not within the scope of this Standard to provide this type of guidance.</w:t>
      </w:r>
    </w:p>
    <w:p w14:paraId="0208651B" w14:textId="77777777" w:rsidR="00BF6714" w:rsidRPr="00141E8E" w:rsidRDefault="00BF6714" w:rsidP="00BF6714">
      <w:pPr>
        <w:rPr>
          <w:color w:val="EE0000"/>
          <w:u w:val="single"/>
        </w:rPr>
      </w:pPr>
      <w:r w:rsidRPr="00141E8E">
        <w:rPr>
          <w:color w:val="EE0000"/>
          <w:u w:val="single"/>
        </w:rPr>
        <w:t xml:space="preserve">Modules A4 (emissions from transportation of products to the construction site) and A5 (emissions from construction activities) are important contributors to the embodied carbon of an </w:t>
      </w:r>
      <w:r w:rsidRPr="00141E8E">
        <w:rPr>
          <w:i/>
          <w:iCs/>
          <w:color w:val="EE0000"/>
          <w:u w:val="single"/>
        </w:rPr>
        <w:t>assessed dwelling unit</w:t>
      </w:r>
      <w:r w:rsidRPr="00141E8E">
        <w:rPr>
          <w:color w:val="EE0000"/>
          <w:u w:val="single"/>
        </w:rPr>
        <w:t>. These have not been included in this standard (</w:t>
      </w:r>
      <w:proofErr w:type="gramStart"/>
      <w:r w:rsidRPr="00141E8E">
        <w:rPr>
          <w:color w:val="EE0000"/>
          <w:u w:val="single"/>
        </w:rPr>
        <w:t>with the exception of</w:t>
      </w:r>
      <w:proofErr w:type="gramEnd"/>
      <w:r w:rsidRPr="00141E8E">
        <w:rPr>
          <w:color w:val="EE0000"/>
          <w:u w:val="single"/>
        </w:rPr>
        <w:t xml:space="preserve"> A5.3) due to the inherent difficulty in trying to estimate these emissions for a large and geographically diverse industry like homebuilding which features complex supply chains and widely differing site conditions.</w:t>
      </w:r>
    </w:p>
    <w:p w14:paraId="171B7E99" w14:textId="77777777" w:rsidR="00BF6714" w:rsidRPr="00141E8E" w:rsidRDefault="00BF6714" w:rsidP="00BF6714">
      <w:pPr>
        <w:rPr>
          <w:color w:val="EE0000"/>
          <w:u w:val="single"/>
        </w:rPr>
      </w:pPr>
      <w:r w:rsidRPr="00141E8E">
        <w:rPr>
          <w:color w:val="EE0000"/>
          <w:u w:val="single"/>
        </w:rPr>
        <w:t xml:space="preserve">Reports generated using this Standard make it clear that only life cycle modules A1-A3 + A5.3 have been considered. This should be communicated clearly in any </w:t>
      </w:r>
      <w:proofErr w:type="gramStart"/>
      <w:r w:rsidRPr="00141E8E">
        <w:rPr>
          <w:color w:val="EE0000"/>
          <w:u w:val="single"/>
        </w:rPr>
        <w:t>reporting</w:t>
      </w:r>
      <w:proofErr w:type="gramEnd"/>
      <w:r w:rsidRPr="00141E8E">
        <w:rPr>
          <w:color w:val="EE0000"/>
          <w:u w:val="single"/>
        </w:rPr>
        <w:t xml:space="preserve"> extending from this Standard.</w:t>
      </w:r>
    </w:p>
    <w:p w14:paraId="14D4797F" w14:textId="77777777" w:rsidR="00BF6714" w:rsidRDefault="00BF6714" w:rsidP="00BF6714">
      <w:pPr>
        <w:spacing w:after="0" w:line="240" w:lineRule="auto"/>
      </w:pPr>
    </w:p>
    <w:p w14:paraId="3645B350" w14:textId="77777777" w:rsidR="00BF6714" w:rsidRDefault="00BF6714" w:rsidP="00BF6714">
      <w:pPr>
        <w:spacing w:after="0" w:line="240" w:lineRule="auto"/>
      </w:pPr>
      <w:r>
        <w:t>REASON</w:t>
      </w:r>
      <w:proofErr w:type="gramStart"/>
      <w:r>
        <w:t>:  This</w:t>
      </w:r>
      <w:proofErr w:type="gramEnd"/>
      <w:r>
        <w:t xml:space="preserve"> standard absolutely ascribes value to stored carbon as it affects the net embodied carbon assessment for a building and its products.  Furthermore, it does so in a simplified and idealistic manner that excludes end-of-life or other causes of potential pre-</w:t>
      </w:r>
      <w:r>
        <w:lastRenderedPageBreak/>
        <w:t>mature releases of stored carbon.  The proposed revision attempts to transparently and accurately describe the standard’s treatment of stored carbon and related implications.</w:t>
      </w:r>
    </w:p>
    <w:p w14:paraId="238650F9" w14:textId="77777777" w:rsidR="006C2F48" w:rsidRDefault="006C2F48"/>
    <w:sectPr w:rsidR="006C2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714"/>
    <w:rsid w:val="001C1189"/>
    <w:rsid w:val="00332A50"/>
    <w:rsid w:val="004D3C27"/>
    <w:rsid w:val="006C2F48"/>
    <w:rsid w:val="006C4910"/>
    <w:rsid w:val="00BA63F7"/>
    <w:rsid w:val="00B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7E78"/>
  <w15:chartTrackingRefBased/>
  <w15:docId w15:val="{714BB882-4079-4ACB-9475-2E4611C1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714"/>
  </w:style>
  <w:style w:type="paragraph" w:styleId="Heading1">
    <w:name w:val="heading 1"/>
    <w:basedOn w:val="Normal"/>
    <w:next w:val="Normal"/>
    <w:link w:val="Heading1Char"/>
    <w:uiPriority w:val="9"/>
    <w:qFormat/>
    <w:rsid w:val="00BF671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BF671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F671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F671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F671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F6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71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F671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F671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F671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F671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F6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714"/>
    <w:rPr>
      <w:rFonts w:eastAsiaTheme="majorEastAsia" w:cstheme="majorBidi"/>
      <w:color w:val="272727" w:themeColor="text1" w:themeTint="D8"/>
    </w:rPr>
  </w:style>
  <w:style w:type="paragraph" w:styleId="Title">
    <w:name w:val="Title"/>
    <w:basedOn w:val="Normal"/>
    <w:next w:val="Normal"/>
    <w:link w:val="TitleChar"/>
    <w:uiPriority w:val="10"/>
    <w:qFormat/>
    <w:rsid w:val="00BF6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714"/>
    <w:pPr>
      <w:spacing w:before="160"/>
      <w:jc w:val="center"/>
    </w:pPr>
    <w:rPr>
      <w:i/>
      <w:iCs/>
      <w:color w:val="404040" w:themeColor="text1" w:themeTint="BF"/>
    </w:rPr>
  </w:style>
  <w:style w:type="character" w:customStyle="1" w:styleId="QuoteChar">
    <w:name w:val="Quote Char"/>
    <w:basedOn w:val="DefaultParagraphFont"/>
    <w:link w:val="Quote"/>
    <w:uiPriority w:val="29"/>
    <w:rsid w:val="00BF6714"/>
    <w:rPr>
      <w:i/>
      <w:iCs/>
      <w:color w:val="404040" w:themeColor="text1" w:themeTint="BF"/>
    </w:rPr>
  </w:style>
  <w:style w:type="paragraph" w:styleId="ListParagraph">
    <w:name w:val="List Paragraph"/>
    <w:basedOn w:val="Normal"/>
    <w:uiPriority w:val="34"/>
    <w:qFormat/>
    <w:rsid w:val="00BF6714"/>
    <w:pPr>
      <w:ind w:left="720"/>
      <w:contextualSpacing/>
    </w:pPr>
  </w:style>
  <w:style w:type="character" w:styleId="IntenseEmphasis">
    <w:name w:val="Intense Emphasis"/>
    <w:basedOn w:val="DefaultParagraphFont"/>
    <w:uiPriority w:val="21"/>
    <w:qFormat/>
    <w:rsid w:val="00BF6714"/>
    <w:rPr>
      <w:i/>
      <w:iCs/>
      <w:color w:val="2E74B5" w:themeColor="accent1" w:themeShade="BF"/>
    </w:rPr>
  </w:style>
  <w:style w:type="paragraph" w:styleId="IntenseQuote">
    <w:name w:val="Intense Quote"/>
    <w:basedOn w:val="Normal"/>
    <w:next w:val="Normal"/>
    <w:link w:val="IntenseQuoteChar"/>
    <w:uiPriority w:val="30"/>
    <w:qFormat/>
    <w:rsid w:val="00BF671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F6714"/>
    <w:rPr>
      <w:i/>
      <w:iCs/>
      <w:color w:val="2E74B5" w:themeColor="accent1" w:themeShade="BF"/>
    </w:rPr>
  </w:style>
  <w:style w:type="character" w:styleId="IntenseReference">
    <w:name w:val="Intense Reference"/>
    <w:basedOn w:val="DefaultParagraphFont"/>
    <w:uiPriority w:val="32"/>
    <w:qFormat/>
    <w:rsid w:val="00BF6714"/>
    <w:rPr>
      <w:b/>
      <w:bCs/>
      <w:smallCaps/>
      <w:color w:val="2E74B5" w:themeColor="accent1" w:themeShade="BF"/>
      <w:spacing w:val="5"/>
    </w:rPr>
  </w:style>
  <w:style w:type="character" w:styleId="CommentReference">
    <w:name w:val="annotation reference"/>
    <w:basedOn w:val="DefaultParagraphFont"/>
    <w:uiPriority w:val="99"/>
    <w:semiHidden/>
    <w:unhideWhenUsed/>
    <w:rsid w:val="00BF6714"/>
    <w:rPr>
      <w:sz w:val="16"/>
      <w:szCs w:val="16"/>
    </w:rPr>
  </w:style>
  <w:style w:type="paragraph" w:styleId="CommentText">
    <w:name w:val="annotation text"/>
    <w:basedOn w:val="Normal"/>
    <w:link w:val="CommentTextChar"/>
    <w:uiPriority w:val="99"/>
    <w:unhideWhenUsed/>
    <w:rsid w:val="00BF6714"/>
    <w:pPr>
      <w:spacing w:line="240" w:lineRule="auto"/>
    </w:pPr>
    <w:rPr>
      <w:sz w:val="20"/>
      <w:szCs w:val="20"/>
    </w:rPr>
  </w:style>
  <w:style w:type="character" w:customStyle="1" w:styleId="CommentTextChar">
    <w:name w:val="Comment Text Char"/>
    <w:basedOn w:val="DefaultParagraphFont"/>
    <w:link w:val="CommentText"/>
    <w:uiPriority w:val="99"/>
    <w:rsid w:val="00BF671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jcrandell</dc:creator>
  <cp:keywords/>
  <dc:description/>
  <cp:lastModifiedBy>jcrandell</cp:lastModifiedBy>
  <cp:revision>2</cp:revision>
  <dcterms:created xsi:type="dcterms:W3CDTF">2026-09-14T21:58:00Z</dcterms:created>
  <dcterms:modified xsi:type="dcterms:W3CDTF">2026-09-14T21:59:00Z</dcterms:modified>
</cp:coreProperties>
</file>