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B8009" w14:textId="77777777" w:rsidR="00967277" w:rsidRPr="00804C61" w:rsidRDefault="00967277" w:rsidP="00967277">
      <w:pPr>
        <w:spacing w:after="0" w:line="240" w:lineRule="auto"/>
        <w:rPr>
          <w:b/>
          <w:bCs/>
        </w:rPr>
      </w:pPr>
      <w:r w:rsidRPr="00804C61">
        <w:rPr>
          <w:b/>
          <w:bCs/>
        </w:rPr>
        <w:t xml:space="preserve">COMMENT </w:t>
      </w:r>
      <w:r>
        <w:rPr>
          <w:b/>
          <w:bCs/>
        </w:rPr>
        <w:t xml:space="preserve">7 </w:t>
      </w:r>
      <w:r w:rsidRPr="00661CD1">
        <w:t>(</w:t>
      </w:r>
      <w:r>
        <w:t xml:space="preserve">only </w:t>
      </w:r>
      <w:r w:rsidRPr="00661CD1">
        <w:t xml:space="preserve">if comments </w:t>
      </w:r>
      <w:r>
        <w:t>5 and 6 are both</w:t>
      </w:r>
      <w:r w:rsidRPr="00661CD1">
        <w:t xml:space="preserve"> rejected)</w:t>
      </w:r>
    </w:p>
    <w:p w14:paraId="08CB9477" w14:textId="77777777" w:rsidR="00967277" w:rsidRDefault="00967277" w:rsidP="00967277">
      <w:pPr>
        <w:spacing w:after="0" w:line="240" w:lineRule="auto"/>
      </w:pPr>
    </w:p>
    <w:p w14:paraId="050B5FBE" w14:textId="77777777" w:rsidR="00967277" w:rsidRDefault="00967277" w:rsidP="00967277">
      <w:pPr>
        <w:spacing w:after="0" w:line="240" w:lineRule="auto"/>
      </w:pPr>
      <w:r>
        <w:t>Add the following paragraph to Section 10.5 Limitations of This Methodology (Informative):</w:t>
      </w:r>
    </w:p>
    <w:p w14:paraId="2064AC94" w14:textId="77777777" w:rsidR="00967277" w:rsidRDefault="00967277" w:rsidP="00967277">
      <w:pPr>
        <w:spacing w:after="0" w:line="240" w:lineRule="auto"/>
      </w:pPr>
    </w:p>
    <w:p w14:paraId="513D7837" w14:textId="77777777" w:rsidR="00967277" w:rsidRDefault="00967277" w:rsidP="00967277">
      <w:pPr>
        <w:spacing w:after="0" w:line="240" w:lineRule="auto"/>
        <w:rPr>
          <w:u w:val="double"/>
        </w:rPr>
      </w:pPr>
      <w:r w:rsidRPr="00804C61">
        <w:rPr>
          <w:u w:val="double"/>
        </w:rPr>
        <w:t>This standard excludes consideration of directly attributable operational (energy-related) emissions savings of products that have a primary function of energy conservation, like insulation products.  Separate methods to assess the inextricably linked operational emission reductions of such products, like the RESNET 301 standard</w:t>
      </w:r>
      <w:r>
        <w:rPr>
          <w:u w:val="double"/>
        </w:rPr>
        <w:t>’</w:t>
      </w:r>
      <w:r w:rsidRPr="00804C61">
        <w:rPr>
          <w:u w:val="double"/>
        </w:rPr>
        <w:t>s CO2 Index, do not directly attribute any amount of the relative CO2 index value ( or actual operational emissions) to insulation materials</w:t>
      </w:r>
      <w:r>
        <w:rPr>
          <w:u w:val="double"/>
        </w:rPr>
        <w:t xml:space="preserve"> </w:t>
      </w:r>
      <w:r w:rsidRPr="00804C61">
        <w:rPr>
          <w:u w:val="double"/>
        </w:rPr>
        <w:t>nor does it do it in a way that is associated with the full amount of insulation (as counted in this standard</w:t>
      </w:r>
      <w:r>
        <w:rPr>
          <w:u w:val="double"/>
        </w:rPr>
        <w:t xml:space="preserve"> for embodied carbon assessment</w:t>
      </w:r>
      <w:r w:rsidRPr="00804C61">
        <w:rPr>
          <w:u w:val="double"/>
        </w:rPr>
        <w:t xml:space="preserve">) because the CO2 Index is benchmarked to a 2004 building already having some amount of insulation. Thus, this standard and the CO2 Index, even when used together, do not provide a means to assess the full or total carbon profile of energy conservation products, like insulation.  Therefore, </w:t>
      </w:r>
      <w:r>
        <w:rPr>
          <w:u w:val="double"/>
        </w:rPr>
        <w:t xml:space="preserve">the </w:t>
      </w:r>
      <w:r w:rsidRPr="00804C61">
        <w:rPr>
          <w:u w:val="double"/>
        </w:rPr>
        <w:t xml:space="preserve">user must consider the interaction of both embodied carbon emissions and operational (energy-related) emissions by separate means. Such information </w:t>
      </w:r>
      <w:r>
        <w:rPr>
          <w:u w:val="double"/>
        </w:rPr>
        <w:t xml:space="preserve">and guidance </w:t>
      </w:r>
      <w:r w:rsidRPr="00804C61">
        <w:rPr>
          <w:u w:val="double"/>
        </w:rPr>
        <w:t>may be addressed as additional environmental information in insulation product EPDs</w:t>
      </w:r>
      <w:r>
        <w:rPr>
          <w:u w:val="double"/>
        </w:rPr>
        <w:t>.  For additional information, see Product Category Rules (PCR) Guidance for Building-Related Products and Services Part B: Building Envelope Thermal Insulation EPD Requirements, UL 10010-1, Edition 4.0, November 3, 2025)</w:t>
      </w:r>
      <w:r w:rsidRPr="00804C61">
        <w:rPr>
          <w:u w:val="double"/>
        </w:rPr>
        <w:t>.</w:t>
      </w:r>
    </w:p>
    <w:p w14:paraId="3E39B6A3" w14:textId="77777777" w:rsidR="00967277" w:rsidRPr="005A640E" w:rsidRDefault="00967277" w:rsidP="00967277">
      <w:pPr>
        <w:spacing w:after="0" w:line="240" w:lineRule="auto"/>
      </w:pPr>
    </w:p>
    <w:p w14:paraId="47207131" w14:textId="041D991E" w:rsidR="00967277" w:rsidRDefault="00967277" w:rsidP="00967277">
      <w:pPr>
        <w:spacing w:after="0" w:line="240" w:lineRule="auto"/>
      </w:pPr>
      <w:r>
        <w:t xml:space="preserve">REASON:  Refer to reason </w:t>
      </w:r>
      <w:r w:rsidR="00D0233A">
        <w:t xml:space="preserve">and data </w:t>
      </w:r>
      <w:r>
        <w:t>provided with Comment #6 (similar rationale).</w:t>
      </w:r>
    </w:p>
    <w:p w14:paraId="42A346CF" w14:textId="77777777" w:rsidR="00967277" w:rsidRDefault="00967277" w:rsidP="00967277">
      <w:pPr>
        <w:spacing w:after="0" w:line="240" w:lineRule="auto"/>
      </w:pPr>
    </w:p>
    <w:p w14:paraId="5DF3C86E" w14:textId="77777777" w:rsidR="006C2F48" w:rsidRDefault="006C2F48"/>
    <w:sectPr w:rsidR="006C2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277"/>
    <w:rsid w:val="001C1189"/>
    <w:rsid w:val="00332A50"/>
    <w:rsid w:val="006C2F48"/>
    <w:rsid w:val="006C4910"/>
    <w:rsid w:val="00967277"/>
    <w:rsid w:val="00BA63F7"/>
    <w:rsid w:val="00D02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9D7F1"/>
  <w15:chartTrackingRefBased/>
  <w15:docId w15:val="{20395320-653B-49B3-8D34-F0CED92BC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277"/>
  </w:style>
  <w:style w:type="paragraph" w:styleId="Heading1">
    <w:name w:val="heading 1"/>
    <w:basedOn w:val="Normal"/>
    <w:next w:val="Normal"/>
    <w:link w:val="Heading1Char"/>
    <w:uiPriority w:val="9"/>
    <w:qFormat/>
    <w:rsid w:val="009672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2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727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72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727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72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72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72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72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27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2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727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727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727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72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72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72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72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72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72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72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72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72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72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72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727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27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27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7277"/>
    <w:rPr>
      <w:b/>
      <w:bCs/>
      <w:smallCaps/>
      <w:color w:val="2E74B5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9672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72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727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jcrandell</dc:creator>
  <cp:keywords/>
  <dc:description/>
  <cp:lastModifiedBy>jcrandell</cp:lastModifiedBy>
  <cp:revision>2</cp:revision>
  <dcterms:created xsi:type="dcterms:W3CDTF">2026-09-14T21:49:00Z</dcterms:created>
  <dcterms:modified xsi:type="dcterms:W3CDTF">2026-09-14T21:51:00Z</dcterms:modified>
</cp:coreProperties>
</file>