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E5EB6" w14:textId="6DBE925A" w:rsidR="00237923" w:rsidRDefault="00237923">
      <w:pPr>
        <w:rPr>
          <w:sz w:val="20"/>
          <w:szCs w:val="20"/>
        </w:rPr>
      </w:pPr>
      <w:r>
        <w:rPr>
          <w:b/>
          <w:bCs/>
        </w:rPr>
        <w:t>Comment/Explanation</w:t>
      </w:r>
      <w:r w:rsidR="0000630F" w:rsidRPr="0000630F">
        <w:rPr>
          <w:b/>
          <w:bCs/>
          <w:color w:val="FF0000"/>
        </w:rPr>
        <w:t>*</w:t>
      </w:r>
      <w:r>
        <w:rPr>
          <w:b/>
          <w:bCs/>
        </w:rPr>
        <w:t xml:space="preserve">: </w:t>
      </w:r>
      <w:r>
        <w:rPr>
          <w:b/>
          <w:bCs/>
        </w:rPr>
        <w:br/>
      </w:r>
      <w:r w:rsidRPr="008C2F70">
        <w:rPr>
          <w:i/>
          <w:iCs/>
          <w:sz w:val="20"/>
          <w:szCs w:val="20"/>
        </w:rPr>
        <w:t>Include your justification for your proposed change to the draft standard</w:t>
      </w:r>
      <w:r w:rsidR="005C1477">
        <w:rPr>
          <w:i/>
          <w:iCs/>
          <w:sz w:val="20"/>
          <w:szCs w:val="20"/>
        </w:rPr>
        <w:t xml:space="preserve"> below.</w:t>
      </w:r>
      <w:r w:rsidR="0000630F">
        <w:rPr>
          <w:sz w:val="20"/>
          <w:szCs w:val="20"/>
        </w:rPr>
        <w:br/>
        <w:t>_________________________________________________________________________________________</w:t>
      </w:r>
    </w:p>
    <w:p w14:paraId="58F2615F" w14:textId="23F59032" w:rsidR="0000630F" w:rsidRPr="0000630F" w:rsidRDefault="00F11A8B">
      <w:pPr>
        <w:rPr>
          <w:sz w:val="20"/>
          <w:szCs w:val="20"/>
        </w:rPr>
      </w:pPr>
      <w:r>
        <w:rPr>
          <w:sz w:val="20"/>
          <w:szCs w:val="20"/>
        </w:rPr>
        <w:t xml:space="preserve"> </w:t>
      </w:r>
    </w:p>
    <w:p w14:paraId="40B20A8A" w14:textId="601C728D" w:rsidR="00AC35AC" w:rsidRDefault="431F8CD6">
      <w:pPr>
        <w:rPr>
          <w:color w:val="0070C0"/>
          <w:sz w:val="20"/>
          <w:szCs w:val="20"/>
        </w:rPr>
      </w:pPr>
      <w:r w:rsidRPr="0014773A">
        <w:rPr>
          <w:color w:val="0070C0"/>
          <w:sz w:val="20"/>
          <w:szCs w:val="20"/>
        </w:rPr>
        <w:t xml:space="preserve">In development of PDS-01 of 301-2028, the </w:t>
      </w:r>
      <w:r w:rsidR="0014773A">
        <w:rPr>
          <w:color w:val="0070C0"/>
          <w:sz w:val="20"/>
          <w:szCs w:val="20"/>
        </w:rPr>
        <w:t xml:space="preserve">301 </w:t>
      </w:r>
      <w:r w:rsidRPr="0014773A">
        <w:rPr>
          <w:color w:val="0070C0"/>
          <w:sz w:val="20"/>
          <w:szCs w:val="20"/>
        </w:rPr>
        <w:t xml:space="preserve">TG </w:t>
      </w:r>
      <w:r w:rsidR="00AC35AC">
        <w:rPr>
          <w:color w:val="0070C0"/>
          <w:sz w:val="20"/>
          <w:szCs w:val="20"/>
        </w:rPr>
        <w:t>made multiple edits that impact or overlap with 380-2028.</w:t>
      </w:r>
    </w:p>
    <w:p w14:paraId="429F3176" w14:textId="3FB3948B" w:rsidR="00AC35AC" w:rsidRPr="0014773A" w:rsidRDefault="00AC35AC" w:rsidP="00AC35AC">
      <w:pPr>
        <w:rPr>
          <w:color w:val="0070C0"/>
          <w:sz w:val="20"/>
          <w:szCs w:val="20"/>
        </w:rPr>
      </w:pPr>
      <w:r w:rsidRPr="0014773A">
        <w:rPr>
          <w:color w:val="0070C0"/>
          <w:sz w:val="20"/>
          <w:szCs w:val="20"/>
        </w:rPr>
        <w:t xml:space="preserve">For consistency, 380-2028 should </w:t>
      </w:r>
      <w:r>
        <w:rPr>
          <w:color w:val="0070C0"/>
          <w:sz w:val="20"/>
          <w:szCs w:val="20"/>
        </w:rPr>
        <w:t xml:space="preserve">be revised to </w:t>
      </w:r>
      <w:r w:rsidRPr="0014773A">
        <w:rPr>
          <w:color w:val="0070C0"/>
          <w:sz w:val="20"/>
          <w:szCs w:val="20"/>
        </w:rPr>
        <w:t>align</w:t>
      </w:r>
      <w:r>
        <w:rPr>
          <w:color w:val="0070C0"/>
          <w:sz w:val="20"/>
          <w:szCs w:val="20"/>
        </w:rPr>
        <w:t xml:space="preserve"> with the following edits in 301</w:t>
      </w:r>
      <w:r w:rsidRPr="0014773A">
        <w:rPr>
          <w:color w:val="0070C0"/>
          <w:sz w:val="20"/>
          <w:szCs w:val="20"/>
        </w:rPr>
        <w:t xml:space="preserve">. </w:t>
      </w:r>
    </w:p>
    <w:p w14:paraId="6C919162" w14:textId="6B795336" w:rsidR="007A7366" w:rsidRPr="00AC35AC" w:rsidRDefault="00AC35AC" w:rsidP="00AC35AC">
      <w:pPr>
        <w:pStyle w:val="ListParagraph"/>
        <w:numPr>
          <w:ilvl w:val="0"/>
          <w:numId w:val="11"/>
        </w:numPr>
        <w:rPr>
          <w:color w:val="0070C0"/>
          <w:sz w:val="20"/>
          <w:szCs w:val="20"/>
        </w:rPr>
      </w:pPr>
      <w:r w:rsidRPr="00AC35AC">
        <w:rPr>
          <w:color w:val="0070C0"/>
          <w:sz w:val="20"/>
          <w:szCs w:val="20"/>
        </w:rPr>
        <w:t>R</w:t>
      </w:r>
      <w:r w:rsidR="431F8CD6" w:rsidRPr="00AC35AC">
        <w:rPr>
          <w:color w:val="0070C0"/>
          <w:sz w:val="20"/>
          <w:szCs w:val="20"/>
        </w:rPr>
        <w:t>eplaced "pressure volume" with defined term " Infiltration Volume"</w:t>
      </w:r>
      <w:r w:rsidR="00666D1F">
        <w:rPr>
          <w:color w:val="0070C0"/>
          <w:sz w:val="20"/>
          <w:szCs w:val="20"/>
        </w:rPr>
        <w:t xml:space="preserve"> in  Eqn 4-16</w:t>
      </w:r>
    </w:p>
    <w:p w14:paraId="73D42EE7" w14:textId="36BE5D3D" w:rsidR="007A7366" w:rsidRPr="00AC35AC" w:rsidRDefault="00A14770" w:rsidP="00AC35AC">
      <w:pPr>
        <w:pStyle w:val="ListParagraph"/>
        <w:numPr>
          <w:ilvl w:val="0"/>
          <w:numId w:val="11"/>
        </w:numPr>
        <w:rPr>
          <w:color w:val="0070C0"/>
          <w:sz w:val="20"/>
          <w:szCs w:val="20"/>
        </w:rPr>
      </w:pPr>
      <w:r w:rsidRPr="00AC35AC">
        <w:rPr>
          <w:color w:val="0070C0"/>
          <w:sz w:val="20"/>
          <w:szCs w:val="20"/>
        </w:rPr>
        <w:t>“Qualified” was added to the definition of Temporarily Converted Garage</w:t>
      </w:r>
      <w:r w:rsidR="007A7366" w:rsidRPr="00AC35AC">
        <w:rPr>
          <w:color w:val="0070C0"/>
          <w:sz w:val="20"/>
          <w:szCs w:val="20"/>
        </w:rPr>
        <w:t>.</w:t>
      </w:r>
    </w:p>
    <w:p w14:paraId="10B66B65" w14:textId="4A1EFA8D" w:rsidR="00A14770" w:rsidRPr="00AC35AC" w:rsidRDefault="007403B8" w:rsidP="00AC35AC">
      <w:pPr>
        <w:pStyle w:val="ListParagraph"/>
        <w:numPr>
          <w:ilvl w:val="0"/>
          <w:numId w:val="11"/>
        </w:numPr>
        <w:rPr>
          <w:color w:val="0070C0"/>
          <w:sz w:val="20"/>
          <w:szCs w:val="20"/>
        </w:rPr>
      </w:pPr>
      <w:r>
        <w:rPr>
          <w:color w:val="0070C0"/>
          <w:sz w:val="20"/>
          <w:szCs w:val="20"/>
        </w:rPr>
        <w:t>Other e</w:t>
      </w:r>
      <w:r w:rsidR="00AD5148" w:rsidRPr="00AC35AC">
        <w:rPr>
          <w:color w:val="0070C0"/>
          <w:sz w:val="20"/>
          <w:szCs w:val="20"/>
        </w:rPr>
        <w:t xml:space="preserve">dits were made to </w:t>
      </w:r>
      <w:r w:rsidR="007C375D">
        <w:rPr>
          <w:color w:val="0070C0"/>
          <w:sz w:val="20"/>
          <w:szCs w:val="20"/>
        </w:rPr>
        <w:t xml:space="preserve">the following defined terms, that are also defined in 380: </w:t>
      </w:r>
      <w:r w:rsidR="00AD5148" w:rsidRPr="00AC35AC">
        <w:rPr>
          <w:color w:val="0070C0"/>
          <w:sz w:val="20"/>
          <w:szCs w:val="20"/>
        </w:rPr>
        <w:t>CFA</w:t>
      </w:r>
      <w:r w:rsidR="007C375D">
        <w:rPr>
          <w:color w:val="0070C0"/>
          <w:sz w:val="20"/>
          <w:szCs w:val="20"/>
        </w:rPr>
        <w:t>,</w:t>
      </w:r>
      <w:r w:rsidR="00AD5148" w:rsidRPr="00AC35AC">
        <w:rPr>
          <w:color w:val="0070C0"/>
          <w:sz w:val="20"/>
          <w:szCs w:val="20"/>
        </w:rPr>
        <w:t xml:space="preserve"> CSV</w:t>
      </w:r>
      <w:r w:rsidR="001E5BC4" w:rsidRPr="00AC35AC">
        <w:rPr>
          <w:color w:val="0070C0"/>
          <w:sz w:val="20"/>
          <w:szCs w:val="20"/>
        </w:rPr>
        <w:t xml:space="preserve"> and DUMVS</w:t>
      </w:r>
      <w:r w:rsidR="00AD5148" w:rsidRPr="00AC35AC">
        <w:rPr>
          <w:color w:val="0070C0"/>
          <w:sz w:val="20"/>
          <w:szCs w:val="20"/>
        </w:rPr>
        <w:t>.</w:t>
      </w:r>
    </w:p>
    <w:p w14:paraId="392D4EC2" w14:textId="768593A4" w:rsidR="0000630F" w:rsidRPr="00AC35AC" w:rsidRDefault="007C375D" w:rsidP="00AC35AC">
      <w:pPr>
        <w:pStyle w:val="ListParagraph"/>
        <w:numPr>
          <w:ilvl w:val="0"/>
          <w:numId w:val="11"/>
        </w:numPr>
        <w:rPr>
          <w:color w:val="0070C0"/>
        </w:rPr>
      </w:pPr>
      <w:r>
        <w:rPr>
          <w:color w:val="0070C0"/>
          <w:sz w:val="20"/>
          <w:szCs w:val="20"/>
        </w:rPr>
        <w:t>While adopted from text in 301, t</w:t>
      </w:r>
      <w:r w:rsidR="382D644E" w:rsidRPr="00AC35AC">
        <w:rPr>
          <w:color w:val="0070C0"/>
          <w:sz w:val="20"/>
          <w:szCs w:val="20"/>
        </w:rPr>
        <w:t xml:space="preserve">he footnote 48 </w:t>
      </w:r>
      <w:r>
        <w:rPr>
          <w:color w:val="0070C0"/>
          <w:sz w:val="20"/>
          <w:szCs w:val="20"/>
        </w:rPr>
        <w:t xml:space="preserve">in 380, </w:t>
      </w:r>
      <w:r w:rsidR="382D644E" w:rsidRPr="00AC35AC">
        <w:rPr>
          <w:color w:val="0070C0"/>
          <w:sz w:val="20"/>
          <w:szCs w:val="20"/>
        </w:rPr>
        <w:t xml:space="preserve">should not cite </w:t>
      </w:r>
      <w:r w:rsidR="00AD5148" w:rsidRPr="00AC35AC">
        <w:rPr>
          <w:color w:val="0070C0"/>
          <w:sz w:val="20"/>
          <w:szCs w:val="20"/>
        </w:rPr>
        <w:t>“</w:t>
      </w:r>
      <w:r w:rsidR="382D644E" w:rsidRPr="00AC35AC">
        <w:rPr>
          <w:color w:val="0070C0"/>
          <w:sz w:val="20"/>
          <w:szCs w:val="20"/>
        </w:rPr>
        <w:t>380</w:t>
      </w:r>
      <w:r w:rsidR="00AD5148" w:rsidRPr="00AC35AC">
        <w:rPr>
          <w:color w:val="0070C0"/>
          <w:sz w:val="20"/>
          <w:szCs w:val="20"/>
        </w:rPr>
        <w:t>”</w:t>
      </w:r>
      <w:r w:rsidR="382D644E" w:rsidRPr="00AC35AC">
        <w:rPr>
          <w:color w:val="0070C0"/>
          <w:sz w:val="20"/>
          <w:szCs w:val="20"/>
        </w:rPr>
        <w:t xml:space="preserve"> but rather "this standard."</w:t>
      </w:r>
    </w:p>
    <w:p w14:paraId="3CF3DE8B" w14:textId="77777777" w:rsidR="0000630F" w:rsidRDefault="0000630F">
      <w:pPr>
        <w:rPr>
          <w:i/>
          <w:iCs/>
          <w:sz w:val="20"/>
          <w:szCs w:val="20"/>
        </w:rPr>
      </w:pPr>
    </w:p>
    <w:p w14:paraId="3ADFCCE6" w14:textId="77777777" w:rsidR="000E18FA" w:rsidRDefault="0000630F" w:rsidP="0000630F">
      <w:pPr>
        <w:rPr>
          <w:i/>
          <w:iCs/>
          <w:sz w:val="20"/>
          <w:szCs w:val="20"/>
        </w:rPr>
      </w:pPr>
      <w:r>
        <w:rPr>
          <w:b/>
          <w:bCs/>
        </w:rPr>
        <w:t>Proposed Change to the Draft Standard</w:t>
      </w:r>
      <w:r w:rsidRPr="0000630F">
        <w:rPr>
          <w:b/>
          <w:bCs/>
          <w:color w:val="FF0000"/>
        </w:rPr>
        <w:t>*</w:t>
      </w:r>
      <w:r>
        <w:br/>
      </w:r>
      <w:r w:rsidRPr="0000630F">
        <w:rPr>
          <w:i/>
          <w:iCs/>
          <w:sz w:val="20"/>
          <w:szCs w:val="20"/>
        </w:rPr>
        <w:t xml:space="preserve">Use “strikethrough” and “underline” formatting to indicate all proposed changes. </w:t>
      </w:r>
      <w:r w:rsidR="00001E7A">
        <w:rPr>
          <w:i/>
          <w:iCs/>
          <w:sz w:val="20"/>
          <w:szCs w:val="20"/>
        </w:rPr>
        <w:t>Changes must be shown with</w:t>
      </w:r>
      <w:r w:rsidR="00A519E2">
        <w:rPr>
          <w:i/>
          <w:iCs/>
          <w:sz w:val="20"/>
          <w:szCs w:val="20"/>
        </w:rPr>
        <w:t xml:space="preserve"> “hard-formatting” strikethrough and underline, </w:t>
      </w:r>
      <w:r w:rsidR="00A519E2">
        <w:rPr>
          <w:i/>
          <w:iCs/>
          <w:sz w:val="20"/>
          <w:szCs w:val="20"/>
          <w:u w:val="single"/>
        </w:rPr>
        <w:t>not</w:t>
      </w:r>
      <w:r w:rsidR="00A519E2">
        <w:rPr>
          <w:i/>
          <w:iCs/>
          <w:sz w:val="20"/>
          <w:szCs w:val="20"/>
        </w:rPr>
        <w:t xml:space="preserve"> “track changes”.</w:t>
      </w:r>
      <w:r w:rsidR="000E18FA">
        <w:rPr>
          <w:i/>
          <w:iCs/>
          <w:sz w:val="20"/>
          <w:szCs w:val="20"/>
        </w:rPr>
        <w:t xml:space="preserve"> </w:t>
      </w:r>
    </w:p>
    <w:p w14:paraId="00BA7E5F" w14:textId="03DC4B5C" w:rsidR="0000630F" w:rsidRPr="0000630F" w:rsidRDefault="00255E22" w:rsidP="0000630F">
      <w:r w:rsidRPr="48197404">
        <w:rPr>
          <w:i/>
          <w:iCs/>
          <w:sz w:val="20"/>
          <w:szCs w:val="20"/>
        </w:rPr>
        <w:t>Use</w:t>
      </w:r>
      <w:r w:rsidR="000E18FA" w:rsidRPr="48197404">
        <w:rPr>
          <w:i/>
          <w:iCs/>
          <w:sz w:val="20"/>
          <w:szCs w:val="20"/>
        </w:rPr>
        <w:t xml:space="preserve"> a color other than red to indicate proposed changes</w:t>
      </w:r>
      <w:r w:rsidRPr="48197404">
        <w:rPr>
          <w:i/>
          <w:iCs/>
          <w:sz w:val="20"/>
          <w:szCs w:val="20"/>
        </w:rPr>
        <w:t xml:space="preserve"> to the draft.</w:t>
      </w:r>
      <w:r>
        <w:br/>
      </w:r>
      <w:r w:rsidR="0000630F" w:rsidRPr="48197404">
        <w:rPr>
          <w:sz w:val="20"/>
          <w:szCs w:val="20"/>
        </w:rPr>
        <w:t>____________________________________________________________________________________________</w:t>
      </w:r>
    </w:p>
    <w:p w14:paraId="1AEDFB77" w14:textId="44DC9804" w:rsidR="004D1622" w:rsidRDefault="004D1622" w:rsidP="004D1622">
      <w:pPr>
        <w:spacing w:before="34" w:line="263" w:lineRule="atLeast"/>
        <w:ind w:right="-197"/>
        <w:rPr>
          <w:sz w:val="20"/>
          <w:szCs w:val="20"/>
        </w:rPr>
      </w:pPr>
      <w:r w:rsidRPr="48876C05">
        <w:rPr>
          <w:b/>
          <w:bCs/>
          <w:i/>
          <w:iCs/>
          <w:color w:val="000000"/>
          <w:sz w:val="20"/>
          <w:szCs w:val="20"/>
        </w:rPr>
        <w:t>Conditioned Floor Area (CFA)</w:t>
      </w:r>
      <w:r>
        <w:rPr>
          <w:rStyle w:val="FootnoteReference"/>
          <w:sz w:val="20"/>
          <w:szCs w:val="20"/>
        </w:rPr>
        <w:footnoteReference w:id="1"/>
      </w:r>
      <w:r w:rsidRPr="00AD0B89">
        <w:rPr>
          <w:b/>
          <w:bCs/>
          <w:i/>
          <w:iCs/>
          <w:color w:val="00B0F0"/>
          <w:sz w:val="20"/>
          <w:szCs w:val="20"/>
          <w:u w:val="single"/>
          <w:vertAlign w:val="superscript"/>
        </w:rPr>
        <w:t>,</w:t>
      </w:r>
      <w:r w:rsidRPr="00AD0B89">
        <w:rPr>
          <w:rStyle w:val="FootnoteReference"/>
          <w:b/>
          <w:bCs/>
          <w:i/>
          <w:iCs/>
          <w:color w:val="00B0F0"/>
          <w:sz w:val="20"/>
          <w:szCs w:val="20"/>
          <w:u w:val="single"/>
        </w:rPr>
        <w:footnoteReference w:id="2"/>
      </w:r>
      <w:r w:rsidRPr="48876C05">
        <w:rPr>
          <w:b/>
          <w:bCs/>
          <w:i/>
          <w:iCs/>
          <w:color w:val="000000"/>
          <w:sz w:val="20"/>
          <w:szCs w:val="20"/>
        </w:rPr>
        <w:t xml:space="preserve"> </w:t>
      </w:r>
      <w:r w:rsidRPr="48876C05">
        <w:rPr>
          <w:i/>
          <w:iCs/>
          <w:color w:val="000000"/>
          <w:sz w:val="20"/>
          <w:szCs w:val="20"/>
        </w:rPr>
        <w:t xml:space="preserve">– </w:t>
      </w:r>
      <w:r>
        <w:rPr>
          <w:color w:val="000000"/>
          <w:sz w:val="20"/>
          <w:szCs w:val="20"/>
        </w:rPr>
        <w:t xml:space="preserve">The floor area of the </w:t>
      </w:r>
      <w:r w:rsidR="005E7A8B" w:rsidRPr="005E7A8B">
        <w:rPr>
          <w:i/>
          <w:iCs/>
          <w:color w:val="000000"/>
          <w:sz w:val="20"/>
          <w:szCs w:val="20"/>
        </w:rPr>
        <w:t>c</w:t>
      </w:r>
      <w:r w:rsidRPr="005E7A8B">
        <w:rPr>
          <w:i/>
          <w:iCs/>
          <w:color w:val="000000"/>
          <w:sz w:val="20"/>
          <w:szCs w:val="20"/>
        </w:rPr>
        <w:t xml:space="preserve">onditioned </w:t>
      </w:r>
      <w:r w:rsidR="005E7A8B" w:rsidRPr="005E7A8B">
        <w:rPr>
          <w:i/>
          <w:iCs/>
          <w:color w:val="000000"/>
          <w:sz w:val="20"/>
          <w:szCs w:val="20"/>
        </w:rPr>
        <w:t>s</w:t>
      </w:r>
      <w:r w:rsidRPr="005E7A8B">
        <w:rPr>
          <w:i/>
          <w:iCs/>
          <w:color w:val="000000"/>
          <w:sz w:val="20"/>
          <w:szCs w:val="20"/>
        </w:rPr>
        <w:t xml:space="preserve">pace </w:t>
      </w:r>
      <w:r w:rsidR="005E7A8B" w:rsidRPr="005E7A8B">
        <w:rPr>
          <w:i/>
          <w:iCs/>
          <w:color w:val="000000"/>
          <w:sz w:val="20"/>
          <w:szCs w:val="20"/>
        </w:rPr>
        <w:t>v</w:t>
      </w:r>
      <w:r w:rsidRPr="005E7A8B">
        <w:rPr>
          <w:i/>
          <w:iCs/>
          <w:color w:val="000000"/>
          <w:sz w:val="20"/>
          <w:szCs w:val="20"/>
        </w:rPr>
        <w:t>olume</w:t>
      </w:r>
      <w:r>
        <w:rPr>
          <w:color w:val="000000"/>
          <w:sz w:val="20"/>
          <w:szCs w:val="20"/>
        </w:rPr>
        <w:t xml:space="preserve"> within a </w:t>
      </w:r>
      <w:r w:rsidR="00913AA8">
        <w:rPr>
          <w:i/>
          <w:iCs/>
          <w:color w:val="000000"/>
          <w:sz w:val="20"/>
          <w:szCs w:val="20"/>
        </w:rPr>
        <w:t>d</w:t>
      </w:r>
      <w:r w:rsidRPr="00913AA8">
        <w:rPr>
          <w:i/>
          <w:iCs/>
          <w:color w:val="000000"/>
          <w:sz w:val="20"/>
          <w:szCs w:val="20"/>
        </w:rPr>
        <w:t xml:space="preserve">welling </w:t>
      </w:r>
      <w:r w:rsidR="00913AA8">
        <w:rPr>
          <w:i/>
          <w:iCs/>
          <w:color w:val="000000"/>
          <w:sz w:val="20"/>
          <w:szCs w:val="20"/>
        </w:rPr>
        <w:t>u</w:t>
      </w:r>
      <w:r w:rsidRPr="00913AA8">
        <w:rPr>
          <w:i/>
          <w:iCs/>
          <w:color w:val="000000"/>
          <w:sz w:val="20"/>
          <w:szCs w:val="20"/>
        </w:rPr>
        <w:t>nit</w:t>
      </w:r>
      <w:r>
        <w:rPr>
          <w:color w:val="000000"/>
          <w:sz w:val="20"/>
          <w:szCs w:val="20"/>
        </w:rPr>
        <w:t xml:space="preserve">, </w:t>
      </w:r>
      <w:r>
        <w:rPr>
          <w:color w:val="000000"/>
          <w:spacing w:val="1"/>
          <w:sz w:val="20"/>
          <w:szCs w:val="20"/>
        </w:rPr>
        <w:t>not</w:t>
      </w:r>
      <w:r>
        <w:rPr>
          <w:color w:val="000000"/>
          <w:sz w:val="20"/>
          <w:szCs w:val="20"/>
        </w:rPr>
        <w:t xml:space="preserve"> including the floor area </w:t>
      </w:r>
      <w:r>
        <w:rPr>
          <w:color w:val="000000"/>
          <w:spacing w:val="1"/>
          <w:sz w:val="20"/>
          <w:szCs w:val="20"/>
        </w:rPr>
        <w:t>of</w:t>
      </w:r>
      <w:r>
        <w:rPr>
          <w:color w:val="000000"/>
          <w:sz w:val="20"/>
          <w:szCs w:val="20"/>
        </w:rPr>
        <w:t xml:space="preserve"> Attics </w:t>
      </w:r>
      <w:r>
        <w:rPr>
          <w:color w:val="000000"/>
          <w:spacing w:val="1"/>
          <w:sz w:val="20"/>
          <w:szCs w:val="20"/>
        </w:rPr>
        <w:t>or</w:t>
      </w:r>
      <w:r>
        <w:rPr>
          <w:color w:val="000000"/>
          <w:sz w:val="20"/>
          <w:szCs w:val="20"/>
        </w:rPr>
        <w:t xml:space="preserve"> crawl spaces, and basements below air sealed and insulated floors. The following specific spaces are addressed to ensure consistent application of this definition:</w:t>
      </w:r>
    </w:p>
    <w:p w14:paraId="36D4C0B3" w14:textId="77777777" w:rsidR="004D1622" w:rsidRDefault="004D1622" w:rsidP="00CC70CA">
      <w:pPr>
        <w:numPr>
          <w:ilvl w:val="0"/>
          <w:numId w:val="5"/>
        </w:numPr>
        <w:spacing w:before="60" w:after="0" w:line="239" w:lineRule="atLeast"/>
        <w:ind w:right="-200"/>
        <w:rPr>
          <w:sz w:val="20"/>
          <w:szCs w:val="20"/>
        </w:rPr>
      </w:pPr>
      <w:r>
        <w:rPr>
          <w:color w:val="000000"/>
          <w:sz w:val="20"/>
          <w:szCs w:val="20"/>
        </w:rPr>
        <w:t>The CFA shall include the floor area of the full width of a wall assembly that is within the Conditioned Space Volume.</w:t>
      </w:r>
    </w:p>
    <w:p w14:paraId="1AF15CE9" w14:textId="77777777" w:rsidR="004D1622" w:rsidRPr="00CC70CA" w:rsidRDefault="004D1622" w:rsidP="00CC70CA">
      <w:pPr>
        <w:spacing w:before="99" w:line="177" w:lineRule="atLeast"/>
        <w:ind w:left="720" w:right="-196"/>
        <w:rPr>
          <w:sz w:val="20"/>
          <w:szCs w:val="20"/>
        </w:rPr>
      </w:pPr>
      <w:r w:rsidRPr="00CC70CA">
        <w:rPr>
          <w:b/>
          <w:bCs/>
          <w:color w:val="000000"/>
          <w:sz w:val="20"/>
          <w:szCs w:val="20"/>
        </w:rPr>
        <w:t>Exception:</w:t>
      </w:r>
      <w:r w:rsidRPr="00CC70CA">
        <w:rPr>
          <w:color w:val="000000"/>
          <w:sz w:val="20"/>
          <w:szCs w:val="20"/>
        </w:rPr>
        <w:t xml:space="preserve"> If the subject Dwelling Unit shares a wall assembly</w:t>
      </w:r>
      <w:r>
        <w:rPr>
          <w:rStyle w:val="FootnoteReference"/>
          <w:sz w:val="20"/>
          <w:szCs w:val="20"/>
        </w:rPr>
        <w:footnoteReference w:id="3"/>
      </w:r>
      <w:r w:rsidRPr="00CC70CA">
        <w:rPr>
          <w:color w:val="000000"/>
          <w:sz w:val="20"/>
          <w:szCs w:val="20"/>
        </w:rPr>
        <w:t xml:space="preserve"> with another Dwelling Unit, then the </w:t>
      </w:r>
      <w:r w:rsidRPr="00CC70CA">
        <w:rPr>
          <w:color w:val="000000"/>
          <w:spacing w:val="1"/>
          <w:sz w:val="20"/>
          <w:szCs w:val="20"/>
        </w:rPr>
        <w:t>CFA</w:t>
      </w:r>
      <w:r w:rsidRPr="00CC70CA">
        <w:rPr>
          <w:color w:val="000000"/>
          <w:sz w:val="20"/>
          <w:szCs w:val="20"/>
        </w:rPr>
        <w:t xml:space="preserve"> </w:t>
      </w:r>
      <w:r w:rsidRPr="00CC70CA">
        <w:rPr>
          <w:color w:val="000000"/>
          <w:spacing w:val="1"/>
          <w:sz w:val="20"/>
          <w:szCs w:val="20"/>
        </w:rPr>
        <w:t xml:space="preserve">of </w:t>
      </w:r>
      <w:r w:rsidRPr="00CC70CA">
        <w:rPr>
          <w:color w:val="000000"/>
          <w:sz w:val="20"/>
          <w:szCs w:val="20"/>
        </w:rPr>
        <w:t>the subject Dwelling Unit shall extend to the midpoint of that shared wall assembly.</w:t>
      </w:r>
    </w:p>
    <w:p w14:paraId="38860DDE" w14:textId="77777777" w:rsidR="004D1622" w:rsidRPr="009506C9" w:rsidRDefault="004D1622" w:rsidP="00CC70CA">
      <w:pPr>
        <w:numPr>
          <w:ilvl w:val="0"/>
          <w:numId w:val="5"/>
        </w:numPr>
        <w:spacing w:before="48" w:after="0" w:line="242" w:lineRule="atLeast"/>
        <w:ind w:right="-197"/>
        <w:rPr>
          <w:sz w:val="20"/>
          <w:szCs w:val="20"/>
        </w:rPr>
      </w:pPr>
      <w:r w:rsidRPr="009506C9">
        <w:rPr>
          <w:color w:val="000000"/>
          <w:sz w:val="20"/>
          <w:szCs w:val="20"/>
        </w:rPr>
        <w:t xml:space="preserve">The CFA shall include the floor area of a basement only </w:t>
      </w:r>
      <w:r w:rsidRPr="009506C9">
        <w:rPr>
          <w:color w:val="000000"/>
          <w:spacing w:val="2"/>
          <w:sz w:val="20"/>
          <w:szCs w:val="20"/>
        </w:rPr>
        <w:t>if</w:t>
      </w:r>
      <w:r w:rsidRPr="009506C9">
        <w:rPr>
          <w:color w:val="000000"/>
          <w:sz w:val="20"/>
          <w:szCs w:val="20"/>
        </w:rPr>
        <w:t xml:space="preserve"> it is contiguous with and dedicated</w:t>
      </w:r>
      <w:r>
        <w:rPr>
          <w:rStyle w:val="FootnoteReference"/>
          <w:sz w:val="20"/>
          <w:szCs w:val="20"/>
        </w:rPr>
        <w:footnoteReference w:id="4"/>
      </w:r>
      <w:r w:rsidRPr="009506C9">
        <w:rPr>
          <w:color w:val="000000"/>
          <w:sz w:val="20"/>
          <w:szCs w:val="20"/>
        </w:rPr>
        <w:t xml:space="preserve"> to the subject</w:t>
      </w:r>
      <w:r>
        <w:rPr>
          <w:color w:val="000000"/>
          <w:sz w:val="20"/>
          <w:szCs w:val="20"/>
        </w:rPr>
        <w:t xml:space="preserve"> </w:t>
      </w:r>
      <w:r w:rsidRPr="009506C9">
        <w:rPr>
          <w:color w:val="000000"/>
          <w:sz w:val="20"/>
          <w:szCs w:val="20"/>
        </w:rPr>
        <w:t xml:space="preserve">Dwelling Unit and the party conducting the evaluation has either: </w:t>
      </w:r>
    </w:p>
    <w:p w14:paraId="09CED279" w14:textId="0FB17BC0" w:rsidR="004D1622" w:rsidRPr="00913AA8" w:rsidRDefault="004D1622" w:rsidP="00913AA8">
      <w:pPr>
        <w:pStyle w:val="ListParagraph"/>
        <w:numPr>
          <w:ilvl w:val="1"/>
          <w:numId w:val="5"/>
        </w:numPr>
        <w:spacing w:after="0" w:line="239" w:lineRule="atLeast"/>
        <w:ind w:right="-198"/>
        <w:rPr>
          <w:sz w:val="20"/>
          <w:szCs w:val="20"/>
        </w:rPr>
      </w:pPr>
      <w:r w:rsidRPr="00913AA8">
        <w:rPr>
          <w:color w:val="000000"/>
          <w:sz w:val="20"/>
          <w:szCs w:val="20"/>
        </w:rPr>
        <w:t>Obtained an ACCA Manual J, S, and either B or D report and verified that both the heating and cooling equipment and distribution system are designed to offset the entire design load of the volume; or</w:t>
      </w:r>
    </w:p>
    <w:p w14:paraId="5E6D10BF" w14:textId="77777777" w:rsidR="004D1622" w:rsidRDefault="004D1622" w:rsidP="00CC70CA">
      <w:pPr>
        <w:numPr>
          <w:ilvl w:val="1"/>
          <w:numId w:val="5"/>
        </w:numPr>
        <w:spacing w:before="1" w:after="0" w:line="239" w:lineRule="atLeast"/>
        <w:ind w:right="-200"/>
        <w:rPr>
          <w:sz w:val="20"/>
          <w:szCs w:val="20"/>
        </w:rPr>
      </w:pPr>
      <w:r>
        <w:rPr>
          <w:color w:val="000000"/>
          <w:sz w:val="20"/>
          <w:szCs w:val="20"/>
        </w:rPr>
        <w:t xml:space="preserve">Verified through visual inspection that both the heating and cooling equipment and distribution system serve the volume and in the judgment of the party conducting evaluations, are capable of maintaining space conditions at 78°F (26°C) for cooling and 68°F (20°C) </w:t>
      </w:r>
      <w:r>
        <w:rPr>
          <w:color w:val="000000"/>
          <w:spacing w:val="1"/>
          <w:sz w:val="20"/>
          <w:szCs w:val="20"/>
        </w:rPr>
        <w:t>for</w:t>
      </w:r>
      <w:r>
        <w:rPr>
          <w:color w:val="000000"/>
          <w:sz w:val="20"/>
          <w:szCs w:val="20"/>
        </w:rPr>
        <w:t xml:space="preserve"> heating.</w:t>
      </w:r>
    </w:p>
    <w:p w14:paraId="19285059" w14:textId="77777777" w:rsidR="004D1622" w:rsidRDefault="004D1622" w:rsidP="00CC70CA">
      <w:pPr>
        <w:numPr>
          <w:ilvl w:val="0"/>
          <w:numId w:val="5"/>
        </w:numPr>
        <w:spacing w:before="1" w:after="0" w:line="239" w:lineRule="atLeast"/>
        <w:ind w:right="-196"/>
        <w:rPr>
          <w:sz w:val="20"/>
          <w:szCs w:val="20"/>
        </w:rPr>
      </w:pPr>
      <w:r>
        <w:rPr>
          <w:color w:val="000000"/>
          <w:sz w:val="20"/>
          <w:szCs w:val="20"/>
        </w:rPr>
        <w:t xml:space="preserve">The CFA shall exclude the floor area of a garage even when </w:t>
      </w:r>
      <w:r>
        <w:rPr>
          <w:color w:val="000000"/>
          <w:spacing w:val="2"/>
          <w:sz w:val="20"/>
          <w:szCs w:val="20"/>
        </w:rPr>
        <w:t>it</w:t>
      </w:r>
      <w:r>
        <w:rPr>
          <w:color w:val="000000"/>
          <w:sz w:val="20"/>
          <w:szCs w:val="20"/>
        </w:rPr>
        <w:t xml:space="preserve"> is conditioned.</w:t>
      </w:r>
    </w:p>
    <w:p w14:paraId="3A9F1B75" w14:textId="77777777" w:rsidR="004D1622" w:rsidRDefault="004D1622" w:rsidP="00CC70CA">
      <w:pPr>
        <w:numPr>
          <w:ilvl w:val="0"/>
          <w:numId w:val="5"/>
        </w:numPr>
        <w:spacing w:before="1" w:after="0" w:line="239" w:lineRule="atLeast"/>
        <w:ind w:right="-199"/>
        <w:rPr>
          <w:sz w:val="20"/>
          <w:szCs w:val="20"/>
        </w:rPr>
      </w:pPr>
      <w:r w:rsidRPr="1CF9AAA1">
        <w:rPr>
          <w:color w:val="000000" w:themeColor="text1"/>
          <w:sz w:val="20"/>
          <w:szCs w:val="20"/>
        </w:rPr>
        <w:t>The CFA shall exclude the floor area of a thermally isolated sunroom.</w:t>
      </w:r>
    </w:p>
    <w:p w14:paraId="04ED2908" w14:textId="77777777" w:rsidR="004D1622" w:rsidRPr="00AD0B89" w:rsidRDefault="004D1622" w:rsidP="00CC70CA">
      <w:pPr>
        <w:numPr>
          <w:ilvl w:val="0"/>
          <w:numId w:val="5"/>
        </w:numPr>
        <w:spacing w:before="1" w:after="0" w:line="239" w:lineRule="atLeast"/>
        <w:ind w:right="-199"/>
        <w:rPr>
          <w:color w:val="00B0F0"/>
          <w:sz w:val="20"/>
          <w:szCs w:val="20"/>
          <w:u w:val="single"/>
        </w:rPr>
      </w:pPr>
      <w:bookmarkStart w:id="0" w:name="IR_301_2019_024"/>
      <w:r w:rsidRPr="00AD0B89">
        <w:rPr>
          <w:color w:val="00B0F0"/>
          <w:sz w:val="20"/>
          <w:szCs w:val="20"/>
          <w:u w:val="single"/>
        </w:rPr>
        <w:lastRenderedPageBreak/>
        <w:t>The CFA shall include the footprint area occupied by an indoor swimming pool, when the pool is located within the building thermal envelope.</w:t>
      </w:r>
      <w:bookmarkEnd w:id="0"/>
    </w:p>
    <w:p w14:paraId="57209B83" w14:textId="77777777" w:rsidR="00913AA8" w:rsidRDefault="004D1622" w:rsidP="00913AA8">
      <w:pPr>
        <w:numPr>
          <w:ilvl w:val="0"/>
          <w:numId w:val="5"/>
        </w:numPr>
        <w:spacing w:before="20" w:after="0" w:line="194" w:lineRule="atLeast"/>
        <w:ind w:right="-197"/>
        <w:rPr>
          <w:sz w:val="16"/>
          <w:szCs w:val="16"/>
        </w:rPr>
      </w:pPr>
      <w:r>
        <w:rPr>
          <w:color w:val="000000"/>
          <w:sz w:val="20"/>
          <w:szCs w:val="20"/>
        </w:rPr>
        <w:t xml:space="preserve">The CFA shall exclude the floor area </w:t>
      </w:r>
      <w:r>
        <w:rPr>
          <w:color w:val="000000"/>
          <w:spacing w:val="1"/>
          <w:sz w:val="20"/>
          <w:szCs w:val="20"/>
        </w:rPr>
        <w:t>of</w:t>
      </w:r>
      <w:r>
        <w:rPr>
          <w:color w:val="000000"/>
          <w:sz w:val="20"/>
          <w:szCs w:val="20"/>
        </w:rPr>
        <w:t xml:space="preserve"> an Attic even when </w:t>
      </w:r>
      <w:r>
        <w:rPr>
          <w:color w:val="000000"/>
          <w:spacing w:val="2"/>
          <w:sz w:val="20"/>
          <w:szCs w:val="20"/>
        </w:rPr>
        <w:t>it</w:t>
      </w:r>
      <w:r>
        <w:rPr>
          <w:color w:val="000000"/>
          <w:sz w:val="20"/>
          <w:szCs w:val="20"/>
        </w:rPr>
        <w:t xml:space="preserve"> is Conditioned Space Volume.</w:t>
      </w:r>
      <w:r>
        <w:rPr>
          <w:rStyle w:val="FootnoteReference"/>
          <w:color w:val="000000"/>
          <w:sz w:val="20"/>
          <w:szCs w:val="20"/>
        </w:rPr>
        <w:footnoteReference w:id="5"/>
      </w:r>
    </w:p>
    <w:p w14:paraId="099E591C" w14:textId="4150E2FB" w:rsidR="004D1622" w:rsidRPr="00913AA8" w:rsidRDefault="004D1622" w:rsidP="00913AA8">
      <w:pPr>
        <w:numPr>
          <w:ilvl w:val="0"/>
          <w:numId w:val="5"/>
        </w:numPr>
        <w:spacing w:before="20" w:after="0" w:line="194" w:lineRule="atLeast"/>
        <w:ind w:right="-197"/>
        <w:rPr>
          <w:sz w:val="16"/>
          <w:szCs w:val="16"/>
        </w:rPr>
      </w:pPr>
      <w:r w:rsidRPr="00913AA8">
        <w:rPr>
          <w:color w:val="000000"/>
          <w:sz w:val="20"/>
          <w:szCs w:val="20"/>
        </w:rPr>
        <w:t xml:space="preserve">The CFA shall exclude the floor area of a crawl space even when </w:t>
      </w:r>
      <w:r w:rsidRPr="00913AA8">
        <w:rPr>
          <w:color w:val="000000"/>
          <w:spacing w:val="2"/>
          <w:sz w:val="20"/>
          <w:szCs w:val="20"/>
        </w:rPr>
        <w:t>it</w:t>
      </w:r>
      <w:r w:rsidRPr="00913AA8">
        <w:rPr>
          <w:color w:val="000000"/>
          <w:sz w:val="20"/>
          <w:szCs w:val="20"/>
        </w:rPr>
        <w:t xml:space="preserve"> is Conditioned Space Volume.</w:t>
      </w:r>
    </w:p>
    <w:p w14:paraId="1ACD2BD0" w14:textId="77777777" w:rsidR="004D1622" w:rsidRDefault="004D1622" w:rsidP="004D1622">
      <w:pPr>
        <w:spacing w:before="1" w:line="239" w:lineRule="atLeast"/>
        <w:ind w:left="360" w:right="-197"/>
        <w:rPr>
          <w:sz w:val="20"/>
          <w:szCs w:val="20"/>
        </w:rPr>
      </w:pPr>
    </w:p>
    <w:p w14:paraId="3E2AA74D" w14:textId="77777777" w:rsidR="003C4398" w:rsidRDefault="003C4398" w:rsidP="003C4398">
      <w:pPr>
        <w:spacing w:before="34" w:line="263" w:lineRule="atLeast"/>
        <w:ind w:right="-198"/>
        <w:rPr>
          <w:sz w:val="20"/>
          <w:szCs w:val="20"/>
        </w:rPr>
      </w:pPr>
      <w:r>
        <w:rPr>
          <w:b/>
          <w:bCs/>
          <w:i/>
          <w:iCs/>
          <w:color w:val="000000"/>
          <w:sz w:val="20"/>
          <w:szCs w:val="20"/>
        </w:rPr>
        <w:t>Conditioned Space Volume (CSV)</w:t>
      </w:r>
      <w:r>
        <w:rPr>
          <w:rStyle w:val="FootnoteReference"/>
          <w:b/>
          <w:bCs/>
          <w:i/>
          <w:iCs/>
          <w:color w:val="000000"/>
          <w:sz w:val="20"/>
          <w:szCs w:val="20"/>
        </w:rPr>
        <w:footnoteReference w:id="6"/>
      </w:r>
      <w:r w:rsidRPr="00AD0B89">
        <w:rPr>
          <w:b/>
          <w:bCs/>
          <w:i/>
          <w:iCs/>
          <w:color w:val="00B0F0"/>
          <w:sz w:val="20"/>
          <w:szCs w:val="20"/>
          <w:u w:val="single"/>
          <w:vertAlign w:val="superscript"/>
        </w:rPr>
        <w:t xml:space="preserve">, </w:t>
      </w:r>
      <w:r w:rsidRPr="00AD0B89">
        <w:rPr>
          <w:rStyle w:val="FootnoteReference"/>
          <w:b/>
          <w:bCs/>
          <w:i/>
          <w:iCs/>
          <w:color w:val="00B0F0"/>
          <w:sz w:val="20"/>
          <w:szCs w:val="20"/>
          <w:u w:val="single"/>
        </w:rPr>
        <w:footnoteReference w:id="7"/>
      </w:r>
      <w:r w:rsidRPr="00AD0B89">
        <w:rPr>
          <w:b/>
          <w:bCs/>
          <w:i/>
          <w:iCs/>
          <w:color w:val="00B0F0"/>
          <w:sz w:val="20"/>
          <w:szCs w:val="20"/>
        </w:rPr>
        <w:t xml:space="preserve"> </w:t>
      </w:r>
      <w:r>
        <w:rPr>
          <w:i/>
          <w:iCs/>
          <w:color w:val="000000"/>
          <w:sz w:val="20"/>
          <w:szCs w:val="20"/>
        </w:rPr>
        <w:t>–</w:t>
      </w:r>
      <w:r>
        <w:rPr>
          <w:b/>
          <w:bCs/>
          <w:i/>
          <w:iCs/>
          <w:color w:val="000000"/>
          <w:sz w:val="20"/>
          <w:szCs w:val="20"/>
        </w:rPr>
        <w:t xml:space="preserve"> </w:t>
      </w:r>
      <w:r>
        <w:rPr>
          <w:color w:val="000000"/>
          <w:sz w:val="20"/>
          <w:szCs w:val="20"/>
        </w:rPr>
        <w:t xml:space="preserve">The volume within a Dwelling Unit serviced by a space heating or cooling system designed to maintain space conditions at 78°F for cooling and 68°F for heating. The following specific spaces are addressed to ensure consistent application </w:t>
      </w:r>
      <w:r>
        <w:rPr>
          <w:color w:val="000000"/>
          <w:spacing w:val="1"/>
          <w:sz w:val="20"/>
          <w:szCs w:val="20"/>
        </w:rPr>
        <w:t>of</w:t>
      </w:r>
      <w:r>
        <w:rPr>
          <w:color w:val="000000"/>
          <w:sz w:val="20"/>
          <w:szCs w:val="20"/>
        </w:rPr>
        <w:t xml:space="preserve"> this definition:</w:t>
      </w:r>
    </w:p>
    <w:p w14:paraId="05610AD8" w14:textId="77777777" w:rsidR="003C4398" w:rsidRDefault="003C4398" w:rsidP="003C4398">
      <w:pPr>
        <w:numPr>
          <w:ilvl w:val="0"/>
          <w:numId w:val="10"/>
        </w:numPr>
        <w:spacing w:before="57" w:after="0" w:line="239" w:lineRule="atLeast"/>
        <w:ind w:right="-198"/>
        <w:rPr>
          <w:sz w:val="20"/>
          <w:szCs w:val="20"/>
        </w:rPr>
      </w:pPr>
      <w:r>
        <w:rPr>
          <w:color w:val="000000"/>
          <w:sz w:val="20"/>
          <w:szCs w:val="20"/>
        </w:rPr>
        <w:t xml:space="preserve">If the volume both above and below a floor assembly meets this definition and is part </w:t>
      </w:r>
      <w:r>
        <w:rPr>
          <w:color w:val="000000"/>
          <w:spacing w:val="1"/>
          <w:sz w:val="20"/>
          <w:szCs w:val="20"/>
        </w:rPr>
        <w:t>of</w:t>
      </w:r>
      <w:r>
        <w:rPr>
          <w:color w:val="000000"/>
          <w:sz w:val="20"/>
          <w:szCs w:val="20"/>
        </w:rPr>
        <w:t xml:space="preserve"> the subject Dwelling Unit, then the CSV shall include the volume </w:t>
      </w:r>
      <w:r>
        <w:rPr>
          <w:color w:val="000000"/>
          <w:spacing w:val="1"/>
          <w:sz w:val="20"/>
          <w:szCs w:val="20"/>
        </w:rPr>
        <w:t>of</w:t>
      </w:r>
      <w:r>
        <w:rPr>
          <w:color w:val="000000"/>
          <w:sz w:val="20"/>
          <w:szCs w:val="20"/>
        </w:rPr>
        <w:t xml:space="preserve"> the full depth of the floor assembly. Otherwise, the volume of the full depth of the floor assembly shall be excluded.</w:t>
      </w:r>
    </w:p>
    <w:p w14:paraId="76E9BA16" w14:textId="77777777" w:rsidR="003C4398" w:rsidRPr="003C4398" w:rsidRDefault="003C4398" w:rsidP="003C4398">
      <w:pPr>
        <w:pStyle w:val="ListParagraph"/>
        <w:spacing w:before="101" w:line="218" w:lineRule="atLeast"/>
        <w:ind w:right="-199"/>
        <w:rPr>
          <w:sz w:val="20"/>
          <w:szCs w:val="20"/>
        </w:rPr>
      </w:pPr>
      <w:r w:rsidRPr="003C4398">
        <w:rPr>
          <w:b/>
          <w:bCs/>
          <w:color w:val="000000"/>
          <w:sz w:val="20"/>
          <w:szCs w:val="20"/>
        </w:rPr>
        <w:t>Exception:</w:t>
      </w:r>
      <w:r w:rsidRPr="003C4398">
        <w:rPr>
          <w:color w:val="000000"/>
          <w:sz w:val="20"/>
          <w:szCs w:val="20"/>
        </w:rPr>
        <w:t xml:space="preserve"> The </w:t>
      </w:r>
      <w:r w:rsidRPr="003C4398">
        <w:rPr>
          <w:color w:val="000000"/>
          <w:spacing w:val="1"/>
          <w:sz w:val="20"/>
          <w:szCs w:val="20"/>
        </w:rPr>
        <w:t>wall</w:t>
      </w:r>
      <w:r w:rsidRPr="003C4398">
        <w:rPr>
          <w:color w:val="000000"/>
          <w:sz w:val="20"/>
          <w:szCs w:val="20"/>
        </w:rPr>
        <w:t xml:space="preserve"> height used to determine the volume shall extend from the finished floor to the bottom surface of the floor decking above the Rated Dwelling Unit for all floors other than the top floor. For Dwelling Units </w:t>
      </w:r>
      <w:r w:rsidRPr="003C4398">
        <w:rPr>
          <w:color w:val="000000"/>
          <w:spacing w:val="1"/>
          <w:sz w:val="20"/>
          <w:szCs w:val="20"/>
        </w:rPr>
        <w:t>on</w:t>
      </w:r>
      <w:r w:rsidRPr="003C4398">
        <w:rPr>
          <w:color w:val="000000"/>
          <w:sz w:val="20"/>
          <w:szCs w:val="20"/>
        </w:rPr>
        <w:t xml:space="preserve"> the top floor, this dimension shall extend from the top surface of the finished floor to the interior surface of the enclosure </w:t>
      </w:r>
      <w:r w:rsidRPr="003C4398">
        <w:rPr>
          <w:color w:val="000000"/>
          <w:spacing w:val="1"/>
          <w:sz w:val="20"/>
          <w:szCs w:val="20"/>
        </w:rPr>
        <w:t>air</w:t>
      </w:r>
      <w:r w:rsidRPr="003C4398">
        <w:rPr>
          <w:color w:val="000000"/>
          <w:sz w:val="20"/>
          <w:szCs w:val="20"/>
        </w:rPr>
        <w:t xml:space="preserve"> barrier.</w:t>
      </w:r>
    </w:p>
    <w:p w14:paraId="7F94D1FA" w14:textId="77777777" w:rsidR="003C4398" w:rsidRDefault="003C4398" w:rsidP="003C4398">
      <w:pPr>
        <w:numPr>
          <w:ilvl w:val="0"/>
          <w:numId w:val="10"/>
        </w:numPr>
        <w:spacing w:after="0" w:line="239" w:lineRule="atLeast"/>
        <w:ind w:right="-198"/>
        <w:rPr>
          <w:sz w:val="20"/>
          <w:szCs w:val="20"/>
        </w:rPr>
      </w:pPr>
      <w:r>
        <w:rPr>
          <w:color w:val="000000"/>
          <w:sz w:val="20"/>
          <w:szCs w:val="20"/>
        </w:rPr>
        <w:t xml:space="preserve">If the volume of at least one of the spaces horizontally adjacent to a </w:t>
      </w:r>
      <w:r>
        <w:rPr>
          <w:color w:val="000000"/>
          <w:spacing w:val="1"/>
          <w:sz w:val="20"/>
          <w:szCs w:val="20"/>
        </w:rPr>
        <w:t>wall</w:t>
      </w:r>
      <w:r>
        <w:rPr>
          <w:color w:val="000000"/>
          <w:sz w:val="20"/>
          <w:szCs w:val="20"/>
        </w:rPr>
        <w:t xml:space="preserve"> assembly meets this definition, and that volume is part of the subject Dwelling Unit, CSV shall include the volume </w:t>
      </w:r>
      <w:r>
        <w:rPr>
          <w:color w:val="000000"/>
          <w:spacing w:val="1"/>
          <w:sz w:val="20"/>
          <w:szCs w:val="20"/>
        </w:rPr>
        <w:t>of</w:t>
      </w:r>
      <w:r>
        <w:rPr>
          <w:color w:val="000000"/>
          <w:sz w:val="20"/>
          <w:szCs w:val="20"/>
        </w:rPr>
        <w:t xml:space="preserve"> the full width </w:t>
      </w:r>
      <w:r>
        <w:rPr>
          <w:color w:val="000000"/>
          <w:spacing w:val="1"/>
          <w:sz w:val="20"/>
          <w:szCs w:val="20"/>
        </w:rPr>
        <w:t>of</w:t>
      </w:r>
      <w:r>
        <w:rPr>
          <w:color w:val="000000"/>
          <w:sz w:val="20"/>
          <w:szCs w:val="20"/>
        </w:rPr>
        <w:t xml:space="preserve"> the wall assembly. Otherwise, the volume of the full width of the wall assembly shall be excluded.</w:t>
      </w:r>
    </w:p>
    <w:p w14:paraId="743A8007" w14:textId="77E088DC" w:rsidR="003C4398" w:rsidRPr="003C4398" w:rsidRDefault="003C4398" w:rsidP="003C4398">
      <w:pPr>
        <w:pStyle w:val="ListParagraph"/>
        <w:spacing w:before="101" w:line="175" w:lineRule="atLeast"/>
        <w:ind w:right="-198"/>
        <w:rPr>
          <w:sz w:val="20"/>
          <w:szCs w:val="20"/>
        </w:rPr>
      </w:pPr>
      <w:r w:rsidRPr="003C4398">
        <w:rPr>
          <w:b/>
          <w:bCs/>
          <w:color w:val="000000"/>
          <w:sz w:val="20"/>
          <w:szCs w:val="20"/>
        </w:rPr>
        <w:t>Exception:</w:t>
      </w:r>
      <w:r w:rsidRPr="003C4398">
        <w:rPr>
          <w:color w:val="000000"/>
          <w:sz w:val="20"/>
          <w:szCs w:val="20"/>
        </w:rPr>
        <w:t xml:space="preserve"> If the subject Dwelling Unit shares a wall assembly</w:t>
      </w:r>
      <w:r>
        <w:rPr>
          <w:rStyle w:val="FootnoteReference"/>
          <w:color w:val="000000"/>
          <w:sz w:val="16"/>
          <w:szCs w:val="16"/>
        </w:rPr>
        <w:footnoteReference w:id="8"/>
      </w:r>
      <w:r w:rsidRPr="003C4398">
        <w:rPr>
          <w:color w:val="000000"/>
          <w:sz w:val="20"/>
          <w:szCs w:val="20"/>
        </w:rPr>
        <w:t xml:space="preserve"> with another Dwelling Unit, then the CSV</w:t>
      </w:r>
      <w:r>
        <w:rPr>
          <w:color w:val="000000"/>
          <w:sz w:val="20"/>
          <w:szCs w:val="20"/>
        </w:rPr>
        <w:t xml:space="preserve"> </w:t>
      </w:r>
      <w:r w:rsidRPr="003C4398">
        <w:rPr>
          <w:color w:val="000000"/>
          <w:spacing w:val="1"/>
          <w:sz w:val="20"/>
          <w:szCs w:val="20"/>
        </w:rPr>
        <w:t>of</w:t>
      </w:r>
      <w:r w:rsidRPr="003C4398">
        <w:rPr>
          <w:color w:val="000000"/>
          <w:sz w:val="20"/>
          <w:szCs w:val="20"/>
        </w:rPr>
        <w:t xml:space="preserve"> the subject Dwelling Unit shall include half the volume of the full width of that shared </w:t>
      </w:r>
      <w:r w:rsidRPr="003C4398">
        <w:rPr>
          <w:color w:val="000000"/>
          <w:spacing w:val="1"/>
          <w:sz w:val="20"/>
          <w:szCs w:val="20"/>
        </w:rPr>
        <w:t>wall</w:t>
      </w:r>
      <w:r w:rsidRPr="003C4398">
        <w:rPr>
          <w:color w:val="000000"/>
          <w:sz w:val="20"/>
          <w:szCs w:val="20"/>
        </w:rPr>
        <w:t xml:space="preserve"> assembly.</w:t>
      </w:r>
    </w:p>
    <w:p w14:paraId="034E7167" w14:textId="77777777" w:rsidR="003C4398" w:rsidRDefault="003C4398" w:rsidP="003C4398">
      <w:pPr>
        <w:numPr>
          <w:ilvl w:val="0"/>
          <w:numId w:val="10"/>
        </w:numPr>
        <w:spacing w:before="43" w:after="0" w:line="239" w:lineRule="atLeast"/>
        <w:ind w:right="-195"/>
        <w:rPr>
          <w:sz w:val="20"/>
          <w:szCs w:val="20"/>
        </w:rPr>
      </w:pPr>
      <w:r>
        <w:rPr>
          <w:color w:val="000000"/>
          <w:sz w:val="20"/>
          <w:szCs w:val="20"/>
        </w:rPr>
        <w:t>The CSV shall exclude the volume of a garage, even when it is conditioned.</w:t>
      </w:r>
    </w:p>
    <w:p w14:paraId="73611C69" w14:textId="77777777" w:rsidR="003C4398" w:rsidRDefault="003C4398" w:rsidP="003C4398">
      <w:pPr>
        <w:numPr>
          <w:ilvl w:val="0"/>
          <w:numId w:val="10"/>
        </w:numPr>
        <w:spacing w:before="1" w:after="0" w:line="239" w:lineRule="atLeast"/>
        <w:ind w:right="-196"/>
        <w:rPr>
          <w:sz w:val="20"/>
          <w:szCs w:val="20"/>
        </w:rPr>
      </w:pPr>
      <w:r w:rsidRPr="1CF9AAA1">
        <w:rPr>
          <w:color w:val="000000" w:themeColor="text1"/>
          <w:sz w:val="20"/>
          <w:szCs w:val="20"/>
        </w:rPr>
        <w:t>The CSV shall exclude the volume of a thermally isolated sunroom.</w:t>
      </w:r>
    </w:p>
    <w:p w14:paraId="6F8BD77D" w14:textId="77777777" w:rsidR="003C4398" w:rsidRPr="00AD0B89" w:rsidRDefault="003C4398" w:rsidP="003C4398">
      <w:pPr>
        <w:numPr>
          <w:ilvl w:val="0"/>
          <w:numId w:val="10"/>
        </w:numPr>
        <w:spacing w:before="1" w:after="0" w:line="239" w:lineRule="atLeast"/>
        <w:ind w:right="-196"/>
        <w:rPr>
          <w:color w:val="00B0F0"/>
          <w:sz w:val="20"/>
          <w:szCs w:val="20"/>
          <w:u w:val="single"/>
        </w:rPr>
      </w:pPr>
      <w:r w:rsidRPr="00AD0B89">
        <w:rPr>
          <w:color w:val="00B0F0"/>
          <w:sz w:val="20"/>
          <w:szCs w:val="20"/>
          <w:u w:val="single"/>
        </w:rPr>
        <w:t xml:space="preserve">The CSV shall include the volume of the room containing an indoor swimming pool, when the pool is located within the building thermal envelope. </w:t>
      </w:r>
    </w:p>
    <w:p w14:paraId="62D6C42E" w14:textId="77777777" w:rsidR="003C4398" w:rsidRDefault="003C4398" w:rsidP="003C4398">
      <w:pPr>
        <w:numPr>
          <w:ilvl w:val="0"/>
          <w:numId w:val="10"/>
        </w:numPr>
        <w:spacing w:before="1" w:after="0" w:line="239" w:lineRule="atLeast"/>
        <w:ind w:right="-198"/>
        <w:rPr>
          <w:sz w:val="20"/>
          <w:szCs w:val="20"/>
        </w:rPr>
      </w:pPr>
      <w:r>
        <w:rPr>
          <w:color w:val="000000"/>
          <w:sz w:val="20"/>
          <w:szCs w:val="20"/>
        </w:rPr>
        <w:t xml:space="preserve">The CSV shall include the volume of an Attic, crawl space, or a basement only if it is contiguous </w:t>
      </w:r>
      <w:r>
        <w:rPr>
          <w:color w:val="000000"/>
          <w:spacing w:val="1"/>
          <w:sz w:val="20"/>
          <w:szCs w:val="20"/>
        </w:rPr>
        <w:t>with</w:t>
      </w:r>
      <w:r>
        <w:rPr>
          <w:color w:val="000000"/>
          <w:sz w:val="20"/>
          <w:szCs w:val="20"/>
        </w:rPr>
        <w:t xml:space="preserve"> and dedicated</w:t>
      </w:r>
      <w:r>
        <w:rPr>
          <w:rStyle w:val="FootnoteReference"/>
          <w:sz w:val="20"/>
          <w:szCs w:val="20"/>
        </w:rPr>
        <w:footnoteReference w:id="9"/>
      </w:r>
      <w:r>
        <w:rPr>
          <w:color w:val="000000"/>
          <w:sz w:val="20"/>
          <w:szCs w:val="20"/>
        </w:rPr>
        <w:t xml:space="preserve"> to the subject Dwelling Unit and the party conducting evaluations has either:</w:t>
      </w:r>
    </w:p>
    <w:p w14:paraId="6430F698" w14:textId="77777777" w:rsidR="003C4398" w:rsidRDefault="003C4398" w:rsidP="003C4398">
      <w:pPr>
        <w:numPr>
          <w:ilvl w:val="1"/>
          <w:numId w:val="10"/>
        </w:numPr>
        <w:spacing w:before="1" w:after="0" w:line="239" w:lineRule="atLeast"/>
        <w:ind w:right="-198"/>
        <w:rPr>
          <w:sz w:val="20"/>
          <w:szCs w:val="20"/>
        </w:rPr>
      </w:pPr>
      <w:r>
        <w:rPr>
          <w:color w:val="000000"/>
          <w:sz w:val="20"/>
          <w:szCs w:val="20"/>
        </w:rPr>
        <w:t>Obtained an ACCA Manual J, S, and either B or D report and verified that both the heating and cooling equipment and distribution system are designed to offset the entire design load of the volume; or</w:t>
      </w:r>
    </w:p>
    <w:p w14:paraId="457115E9" w14:textId="77777777" w:rsidR="003C4398" w:rsidRDefault="003C4398" w:rsidP="003C4398">
      <w:pPr>
        <w:numPr>
          <w:ilvl w:val="1"/>
          <w:numId w:val="10"/>
        </w:numPr>
        <w:spacing w:before="1" w:after="0" w:line="239" w:lineRule="atLeast"/>
        <w:ind w:right="-198"/>
        <w:rPr>
          <w:sz w:val="20"/>
          <w:szCs w:val="20"/>
        </w:rPr>
      </w:pPr>
      <w:r>
        <w:rPr>
          <w:color w:val="000000"/>
          <w:sz w:val="20"/>
          <w:szCs w:val="20"/>
        </w:rPr>
        <w:t xml:space="preserve">Verified through visual inspection that both the heating and cooling equipment and distribution system serve the volume and, in the judgment </w:t>
      </w:r>
      <w:r>
        <w:rPr>
          <w:color w:val="000000"/>
          <w:spacing w:val="1"/>
          <w:sz w:val="20"/>
          <w:szCs w:val="20"/>
        </w:rPr>
        <w:t>of</w:t>
      </w:r>
      <w:r>
        <w:rPr>
          <w:color w:val="000000"/>
          <w:sz w:val="20"/>
          <w:szCs w:val="20"/>
        </w:rPr>
        <w:t xml:space="preserve"> the party conducting evaluations, are capable of maintaining space conditions at 78°F (26°C) for cooling and 68°F (20°C) for heating.</w:t>
      </w:r>
    </w:p>
    <w:p w14:paraId="1E626CAE" w14:textId="77777777" w:rsidR="003C4398" w:rsidRPr="00796D03" w:rsidRDefault="003C4398" w:rsidP="003C4398">
      <w:pPr>
        <w:numPr>
          <w:ilvl w:val="0"/>
          <w:numId w:val="10"/>
        </w:numPr>
        <w:spacing w:before="1" w:after="0" w:line="239" w:lineRule="atLeast"/>
        <w:ind w:right="-195"/>
        <w:rPr>
          <w:sz w:val="20"/>
          <w:szCs w:val="20"/>
        </w:rPr>
      </w:pPr>
      <w:r w:rsidRPr="00796D03">
        <w:rPr>
          <w:color w:val="000000"/>
          <w:sz w:val="20"/>
          <w:szCs w:val="20"/>
        </w:rPr>
        <w:t xml:space="preserve">The CSV shall include the volume of an adjacent mechanical closet, regardless of access location, only if </w:t>
      </w:r>
      <w:r w:rsidRPr="00796D03">
        <w:rPr>
          <w:color w:val="000000"/>
          <w:spacing w:val="2"/>
          <w:sz w:val="20"/>
          <w:szCs w:val="20"/>
        </w:rPr>
        <w:t xml:space="preserve">it </w:t>
      </w:r>
      <w:r w:rsidRPr="00796D03">
        <w:rPr>
          <w:color w:val="000000"/>
          <w:sz w:val="20"/>
          <w:szCs w:val="20"/>
        </w:rPr>
        <w:t>is contiguous with and dedicated</w:t>
      </w:r>
      <w:r w:rsidRPr="000109EA">
        <w:rPr>
          <w:color w:val="000000"/>
          <w:sz w:val="16"/>
          <w:szCs w:val="16"/>
        </w:rPr>
        <w:t>11</w:t>
      </w:r>
      <w:r w:rsidRPr="00796D03">
        <w:rPr>
          <w:color w:val="000000"/>
          <w:sz w:val="20"/>
          <w:szCs w:val="20"/>
        </w:rPr>
        <w:t xml:space="preserve"> to the subject Dwelling Unit, only includes equipment serving the subject</w:t>
      </w:r>
      <w:r>
        <w:rPr>
          <w:color w:val="000000"/>
          <w:sz w:val="20"/>
          <w:szCs w:val="20"/>
        </w:rPr>
        <w:t xml:space="preserve"> </w:t>
      </w:r>
      <w:r w:rsidRPr="00796D03">
        <w:rPr>
          <w:color w:val="000000"/>
          <w:sz w:val="20"/>
          <w:szCs w:val="20"/>
        </w:rPr>
        <w:t>Dwelling Unit, and the party conducting evaluations has either:</w:t>
      </w:r>
    </w:p>
    <w:p w14:paraId="40F00B4E" w14:textId="77777777" w:rsidR="003C4398" w:rsidRDefault="003C4398" w:rsidP="00251C3C">
      <w:pPr>
        <w:numPr>
          <w:ilvl w:val="1"/>
          <w:numId w:val="10"/>
        </w:numPr>
        <w:spacing w:before="1" w:after="0" w:line="239" w:lineRule="atLeast"/>
        <w:ind w:right="-198"/>
        <w:rPr>
          <w:sz w:val="20"/>
          <w:szCs w:val="20"/>
        </w:rPr>
      </w:pPr>
      <w:r>
        <w:rPr>
          <w:color w:val="000000"/>
          <w:sz w:val="20"/>
          <w:szCs w:val="20"/>
        </w:rPr>
        <w:lastRenderedPageBreak/>
        <w:t>Obtained an ACCA Manual J, S, and either B or D report and verified that both the heating and cooling equipment and distribution system are designed to offset the entire design load of the volume; or</w:t>
      </w:r>
    </w:p>
    <w:p w14:paraId="232482E9" w14:textId="53EE7CBC" w:rsidR="004D1622" w:rsidRPr="003C4398" w:rsidRDefault="003C4398" w:rsidP="00251C3C">
      <w:pPr>
        <w:pStyle w:val="ListParagraph"/>
        <w:numPr>
          <w:ilvl w:val="1"/>
          <w:numId w:val="10"/>
        </w:numPr>
        <w:spacing w:before="240" w:after="240"/>
        <w:rPr>
          <w:rFonts w:ascii="Times New Roman" w:eastAsia="Times New Roman" w:hAnsi="Times New Roman" w:cs="Times New Roman"/>
          <w:u w:val="single"/>
        </w:rPr>
      </w:pPr>
      <w:r w:rsidRPr="003C4398">
        <w:rPr>
          <w:color w:val="000000"/>
          <w:sz w:val="20"/>
          <w:szCs w:val="20"/>
        </w:rPr>
        <w:t xml:space="preserve">Verified through visual inspection that both the heating and cooling equipment and distribution system serve the volume and, in the judgment </w:t>
      </w:r>
      <w:r w:rsidRPr="003C4398">
        <w:rPr>
          <w:color w:val="000000"/>
          <w:spacing w:val="1"/>
          <w:sz w:val="20"/>
          <w:szCs w:val="20"/>
        </w:rPr>
        <w:t>of</w:t>
      </w:r>
      <w:r w:rsidRPr="003C4398">
        <w:rPr>
          <w:color w:val="000000"/>
          <w:sz w:val="20"/>
          <w:szCs w:val="20"/>
        </w:rPr>
        <w:t xml:space="preserve"> the party conducting evaluations, are capable of maintaining space conditions at 78°F (26°C) for cooling and 68°F (20°C) for heating.</w:t>
      </w:r>
    </w:p>
    <w:p w14:paraId="5E2495A7" w14:textId="5C844B4C" w:rsidR="004A6306" w:rsidRPr="004A6306" w:rsidRDefault="007B3BCA" w:rsidP="004A6306">
      <w:pPr>
        <w:spacing w:before="240" w:after="240"/>
        <w:rPr>
          <w:rFonts w:ascii="Times New Roman" w:eastAsia="Times New Roman" w:hAnsi="Times New Roman" w:cs="Times New Roman"/>
          <w:color w:val="00B0F0"/>
        </w:rPr>
      </w:pPr>
      <w:r w:rsidRPr="00A23AB1">
        <w:rPr>
          <w:rFonts w:ascii="Times New Roman" w:eastAsia="Times New Roman" w:hAnsi="Times New Roman" w:cs="Times New Roman"/>
        </w:rPr>
        <w:t xml:space="preserve">DWELLING UNIT MECHANICAL VENTILATION SYSTEM. </w:t>
      </w:r>
      <w:r w:rsidR="004A6306" w:rsidRPr="004A6306">
        <w:rPr>
          <w:rFonts w:ascii="Times New Roman" w:eastAsia="Times New Roman" w:hAnsi="Times New Roman" w:cs="Times New Roman"/>
          <w:color w:val="00B0F0"/>
          <w:u w:val="single"/>
        </w:rPr>
        <w:t>Ventilation system that provides Dwelling Unit Ventilation at a known airflow rate, operating continuously or through a known programmed intermittent schedule, which:</w:t>
      </w:r>
      <w:r w:rsidR="004A6306" w:rsidRPr="004A6306">
        <w:rPr>
          <w:rFonts w:ascii="Times New Roman" w:eastAsia="Times New Roman" w:hAnsi="Times New Roman" w:cs="Times New Roman"/>
          <w:color w:val="00B0F0"/>
        </w:rPr>
        <w:t> </w:t>
      </w:r>
    </w:p>
    <w:p w14:paraId="3C8E228D" w14:textId="77777777" w:rsidR="004A6306" w:rsidRPr="004A6306" w:rsidRDefault="004A6306" w:rsidP="004A6306">
      <w:pPr>
        <w:numPr>
          <w:ilvl w:val="0"/>
          <w:numId w:val="12"/>
        </w:numPr>
        <w:spacing w:before="240" w:after="240"/>
        <w:rPr>
          <w:rFonts w:ascii="Times New Roman" w:eastAsia="Times New Roman" w:hAnsi="Times New Roman" w:cs="Times New Roman"/>
          <w:color w:val="00B0F0"/>
        </w:rPr>
      </w:pPr>
      <w:r w:rsidRPr="004A6306">
        <w:rPr>
          <w:rFonts w:ascii="Times New Roman" w:eastAsia="Times New Roman" w:hAnsi="Times New Roman" w:cs="Times New Roman"/>
          <w:color w:val="00B0F0"/>
          <w:u w:val="single"/>
        </w:rPr>
        <w:t>Includes one or more fans or blowers and, where applicable, associated mechanical components such as ducts, inlets, outlets, dampers, and filters;</w:t>
      </w:r>
      <w:r w:rsidRPr="004A6306">
        <w:rPr>
          <w:rFonts w:ascii="Times New Roman" w:eastAsia="Times New Roman" w:hAnsi="Times New Roman" w:cs="Times New Roman"/>
          <w:color w:val="00B0F0"/>
        </w:rPr>
        <w:t> </w:t>
      </w:r>
    </w:p>
    <w:p w14:paraId="33D050DE" w14:textId="72961B6E" w:rsidR="004A6306" w:rsidRPr="004A6306" w:rsidRDefault="004A6306" w:rsidP="004A6306">
      <w:pPr>
        <w:numPr>
          <w:ilvl w:val="0"/>
          <w:numId w:val="13"/>
        </w:numPr>
        <w:spacing w:before="240" w:after="240"/>
        <w:rPr>
          <w:rFonts w:ascii="Times New Roman" w:eastAsia="Times New Roman" w:hAnsi="Times New Roman" w:cs="Times New Roman"/>
          <w:color w:val="00B0F0"/>
        </w:rPr>
      </w:pPr>
      <w:r w:rsidRPr="004A6306">
        <w:rPr>
          <w:rFonts w:ascii="Times New Roman" w:eastAsia="Times New Roman" w:hAnsi="Times New Roman" w:cs="Times New Roman"/>
          <w:color w:val="00B0F0"/>
          <w:u w:val="single"/>
        </w:rPr>
        <w:t>Includes a runtime controller</w:t>
      </w:r>
      <w:commentRangeStart w:id="1"/>
      <w:commentRangeStart w:id="2"/>
      <w:r w:rsidR="00BB6CDE">
        <w:rPr>
          <w:rFonts w:ascii="Times New Roman" w:eastAsia="Times New Roman" w:hAnsi="Times New Roman" w:cs="Times New Roman"/>
          <w:color w:val="00B0F0"/>
          <w:u w:val="single"/>
          <w:vertAlign w:val="superscript"/>
        </w:rPr>
        <w:t>9</w:t>
      </w:r>
      <w:commentRangeEnd w:id="1"/>
      <w:r w:rsidRPr="004A6306">
        <w:rPr>
          <w:rStyle w:val="CommentReference"/>
          <w:rFonts w:ascii="Times New Roman" w:eastAsia="Times New Roman" w:hAnsi="Times New Roman" w:cs="Times New Roman"/>
          <w:color w:val="00B0F0"/>
          <w:sz w:val="24"/>
          <w:szCs w:val="24"/>
          <w:u w:val="single"/>
        </w:rPr>
        <w:commentReference w:id="1"/>
      </w:r>
      <w:commentRangeEnd w:id="2"/>
      <w:r w:rsidR="00121A0D" w:rsidRPr="004A6306">
        <w:rPr>
          <w:rStyle w:val="CommentReference"/>
          <w:rFonts w:ascii="Times New Roman" w:eastAsia="Times New Roman" w:hAnsi="Times New Roman" w:cs="Times New Roman"/>
          <w:color w:val="00B0F0"/>
          <w:sz w:val="24"/>
          <w:szCs w:val="24"/>
          <w:u w:val="single"/>
        </w:rPr>
        <w:commentReference w:id="2"/>
      </w:r>
      <w:r w:rsidRPr="004A6306">
        <w:rPr>
          <w:rFonts w:ascii="Times New Roman" w:eastAsia="Times New Roman" w:hAnsi="Times New Roman" w:cs="Times New Roman"/>
          <w:color w:val="00B0F0"/>
          <w:u w:val="single"/>
        </w:rPr>
        <w:t xml:space="preserve"> with a ventilation schedule programmed via a dedicated function, unless the system operates continuously, in which case the runtime controller is optional; and</w:t>
      </w:r>
      <w:r w:rsidRPr="004A6306">
        <w:rPr>
          <w:rFonts w:ascii="Times New Roman" w:eastAsia="Times New Roman" w:hAnsi="Times New Roman" w:cs="Times New Roman"/>
          <w:color w:val="00B0F0"/>
        </w:rPr>
        <w:t> </w:t>
      </w:r>
    </w:p>
    <w:p w14:paraId="59BB1FBA" w14:textId="2C569471" w:rsidR="004A6306" w:rsidRPr="004A6306" w:rsidRDefault="004A6306" w:rsidP="004A6306">
      <w:pPr>
        <w:numPr>
          <w:ilvl w:val="0"/>
          <w:numId w:val="14"/>
        </w:numPr>
        <w:spacing w:before="240" w:after="240"/>
        <w:rPr>
          <w:rFonts w:ascii="Times New Roman" w:eastAsia="Times New Roman" w:hAnsi="Times New Roman" w:cs="Times New Roman"/>
          <w:color w:val="00B0F0"/>
        </w:rPr>
      </w:pPr>
      <w:r w:rsidRPr="004A6306">
        <w:rPr>
          <w:rFonts w:ascii="Times New Roman" w:eastAsia="Times New Roman" w:hAnsi="Times New Roman" w:cs="Times New Roman"/>
          <w:color w:val="00B0F0"/>
          <w:u w:val="single"/>
        </w:rPr>
        <w:t xml:space="preserve">Does not include any manual means of interrupting the system’s continuous or programmed intermittent operation other than a </w:t>
      </w:r>
      <w:r w:rsidR="006D35FA">
        <w:rPr>
          <w:rFonts w:ascii="Times New Roman" w:eastAsia="Times New Roman" w:hAnsi="Times New Roman" w:cs="Times New Roman"/>
          <w:color w:val="00B0F0"/>
          <w:u w:val="single"/>
        </w:rPr>
        <w:t>c</w:t>
      </w:r>
      <w:r w:rsidRPr="004A6306">
        <w:rPr>
          <w:rFonts w:ascii="Times New Roman" w:eastAsia="Times New Roman" w:hAnsi="Times New Roman" w:cs="Times New Roman"/>
          <w:color w:val="00B0F0"/>
          <w:u w:val="single"/>
        </w:rPr>
        <w:t xml:space="preserve">ircuit </w:t>
      </w:r>
      <w:r w:rsidR="006D35FA">
        <w:rPr>
          <w:rFonts w:ascii="Times New Roman" w:eastAsia="Times New Roman" w:hAnsi="Times New Roman" w:cs="Times New Roman"/>
          <w:color w:val="00B0F0"/>
          <w:u w:val="single"/>
        </w:rPr>
        <w:t>b</w:t>
      </w:r>
      <w:r w:rsidRPr="004A6306">
        <w:rPr>
          <w:rFonts w:ascii="Times New Roman" w:eastAsia="Times New Roman" w:hAnsi="Times New Roman" w:cs="Times New Roman"/>
          <w:color w:val="00B0F0"/>
          <w:u w:val="single"/>
        </w:rPr>
        <w:t>reaker, electrical plug, or one of the following controls</w:t>
      </w:r>
      <w:r w:rsidRPr="004A6306">
        <w:rPr>
          <w:rFonts w:ascii="Times New Roman" w:eastAsia="Times New Roman" w:hAnsi="Times New Roman" w:cs="Times New Roman"/>
          <w:color w:val="00B0F0"/>
          <w:u w:val="single"/>
          <w:vertAlign w:val="superscript"/>
        </w:rPr>
        <w:t>1</w:t>
      </w:r>
      <w:r w:rsidR="00BB6CDE">
        <w:rPr>
          <w:rFonts w:ascii="Times New Roman" w:eastAsia="Times New Roman" w:hAnsi="Times New Roman" w:cs="Times New Roman"/>
          <w:color w:val="00B0F0"/>
          <w:u w:val="single"/>
          <w:vertAlign w:val="superscript"/>
        </w:rPr>
        <w:t>0</w:t>
      </w:r>
      <w:r w:rsidRPr="004A6306">
        <w:rPr>
          <w:rFonts w:ascii="Times New Roman" w:eastAsia="Times New Roman" w:hAnsi="Times New Roman" w:cs="Times New Roman"/>
          <w:color w:val="00B0F0"/>
          <w:u w:val="single"/>
          <w:vertAlign w:val="superscript"/>
        </w:rPr>
        <w:t>, 1</w:t>
      </w:r>
      <w:r w:rsidR="00BB6CDE">
        <w:rPr>
          <w:rFonts w:ascii="Times New Roman" w:eastAsia="Times New Roman" w:hAnsi="Times New Roman" w:cs="Times New Roman"/>
          <w:color w:val="00B0F0"/>
          <w:u w:val="single"/>
          <w:vertAlign w:val="superscript"/>
        </w:rPr>
        <w:t>1</w:t>
      </w:r>
      <w:r w:rsidRPr="004A6306">
        <w:rPr>
          <w:rFonts w:ascii="Times New Roman" w:eastAsia="Times New Roman" w:hAnsi="Times New Roman" w:cs="Times New Roman"/>
          <w:color w:val="00B0F0"/>
          <w:u w:val="single"/>
        </w:rPr>
        <w:t>:</w:t>
      </w:r>
      <w:r w:rsidRPr="004A6306">
        <w:rPr>
          <w:rFonts w:ascii="Times New Roman" w:eastAsia="Times New Roman" w:hAnsi="Times New Roman" w:cs="Times New Roman"/>
          <w:color w:val="00B0F0"/>
        </w:rPr>
        <w:t> </w:t>
      </w:r>
    </w:p>
    <w:p w14:paraId="7ABCFC8E" w14:textId="77777777" w:rsidR="004A6306" w:rsidRPr="004A6306" w:rsidRDefault="004A6306" w:rsidP="004A6306">
      <w:pPr>
        <w:spacing w:before="240" w:after="240"/>
        <w:ind w:left="1440"/>
        <w:rPr>
          <w:rFonts w:ascii="Times New Roman" w:eastAsia="Times New Roman" w:hAnsi="Times New Roman" w:cs="Times New Roman"/>
          <w:color w:val="00B0F0"/>
        </w:rPr>
      </w:pPr>
      <w:r w:rsidRPr="004A6306">
        <w:rPr>
          <w:rFonts w:ascii="Times New Roman" w:eastAsia="Times New Roman" w:hAnsi="Times New Roman" w:cs="Times New Roman"/>
          <w:color w:val="00B0F0"/>
          <w:u w:val="single"/>
        </w:rPr>
        <w:t>3.1. An on/off interface of the runtime controller including, but not limited to, a button, switch, dial, or software input,</w:t>
      </w:r>
      <w:r w:rsidRPr="004A6306">
        <w:rPr>
          <w:rFonts w:ascii="Times New Roman" w:eastAsia="Times New Roman" w:hAnsi="Times New Roman" w:cs="Times New Roman"/>
          <w:color w:val="00B0F0"/>
        </w:rPr>
        <w:t> </w:t>
      </w:r>
    </w:p>
    <w:p w14:paraId="3F31D98F" w14:textId="77777777" w:rsidR="004A6306" w:rsidRPr="004A6306" w:rsidRDefault="004A6306" w:rsidP="004A6306">
      <w:pPr>
        <w:spacing w:before="240" w:after="240"/>
        <w:ind w:left="1440"/>
        <w:rPr>
          <w:rFonts w:ascii="Times New Roman" w:eastAsia="Times New Roman" w:hAnsi="Times New Roman" w:cs="Times New Roman"/>
          <w:color w:val="00B0F0"/>
        </w:rPr>
      </w:pPr>
      <w:r w:rsidRPr="004A6306">
        <w:rPr>
          <w:rFonts w:ascii="Times New Roman" w:eastAsia="Times New Roman" w:hAnsi="Times New Roman" w:cs="Times New Roman"/>
          <w:color w:val="00B0F0"/>
          <w:u w:val="single"/>
        </w:rPr>
        <w:t>3.2. A power switch integrated into the powered ventilation equipment,</w:t>
      </w:r>
      <w:r w:rsidRPr="004A6306">
        <w:rPr>
          <w:rFonts w:ascii="Times New Roman" w:eastAsia="Times New Roman" w:hAnsi="Times New Roman" w:cs="Times New Roman"/>
          <w:color w:val="00B0F0"/>
        </w:rPr>
        <w:t> </w:t>
      </w:r>
    </w:p>
    <w:p w14:paraId="76741418" w14:textId="77777777" w:rsidR="004A6306" w:rsidRPr="004A6306" w:rsidRDefault="004A6306" w:rsidP="004A6306">
      <w:pPr>
        <w:spacing w:before="240" w:after="240"/>
        <w:ind w:left="1440"/>
        <w:rPr>
          <w:rFonts w:ascii="Times New Roman" w:eastAsia="Times New Roman" w:hAnsi="Times New Roman" w:cs="Times New Roman"/>
          <w:color w:val="00B0F0"/>
        </w:rPr>
      </w:pPr>
      <w:r w:rsidRPr="004A6306">
        <w:rPr>
          <w:rFonts w:ascii="Times New Roman" w:eastAsia="Times New Roman" w:hAnsi="Times New Roman" w:cs="Times New Roman"/>
          <w:color w:val="00B0F0"/>
          <w:u w:val="single"/>
        </w:rPr>
        <w:t>3.3. An inline switch that (1) is labeled with text that clearly indicates its function is to turn off the ventilation system and (2) includes an operable cover guard that prevents toggling when closed.</w:t>
      </w:r>
      <w:r w:rsidRPr="004A6306">
        <w:rPr>
          <w:rFonts w:ascii="Times New Roman" w:eastAsia="Times New Roman" w:hAnsi="Times New Roman" w:cs="Times New Roman"/>
          <w:color w:val="00B0F0"/>
        </w:rPr>
        <w:t> </w:t>
      </w:r>
    </w:p>
    <w:p w14:paraId="5E33D20E" w14:textId="77777777" w:rsidR="004A6306" w:rsidRPr="004A6306" w:rsidRDefault="004A6306" w:rsidP="004A6306">
      <w:pPr>
        <w:spacing w:before="240" w:after="240"/>
        <w:ind w:left="1440"/>
        <w:rPr>
          <w:rFonts w:ascii="Times New Roman" w:eastAsia="Times New Roman" w:hAnsi="Times New Roman" w:cs="Times New Roman"/>
          <w:color w:val="00B0F0"/>
        </w:rPr>
      </w:pPr>
      <w:r w:rsidRPr="004A6306">
        <w:rPr>
          <w:rFonts w:ascii="Times New Roman" w:eastAsia="Times New Roman" w:hAnsi="Times New Roman" w:cs="Times New Roman"/>
          <w:color w:val="00B0F0"/>
          <w:u w:val="single"/>
        </w:rPr>
        <w:t>3.4. Another strategy that the entity requiring use of this standard determines is obvious to the occupant to avoid inadvertent deactivation.</w:t>
      </w:r>
      <w:r w:rsidRPr="004A6306">
        <w:rPr>
          <w:rFonts w:ascii="Times New Roman" w:eastAsia="Times New Roman" w:hAnsi="Times New Roman" w:cs="Times New Roman"/>
          <w:color w:val="00B0F0"/>
        </w:rPr>
        <w:t> </w:t>
      </w:r>
    </w:p>
    <w:p w14:paraId="18415715" w14:textId="050E4E50" w:rsidR="007B3BCA" w:rsidRPr="004623D1" w:rsidRDefault="007B3BCA" w:rsidP="00896E6B">
      <w:pPr>
        <w:spacing w:before="240" w:after="240"/>
        <w:rPr>
          <w:rFonts w:ascii="Times New Roman" w:eastAsia="Times New Roman" w:hAnsi="Times New Roman" w:cs="Times New Roman"/>
          <w:strike/>
        </w:rPr>
      </w:pPr>
      <w:r w:rsidRPr="004D0E2E">
        <w:rPr>
          <w:rFonts w:ascii="Times New Roman" w:eastAsia="Times New Roman" w:hAnsi="Times New Roman" w:cs="Times New Roman"/>
          <w:strike/>
          <w:color w:val="00B0F0"/>
        </w:rPr>
        <w:t>A ventilation system, operating continuously or through a programmed intermittent schedule, consisting of powered ventilation equipment,</w:t>
      </w:r>
      <w:r w:rsidRPr="004D0E2E">
        <w:rPr>
          <w:rFonts w:ascii="Times New Roman" w:eastAsia="Times New Roman" w:hAnsi="Times New Roman" w:cs="Times New Roman"/>
          <w:strike/>
          <w:color w:val="00B0F0"/>
          <w:vertAlign w:val="superscript"/>
        </w:rPr>
        <w:t>9</w:t>
      </w:r>
      <w:r w:rsidRPr="004D0E2E">
        <w:rPr>
          <w:rFonts w:ascii="Times New Roman" w:eastAsia="Times New Roman" w:hAnsi="Times New Roman" w:cs="Times New Roman"/>
          <w:strike/>
          <w:color w:val="00B0F0"/>
        </w:rPr>
        <w:t xml:space="preserve"> related mechanical components</w:t>
      </w:r>
      <w:r w:rsidRPr="004D0E2E">
        <w:rPr>
          <w:rFonts w:ascii="Times New Roman" w:eastAsia="Times New Roman" w:hAnsi="Times New Roman" w:cs="Times New Roman"/>
          <w:strike/>
          <w:color w:val="00B0F0"/>
          <w:vertAlign w:val="superscript"/>
        </w:rPr>
        <w:t>10</w:t>
      </w:r>
      <w:r w:rsidRPr="004D0E2E">
        <w:rPr>
          <w:rFonts w:ascii="Times New Roman" w:eastAsia="Times New Roman" w:hAnsi="Times New Roman" w:cs="Times New Roman"/>
          <w:strike/>
          <w:color w:val="00B0F0"/>
        </w:rPr>
        <w:t xml:space="preserve"> and automated </w:t>
      </w:r>
      <w:r w:rsidRPr="004623D1">
        <w:rPr>
          <w:rFonts w:ascii="Times New Roman" w:eastAsia="Times New Roman" w:hAnsi="Times New Roman" w:cs="Times New Roman"/>
          <w:strike/>
          <w:color w:val="00B0F0"/>
        </w:rPr>
        <w:t>control devices that provides dwelling unit ventilation at a known or measured airflow rate</w:t>
      </w:r>
      <w:r w:rsidRPr="004623D1">
        <w:rPr>
          <w:rFonts w:ascii="Times New Roman" w:eastAsia="Times New Roman" w:hAnsi="Times New Roman" w:cs="Times New Roman"/>
          <w:strike/>
        </w:rPr>
        <w:t>.</w:t>
      </w:r>
    </w:p>
    <w:p w14:paraId="0F02DD57" w14:textId="03FB43A1" w:rsidR="000C73AC" w:rsidRPr="004623D1" w:rsidRDefault="004623D1" w:rsidP="000C73AC">
      <w:pPr>
        <w:spacing w:before="240" w:after="240"/>
        <w:rPr>
          <w:rFonts w:ascii="Times New Roman" w:eastAsia="Times New Roman" w:hAnsi="Times New Roman" w:cs="Times New Roman"/>
          <w:strike/>
          <w:color w:val="00B0F0"/>
        </w:rPr>
      </w:pPr>
      <w:r w:rsidRPr="00233C7A">
        <w:rPr>
          <w:rFonts w:ascii="Times New Roman" w:eastAsia="Times New Roman" w:hAnsi="Times New Roman" w:cs="Times New Roman"/>
          <w:color w:val="00B0F0"/>
          <w:vertAlign w:val="superscript"/>
        </w:rPr>
        <w:t>9</w:t>
      </w:r>
      <w:r w:rsidR="00233C7A" w:rsidRPr="00233C7A">
        <w:rPr>
          <w:rFonts w:ascii="Times New Roman" w:eastAsia="Times New Roman" w:hAnsi="Times New Roman" w:cs="Times New Roman"/>
          <w:color w:val="00B0F0"/>
          <w:vertAlign w:val="superscript"/>
        </w:rPr>
        <w:t xml:space="preserve"> </w:t>
      </w:r>
      <w:r w:rsidR="000C73AC" w:rsidRPr="00233C7A">
        <w:rPr>
          <w:rFonts w:ascii="Times New Roman" w:eastAsia="Times New Roman" w:hAnsi="Times New Roman" w:cs="Times New Roman"/>
          <w:color w:val="00B0F0"/>
        </w:rPr>
        <w:t>(</w:t>
      </w:r>
      <w:r w:rsidR="000C73AC" w:rsidRPr="004623D1">
        <w:rPr>
          <w:rFonts w:ascii="Times New Roman" w:eastAsia="Times New Roman" w:hAnsi="Times New Roman" w:cs="Times New Roman"/>
          <w:strike/>
          <w:color w:val="00B0F0"/>
        </w:rPr>
        <w:t>Informative Note</w:t>
      </w:r>
      <w:r w:rsidR="00233C7A">
        <w:rPr>
          <w:rFonts w:ascii="Times New Roman" w:eastAsia="Times New Roman" w:hAnsi="Times New Roman" w:cs="Times New Roman"/>
          <w:strike/>
          <w:color w:val="00B0F0"/>
        </w:rPr>
        <w:t xml:space="preserve"> </w:t>
      </w:r>
      <w:r w:rsidR="00233C7A" w:rsidRPr="00233C7A">
        <w:rPr>
          <w:rFonts w:ascii="Times New Roman" w:eastAsia="Times New Roman" w:hAnsi="Times New Roman" w:cs="Times New Roman"/>
          <w:color w:val="00B0F0"/>
          <w:u w:val="single"/>
        </w:rPr>
        <w:t>Normative Note</w:t>
      </w:r>
      <w:r w:rsidR="000C73AC" w:rsidRPr="00233C7A">
        <w:rPr>
          <w:rFonts w:ascii="Times New Roman" w:eastAsia="Times New Roman" w:hAnsi="Times New Roman" w:cs="Times New Roman"/>
          <w:color w:val="00B0F0"/>
        </w:rPr>
        <w:t>)</w:t>
      </w:r>
      <w:r w:rsidR="000C73AC" w:rsidRPr="004623D1">
        <w:rPr>
          <w:rFonts w:ascii="Times New Roman" w:eastAsia="Times New Roman" w:hAnsi="Times New Roman" w:cs="Times New Roman"/>
          <w:strike/>
          <w:color w:val="00B0F0"/>
        </w:rPr>
        <w:t xml:space="preserve"> Such as motor-driven fans and blowers.</w:t>
      </w:r>
      <w:r w:rsidR="00233C7A" w:rsidRPr="00233C7A">
        <w:rPr>
          <w:rFonts w:ascii="Times New Roman" w:eastAsia="Times New Roman" w:hAnsi="Times New Roman" w:cs="Times New Roman"/>
          <w:color w:val="00B0F0"/>
          <w:u w:val="single"/>
        </w:rPr>
        <w:t xml:space="preserve"> </w:t>
      </w:r>
      <w:r w:rsidR="00233C7A" w:rsidRPr="00E70AE7">
        <w:rPr>
          <w:rFonts w:ascii="Times New Roman" w:eastAsia="Times New Roman" w:hAnsi="Times New Roman" w:cs="Times New Roman"/>
          <w:color w:val="00B0F0"/>
          <w:u w:val="single"/>
        </w:rPr>
        <w:t xml:space="preserve">A thermostat is only considered a runtime controller if it includes a dedicated function for programming the ventilation schedule and reserved wiring terminals for interlocking the powered ventilation equipment independent of heating/cooling calls. In contrast, a thermostat is not considered a </w:t>
      </w:r>
      <w:r w:rsidR="00233C7A" w:rsidRPr="00E70AE7">
        <w:rPr>
          <w:rFonts w:ascii="Times New Roman" w:eastAsia="Times New Roman" w:hAnsi="Times New Roman" w:cs="Times New Roman"/>
          <w:color w:val="00B0F0"/>
          <w:u w:val="single"/>
        </w:rPr>
        <w:lastRenderedPageBreak/>
        <w:t>runtime controller if ventilation operation is controlled by a thermostat function not dedicated to ventilation, such as fan-circulation mode</w:t>
      </w:r>
      <w:r w:rsidR="00233C7A">
        <w:rPr>
          <w:rFonts w:ascii="Times New Roman" w:eastAsia="Times New Roman" w:hAnsi="Times New Roman" w:cs="Times New Roman"/>
          <w:color w:val="00B0F0"/>
          <w:u w:val="single"/>
        </w:rPr>
        <w:t>.</w:t>
      </w:r>
    </w:p>
    <w:p w14:paraId="5B252737" w14:textId="3AD2845E" w:rsidR="000C73AC" w:rsidRPr="004623D1" w:rsidRDefault="004623D1" w:rsidP="000C73AC">
      <w:pPr>
        <w:spacing w:before="240" w:after="240"/>
        <w:rPr>
          <w:rFonts w:ascii="Times New Roman" w:eastAsia="Times New Roman" w:hAnsi="Times New Roman" w:cs="Times New Roman"/>
          <w:strike/>
          <w:color w:val="00B0F0"/>
        </w:rPr>
      </w:pPr>
      <w:r w:rsidRPr="00233C7A">
        <w:rPr>
          <w:rFonts w:ascii="Times New Roman" w:eastAsia="Times New Roman" w:hAnsi="Times New Roman" w:cs="Times New Roman"/>
          <w:color w:val="00B0F0"/>
          <w:vertAlign w:val="superscript"/>
        </w:rPr>
        <w:t>10</w:t>
      </w:r>
      <w:r w:rsidR="000C73AC" w:rsidRPr="00233C7A">
        <w:rPr>
          <w:rFonts w:ascii="Times New Roman" w:eastAsia="Times New Roman" w:hAnsi="Times New Roman" w:cs="Times New Roman"/>
          <w:color w:val="00B0F0"/>
        </w:rPr>
        <w:t xml:space="preserve">(Informative Note) </w:t>
      </w:r>
      <w:r w:rsidR="000C73AC" w:rsidRPr="004623D1">
        <w:rPr>
          <w:rFonts w:ascii="Times New Roman" w:eastAsia="Times New Roman" w:hAnsi="Times New Roman" w:cs="Times New Roman"/>
          <w:strike/>
          <w:color w:val="00B0F0"/>
        </w:rPr>
        <w:t>Such as ducts, inlets, dampers or filters.</w:t>
      </w:r>
      <w:r w:rsidR="00233C7A" w:rsidRPr="00233C7A">
        <w:rPr>
          <w:rFonts w:ascii="Times New Roman" w:eastAsia="Times New Roman" w:hAnsi="Times New Roman" w:cs="Times New Roman"/>
          <w:color w:val="00B0F0"/>
          <w:u w:val="single"/>
        </w:rPr>
        <w:t xml:space="preserve"> </w:t>
      </w:r>
      <w:r w:rsidR="00233C7A" w:rsidRPr="00233C7A">
        <w:rPr>
          <w:rFonts w:ascii="Times New Roman" w:eastAsia="Times New Roman" w:hAnsi="Times New Roman" w:cs="Times New Roman"/>
          <w:color w:val="00B0F0"/>
          <w:u w:val="single"/>
        </w:rPr>
        <w:t>The purpose of a manual override control is to temporarily turn off the system, such as for maintenance or during periods of poor outdoor air quality</w:t>
      </w:r>
      <w:r w:rsidR="00233C7A">
        <w:rPr>
          <w:rFonts w:ascii="Times New Roman" w:eastAsia="Times New Roman" w:hAnsi="Times New Roman" w:cs="Times New Roman"/>
          <w:color w:val="00B0F0"/>
          <w:u w:val="single"/>
        </w:rPr>
        <w:t>.</w:t>
      </w:r>
    </w:p>
    <w:p w14:paraId="159D3653" w14:textId="0425BD46" w:rsidR="004A6306" w:rsidRPr="004A6306" w:rsidRDefault="00233C7A" w:rsidP="00896E6B">
      <w:pPr>
        <w:spacing w:before="240" w:after="240"/>
        <w:rPr>
          <w:rFonts w:ascii="Times New Roman" w:eastAsia="Times New Roman" w:hAnsi="Times New Roman" w:cs="Times New Roman"/>
          <w:color w:val="00B0F0"/>
          <w:u w:val="single"/>
        </w:rPr>
      </w:pPr>
      <w:r>
        <w:rPr>
          <w:rFonts w:ascii="Times New Roman" w:eastAsia="Times New Roman" w:hAnsi="Times New Roman" w:cs="Times New Roman"/>
          <w:color w:val="00B0F0"/>
          <w:u w:val="single"/>
          <w:vertAlign w:val="superscript"/>
        </w:rPr>
        <w:t>11</w:t>
      </w:r>
      <w:r w:rsidR="00E70AE7">
        <w:rPr>
          <w:rFonts w:ascii="Times New Roman" w:eastAsia="Times New Roman" w:hAnsi="Times New Roman" w:cs="Times New Roman"/>
          <w:color w:val="00B0F0"/>
          <w:u w:val="single"/>
        </w:rPr>
        <w:t xml:space="preserve"> (Normative Note) </w:t>
      </w:r>
      <w:r w:rsidR="00270379" w:rsidRPr="00270379">
        <w:rPr>
          <w:rFonts w:ascii="Times New Roman" w:eastAsia="Times New Roman" w:hAnsi="Times New Roman" w:cs="Times New Roman"/>
          <w:color w:val="00B0F0"/>
          <w:u w:val="single"/>
        </w:rPr>
        <w:t>Among other examples, a system would not be considered a DUMVS if power is controlled by an unlabeled or uncovered switch, or a thermostat function such as fan-circulation mode that does not qualify as a runtime controller</w:t>
      </w:r>
      <w:r w:rsidR="00270379">
        <w:rPr>
          <w:rFonts w:ascii="Times New Roman" w:eastAsia="Times New Roman" w:hAnsi="Times New Roman" w:cs="Times New Roman"/>
          <w:color w:val="00B0F0"/>
          <w:u w:val="single"/>
        </w:rPr>
        <w:t>.</w:t>
      </w:r>
    </w:p>
    <w:p w14:paraId="11C0D3DB" w14:textId="77777777" w:rsidR="004D0E2E" w:rsidRPr="00A23AB1" w:rsidRDefault="004D0E2E" w:rsidP="00896E6B">
      <w:pPr>
        <w:spacing w:before="240" w:after="240"/>
        <w:rPr>
          <w:rFonts w:ascii="Times New Roman" w:eastAsia="Times New Roman" w:hAnsi="Times New Roman" w:cs="Times New Roman"/>
        </w:rPr>
      </w:pPr>
    </w:p>
    <w:p w14:paraId="1E3D2C88" w14:textId="53D472B4" w:rsidR="00896E6B" w:rsidRPr="00896E6B" w:rsidRDefault="00896E6B" w:rsidP="00896E6B">
      <w:pPr>
        <w:spacing w:before="240" w:after="240"/>
        <w:rPr>
          <w:rFonts w:ascii="Times New Roman" w:eastAsia="Times New Roman" w:hAnsi="Times New Roman" w:cs="Times New Roman"/>
          <w:u w:val="single"/>
        </w:rPr>
      </w:pPr>
      <w:r w:rsidRPr="00896E6B">
        <w:rPr>
          <w:rFonts w:ascii="Times New Roman" w:eastAsia="Times New Roman" w:hAnsi="Times New Roman" w:cs="Times New Roman"/>
          <w:u w:val="single"/>
        </w:rPr>
        <w:t>TEMPORARILY CONVERTED GARAGE</w:t>
      </w:r>
      <w:r w:rsidRPr="00AD0B89">
        <w:rPr>
          <w:rFonts w:ascii="Times New Roman" w:eastAsia="Times New Roman" w:hAnsi="Times New Roman" w:cs="Times New Roman"/>
          <w:u w:val="single"/>
        </w:rPr>
        <w:t xml:space="preserve"> </w:t>
      </w:r>
      <w:r w:rsidRPr="00AD0B89">
        <w:rPr>
          <w:rFonts w:ascii="Times New Roman" w:eastAsia="Times New Roman" w:hAnsi="Times New Roman" w:cs="Times New Roman"/>
          <w:color w:val="00B0F0"/>
          <w:u w:val="single"/>
        </w:rPr>
        <w:t>(QUALIFIED).</w:t>
      </w:r>
      <w:r w:rsidRPr="00896E6B">
        <w:rPr>
          <w:rFonts w:ascii="Times New Roman" w:eastAsia="Times New Roman" w:hAnsi="Times New Roman" w:cs="Times New Roman"/>
          <w:u w:val="single"/>
          <w:vertAlign w:val="superscript"/>
        </w:rPr>
        <w:t>15</w:t>
      </w:r>
      <w:r w:rsidRPr="00896E6B">
        <w:rPr>
          <w:rFonts w:ascii="Times New Roman" w:eastAsia="Times New Roman" w:hAnsi="Times New Roman" w:cs="Times New Roman"/>
          <w:u w:val="single"/>
        </w:rPr>
        <w:t xml:space="preserve"> A space attached to, or part of, a </w:t>
      </w:r>
      <w:r w:rsidRPr="00896E6B">
        <w:rPr>
          <w:rFonts w:ascii="Times New Roman" w:eastAsia="Times New Roman" w:hAnsi="Times New Roman" w:cs="Times New Roman"/>
          <w:i/>
          <w:iCs/>
          <w:u w:val="single"/>
        </w:rPr>
        <w:t>dwelling</w:t>
      </w:r>
      <w:r w:rsidRPr="00896E6B">
        <w:rPr>
          <w:rFonts w:ascii="Times New Roman" w:eastAsia="Times New Roman" w:hAnsi="Times New Roman" w:cs="Times New Roman"/>
          <w:u w:val="single"/>
        </w:rPr>
        <w:t xml:space="preserve"> that meets all of the following conditions:</w:t>
      </w:r>
    </w:p>
    <w:p w14:paraId="2BE222A4" w14:textId="77777777" w:rsidR="00896E6B" w:rsidRPr="00896E6B" w:rsidRDefault="00896E6B" w:rsidP="00D7581A">
      <w:pPr>
        <w:spacing w:before="240" w:after="240"/>
        <w:ind w:left="720"/>
        <w:rPr>
          <w:rFonts w:ascii="Times New Roman" w:eastAsia="Times New Roman" w:hAnsi="Times New Roman" w:cs="Times New Roman"/>
          <w:u w:val="single"/>
        </w:rPr>
      </w:pPr>
      <w:r w:rsidRPr="00896E6B">
        <w:rPr>
          <w:rFonts w:ascii="Times New Roman" w:eastAsia="Times New Roman" w:hAnsi="Times New Roman" w:cs="Times New Roman"/>
          <w:u w:val="single"/>
        </w:rPr>
        <w:t xml:space="preserve">a) The </w:t>
      </w:r>
      <w:r w:rsidRPr="00896E6B">
        <w:rPr>
          <w:rFonts w:ascii="Times New Roman" w:eastAsia="Times New Roman" w:hAnsi="Times New Roman" w:cs="Times New Roman"/>
          <w:i/>
          <w:iCs/>
          <w:u w:val="single"/>
        </w:rPr>
        <w:t>dwelling</w:t>
      </w:r>
      <w:r w:rsidRPr="00896E6B">
        <w:rPr>
          <w:rFonts w:ascii="Times New Roman" w:eastAsia="Times New Roman" w:hAnsi="Times New Roman" w:cs="Times New Roman"/>
          <w:u w:val="single"/>
        </w:rPr>
        <w:t xml:space="preserve"> is new construction;</w:t>
      </w:r>
    </w:p>
    <w:p w14:paraId="1D57C120" w14:textId="77777777" w:rsidR="00896E6B" w:rsidRPr="00896E6B" w:rsidRDefault="00896E6B" w:rsidP="00D7581A">
      <w:pPr>
        <w:spacing w:before="240" w:after="240"/>
        <w:ind w:left="720"/>
        <w:rPr>
          <w:rFonts w:ascii="Times New Roman" w:eastAsia="Times New Roman" w:hAnsi="Times New Roman" w:cs="Times New Roman"/>
          <w:u w:val="single"/>
        </w:rPr>
      </w:pPr>
      <w:r w:rsidRPr="00896E6B">
        <w:rPr>
          <w:rFonts w:ascii="Times New Roman" w:eastAsia="Times New Roman" w:hAnsi="Times New Roman" w:cs="Times New Roman"/>
          <w:u w:val="single"/>
        </w:rPr>
        <w:t>b) The floor area of the space does not exceed 1,000 square feet;</w:t>
      </w:r>
    </w:p>
    <w:p w14:paraId="4A98B068" w14:textId="77777777" w:rsidR="00896E6B" w:rsidRPr="00896E6B" w:rsidRDefault="00896E6B" w:rsidP="00D7581A">
      <w:pPr>
        <w:spacing w:before="240" w:after="240"/>
        <w:ind w:left="720"/>
        <w:rPr>
          <w:rFonts w:ascii="Times New Roman" w:eastAsia="Times New Roman" w:hAnsi="Times New Roman" w:cs="Times New Roman"/>
          <w:u w:val="single"/>
        </w:rPr>
      </w:pPr>
      <w:r w:rsidRPr="00896E6B">
        <w:rPr>
          <w:rFonts w:ascii="Times New Roman" w:eastAsia="Times New Roman" w:hAnsi="Times New Roman" w:cs="Times New Roman"/>
          <w:u w:val="single"/>
        </w:rPr>
        <w:t xml:space="preserve">c) The space is thermally isolated from the rest of the </w:t>
      </w:r>
      <w:r w:rsidRPr="00896E6B">
        <w:rPr>
          <w:rFonts w:ascii="Times New Roman" w:eastAsia="Times New Roman" w:hAnsi="Times New Roman" w:cs="Times New Roman"/>
          <w:i/>
          <w:iCs/>
          <w:u w:val="single"/>
        </w:rPr>
        <w:t>dwelling</w:t>
      </w:r>
      <w:r w:rsidRPr="00896E6B">
        <w:rPr>
          <w:rFonts w:ascii="Times New Roman" w:eastAsia="Times New Roman" w:hAnsi="Times New Roman" w:cs="Times New Roman"/>
          <w:u w:val="single"/>
        </w:rPr>
        <w:t xml:space="preserve"> as indicated by the presence of insulation in any shared building envelope components;</w:t>
      </w:r>
    </w:p>
    <w:p w14:paraId="5EB46011" w14:textId="77777777" w:rsidR="00896E6B" w:rsidRPr="00896E6B" w:rsidRDefault="00896E6B" w:rsidP="00D7581A">
      <w:pPr>
        <w:spacing w:before="240" w:after="240"/>
        <w:ind w:left="720"/>
        <w:rPr>
          <w:rFonts w:ascii="Times New Roman" w:eastAsia="Times New Roman" w:hAnsi="Times New Roman" w:cs="Times New Roman"/>
          <w:u w:val="single"/>
        </w:rPr>
      </w:pPr>
      <w:r w:rsidRPr="00896E6B">
        <w:rPr>
          <w:rFonts w:ascii="Times New Roman" w:eastAsia="Times New Roman" w:hAnsi="Times New Roman" w:cs="Times New Roman"/>
          <w:u w:val="single"/>
        </w:rPr>
        <w:t xml:space="preserve">d) If direct openings are present between the space and the rest of the </w:t>
      </w:r>
      <w:r w:rsidRPr="00896E6B">
        <w:rPr>
          <w:rFonts w:ascii="Times New Roman" w:eastAsia="Times New Roman" w:hAnsi="Times New Roman" w:cs="Times New Roman"/>
          <w:i/>
          <w:iCs/>
          <w:u w:val="single"/>
        </w:rPr>
        <w:t>dwelling</w:t>
      </w:r>
      <w:r w:rsidRPr="00896E6B">
        <w:rPr>
          <w:rFonts w:ascii="Times New Roman" w:eastAsia="Times New Roman" w:hAnsi="Times New Roman" w:cs="Times New Roman"/>
          <w:u w:val="single"/>
        </w:rPr>
        <w:t>, they are contained in the wall plane itself, not within ceiling or floor cavities, and do not exceed a total of 50 square feet;</w:t>
      </w:r>
    </w:p>
    <w:p w14:paraId="48D667A8" w14:textId="77777777" w:rsidR="00896E6B" w:rsidRPr="00896E6B" w:rsidRDefault="00896E6B" w:rsidP="00D7581A">
      <w:pPr>
        <w:spacing w:before="240" w:after="240"/>
        <w:ind w:left="720"/>
        <w:rPr>
          <w:rFonts w:ascii="Times New Roman" w:eastAsia="Times New Roman" w:hAnsi="Times New Roman" w:cs="Times New Roman"/>
          <w:u w:val="single"/>
        </w:rPr>
      </w:pPr>
      <w:r w:rsidRPr="00896E6B">
        <w:rPr>
          <w:rFonts w:ascii="Times New Roman" w:eastAsia="Times New Roman" w:hAnsi="Times New Roman" w:cs="Times New Roman"/>
          <w:u w:val="single"/>
        </w:rPr>
        <w:t xml:space="preserve">e) Any ducts serving the dwelling that are in the space, or that penetrate the walls or ceilings separating the </w:t>
      </w:r>
      <w:r w:rsidRPr="00896E6B">
        <w:rPr>
          <w:rFonts w:ascii="Times New Roman" w:eastAsia="Times New Roman" w:hAnsi="Times New Roman" w:cs="Times New Roman"/>
          <w:i/>
          <w:iCs/>
          <w:u w:val="single"/>
        </w:rPr>
        <w:t>dwelling</w:t>
      </w:r>
      <w:r w:rsidRPr="00896E6B">
        <w:rPr>
          <w:rFonts w:ascii="Times New Roman" w:eastAsia="Times New Roman" w:hAnsi="Times New Roman" w:cs="Times New Roman"/>
          <w:u w:val="single"/>
        </w:rPr>
        <w:t xml:space="preserve"> from the space, do not have registers or other openings into the space;</w:t>
      </w:r>
    </w:p>
    <w:p w14:paraId="6CA28570" w14:textId="77777777" w:rsidR="00896E6B" w:rsidRDefault="00896E6B" w:rsidP="00D7581A">
      <w:pPr>
        <w:spacing w:before="240" w:after="240"/>
        <w:ind w:left="720"/>
        <w:rPr>
          <w:rFonts w:ascii="Times New Roman" w:eastAsia="Times New Roman" w:hAnsi="Times New Roman" w:cs="Times New Roman"/>
          <w:u w:val="single"/>
        </w:rPr>
      </w:pPr>
      <w:r w:rsidRPr="00896E6B">
        <w:rPr>
          <w:rFonts w:ascii="Times New Roman" w:eastAsia="Times New Roman" w:hAnsi="Times New Roman" w:cs="Times New Roman"/>
          <w:u w:val="single"/>
        </w:rPr>
        <w:t xml:space="preserve">f) The space has a garage door or, if not, then at least one side of the foundation is at-grade with an above-grade framed opening measuring no less than 8 ft wide and 7 ft high to ac-commodate the future installation of a garage door. The opening is permitted to be concealed at the time of the rating, for example with drywall and exterior finishes. </w:t>
      </w:r>
    </w:p>
    <w:p w14:paraId="64537F0E" w14:textId="31E5FDDE" w:rsidR="00896E6B" w:rsidRPr="00896E6B" w:rsidRDefault="00896E6B" w:rsidP="00896E6B">
      <w:pPr>
        <w:spacing w:before="240" w:after="240"/>
        <w:rPr>
          <w:rFonts w:ascii="Times New Roman" w:eastAsia="Times New Roman" w:hAnsi="Times New Roman" w:cs="Times New Roman"/>
          <w:u w:val="single"/>
        </w:rPr>
      </w:pPr>
      <w:commentRangeStart w:id="3"/>
      <w:r w:rsidRPr="00896E6B">
        <w:rPr>
          <w:rFonts w:ascii="Times New Roman" w:eastAsia="Times New Roman" w:hAnsi="Times New Roman" w:cs="Times New Roman"/>
          <w:u w:val="single"/>
        </w:rPr>
        <w:t>Such</w:t>
      </w:r>
      <w:commentRangeEnd w:id="3"/>
      <w:r w:rsidR="00A14770" w:rsidRPr="00896E6B">
        <w:rPr>
          <w:rStyle w:val="CommentReference"/>
          <w:rFonts w:ascii="Times New Roman" w:eastAsia="Times New Roman" w:hAnsi="Times New Roman" w:cs="Times New Roman"/>
          <w:sz w:val="24"/>
          <w:szCs w:val="24"/>
          <w:u w:val="single"/>
        </w:rPr>
        <w:commentReference w:id="3"/>
      </w:r>
      <w:r w:rsidRPr="00896E6B">
        <w:rPr>
          <w:rFonts w:ascii="Times New Roman" w:eastAsia="Times New Roman" w:hAnsi="Times New Roman" w:cs="Times New Roman"/>
          <w:u w:val="single"/>
        </w:rPr>
        <w:t xml:space="preserve"> spaces shall be treated exactly like a garage wherever a garage is referenced in this standard, unless otherwise noted.</w:t>
      </w:r>
    </w:p>
    <w:p w14:paraId="3EC64ECF" w14:textId="6310C00D" w:rsidR="00896E6B" w:rsidRPr="00964C57" w:rsidRDefault="00964C57" w:rsidP="48197404">
      <w:pPr>
        <w:spacing w:before="240" w:after="240"/>
        <w:rPr>
          <w:rFonts w:ascii="Times New Roman" w:eastAsia="Times New Roman" w:hAnsi="Times New Roman" w:cs="Times New Roman"/>
          <w:i/>
          <w:iCs/>
          <w:color w:val="00B0F0"/>
        </w:rPr>
      </w:pPr>
      <w:r w:rsidRPr="00964C57">
        <w:rPr>
          <w:b/>
          <w:bCs/>
          <w:i/>
          <w:iCs/>
          <w:color w:val="00B0F0"/>
          <w:sz w:val="20"/>
          <w:szCs w:val="20"/>
          <w:u w:val="single"/>
        </w:rPr>
        <w:t>Tropical Climate Region –</w:t>
      </w:r>
      <w:r w:rsidRPr="00964C57">
        <w:rPr>
          <w:b/>
          <w:bCs/>
          <w:color w:val="00B0F0"/>
          <w:sz w:val="20"/>
          <w:szCs w:val="20"/>
          <w:u w:val="single"/>
        </w:rPr>
        <w:t xml:space="preserve"> </w:t>
      </w:r>
      <w:r w:rsidRPr="00964C57">
        <w:rPr>
          <w:color w:val="00B0F0"/>
          <w:sz w:val="20"/>
          <w:szCs w:val="20"/>
          <w:u w:val="single"/>
        </w:rPr>
        <w:t>Hawaii, Puerto Rico, Guam, American Samoa, US Virgin Islands, Commonwealth of Northern Mariana Islands, and islands in the area between the Tropic of Cancer and the Tropic of Capricorn</w:t>
      </w:r>
      <w:r>
        <w:rPr>
          <w:color w:val="00B0F0"/>
          <w:sz w:val="20"/>
          <w:szCs w:val="20"/>
          <w:u w:val="single"/>
        </w:rPr>
        <w:t>.</w:t>
      </w:r>
    </w:p>
    <w:p w14:paraId="607B7124" w14:textId="77777777" w:rsidR="00896E6B" w:rsidRDefault="00896E6B" w:rsidP="48197404">
      <w:pPr>
        <w:spacing w:before="240" w:after="240"/>
        <w:rPr>
          <w:rFonts w:ascii="Times New Roman" w:eastAsia="Times New Roman" w:hAnsi="Times New Roman" w:cs="Times New Roman"/>
          <w:i/>
          <w:iCs/>
        </w:rPr>
      </w:pPr>
    </w:p>
    <w:p w14:paraId="4EBC3337" w14:textId="58CA35B6" w:rsidR="0000630F" w:rsidRPr="0000630F" w:rsidRDefault="35CC7BDB" w:rsidP="48197404">
      <w:pPr>
        <w:spacing w:before="240" w:after="240"/>
        <w:rPr>
          <w:rFonts w:ascii="Times New Roman" w:eastAsia="Times New Roman" w:hAnsi="Times New Roman" w:cs="Times New Roman"/>
          <w:b/>
          <w:bCs/>
        </w:rPr>
      </w:pPr>
      <w:r w:rsidRPr="48197404">
        <w:rPr>
          <w:rFonts w:ascii="Times New Roman" w:eastAsia="Times New Roman" w:hAnsi="Times New Roman" w:cs="Times New Roman"/>
          <w:i/>
          <w:iCs/>
        </w:rPr>
        <w:lastRenderedPageBreak/>
        <w:t>NL</w:t>
      </w:r>
      <w:r w:rsidRPr="48197404">
        <w:rPr>
          <w:rFonts w:eastAsiaTheme="minorEastAsia"/>
          <w:strike/>
        </w:rPr>
        <w:t>A</w:t>
      </w:r>
      <w:r w:rsidRPr="48197404">
        <w:rPr>
          <w:rFonts w:ascii="Times New Roman" w:eastAsia="Times New Roman" w:hAnsi="Times New Roman" w:cs="Times New Roman"/>
          <w:i/>
          <w:iCs/>
        </w:rPr>
        <w:t xml:space="preserve"> = </w:t>
      </w:r>
      <w:r w:rsidRPr="48197404">
        <w:rPr>
          <w:rFonts w:ascii="Times New Roman" w:eastAsia="Times New Roman" w:hAnsi="Times New Roman" w:cs="Times New Roman"/>
          <w:i/>
          <w:iCs/>
          <w:u w:val="single"/>
        </w:rPr>
        <w:t>1000</w:t>
      </w:r>
      <w:r w:rsidR="3202D6CF" w:rsidRPr="48197404">
        <w:rPr>
          <w:rFonts w:ascii="Times New Roman" w:eastAsia="Times New Roman" w:hAnsi="Times New Roman" w:cs="Times New Roman"/>
          <w:i/>
          <w:iCs/>
          <w:u w:val="single"/>
        </w:rPr>
        <w:t xml:space="preserve"> </w:t>
      </w:r>
      <w:r w:rsidRPr="48197404">
        <w:rPr>
          <w:rFonts w:ascii="Times New Roman" w:eastAsia="Times New Roman" w:hAnsi="Times New Roman" w:cs="Times New Roman"/>
          <w:i/>
          <w:iCs/>
          <w:u w:val="single"/>
        </w:rPr>
        <w:t>x</w:t>
      </w:r>
      <w:r w:rsidR="3202D6CF" w:rsidRPr="48197404">
        <w:rPr>
          <w:rFonts w:ascii="Times New Roman" w:eastAsia="Times New Roman" w:hAnsi="Times New Roman" w:cs="Times New Roman"/>
          <w:i/>
          <w:iCs/>
          <w:u w:val="single"/>
        </w:rPr>
        <w:t xml:space="preserve"> </w:t>
      </w:r>
      <w:r w:rsidRPr="48197404">
        <w:rPr>
          <w:rFonts w:ascii="Times New Roman" w:eastAsia="Times New Roman" w:hAnsi="Times New Roman" w:cs="Times New Roman"/>
          <w:i/>
          <w:iCs/>
        </w:rPr>
        <w:t>SLA ´ (</w:t>
      </w:r>
      <w:r w:rsidRPr="48197404">
        <w:rPr>
          <w:rFonts w:eastAsiaTheme="minorEastAsia"/>
          <w:strike/>
        </w:rPr>
        <w:t>S</w:t>
      </w:r>
      <w:r w:rsidRPr="48197404">
        <w:rPr>
          <w:rFonts w:ascii="Times New Roman" w:eastAsia="Times New Roman" w:hAnsi="Times New Roman" w:cs="Times New Roman"/>
          <w:i/>
          <w:iCs/>
          <w:u w:val="single"/>
        </w:rPr>
        <w:t>H/Hr</w:t>
      </w:r>
      <w:r w:rsidRPr="48197404">
        <w:rPr>
          <w:rFonts w:ascii="Times New Roman" w:eastAsia="Times New Roman" w:hAnsi="Times New Roman" w:cs="Times New Roman"/>
          <w:i/>
          <w:iCs/>
        </w:rPr>
        <w:t xml:space="preserve">) </w:t>
      </w:r>
      <w:r w:rsidRPr="48197404">
        <w:rPr>
          <w:rFonts w:ascii="Times New Roman" w:eastAsia="Times New Roman" w:hAnsi="Times New Roman" w:cs="Times New Roman"/>
          <w:i/>
          <w:iCs/>
          <w:u w:val="single"/>
          <w:vertAlign w:val="superscript"/>
        </w:rPr>
        <w:t>0.4</w:t>
      </w:r>
      <w:r w:rsidRPr="48197404">
        <w:rPr>
          <w:rFonts w:ascii="Times New Roman" w:eastAsia="Times New Roman" w:hAnsi="Times New Roman" w:cs="Times New Roman"/>
          <w:i/>
          <w:iCs/>
        </w:rPr>
        <w:t xml:space="preserve"> </w:t>
      </w:r>
      <w:r w:rsidRPr="48197404">
        <w:rPr>
          <w:rFonts w:ascii="Times New Roman" w:eastAsia="Times New Roman" w:hAnsi="Times New Roman" w:cs="Times New Roman"/>
          <w:i/>
          <w:iCs/>
          <w:strike/>
        </w:rPr>
        <w:t>(0.4) ) where S is the number of stories above grade.</w:t>
      </w:r>
      <w:r w:rsidRPr="48197404">
        <w:rPr>
          <w:rFonts w:ascii="Times New Roman" w:eastAsia="Times New Roman" w:hAnsi="Times New Roman" w:cs="Times New Roman"/>
          <w:i/>
          <w:iCs/>
        </w:rPr>
        <w:t xml:space="preserve"> </w:t>
      </w:r>
      <w:r w:rsidRPr="48197404">
        <w:rPr>
          <w:rFonts w:ascii="Times New Roman" w:eastAsia="Times New Roman" w:hAnsi="Times New Roman" w:cs="Times New Roman"/>
          <w:b/>
          <w:bCs/>
        </w:rPr>
        <w:t>(Equation 4-16)</w:t>
      </w:r>
    </w:p>
    <w:p w14:paraId="05C56D49" w14:textId="503D0908" w:rsidR="0000630F" w:rsidRPr="0000630F" w:rsidRDefault="35CC7BDB" w:rsidP="48197404">
      <w:pPr>
        <w:spacing w:before="240" w:after="240"/>
        <w:rPr>
          <w:rFonts w:ascii="Times New Roman" w:eastAsia="Times New Roman" w:hAnsi="Times New Roman" w:cs="Times New Roman"/>
          <w:color w:val="000000" w:themeColor="text1"/>
          <w:u w:val="single"/>
        </w:rPr>
      </w:pPr>
      <w:r w:rsidRPr="48197404">
        <w:rPr>
          <w:rFonts w:ascii="Times New Roman" w:eastAsia="Times New Roman" w:hAnsi="Times New Roman" w:cs="Times New Roman"/>
          <w:color w:val="000000" w:themeColor="text1"/>
          <w:u w:val="single"/>
        </w:rPr>
        <w:t>Where</w:t>
      </w:r>
    </w:p>
    <w:p w14:paraId="5A5D6A8E" w14:textId="5B63E8EA" w:rsidR="0000630F" w:rsidRPr="0000630F" w:rsidRDefault="35CC7BDB" w:rsidP="48197404">
      <w:pPr>
        <w:spacing w:before="240" w:after="240"/>
        <w:rPr>
          <w:rFonts w:ascii="Times New Roman" w:eastAsia="Times New Roman" w:hAnsi="Times New Roman" w:cs="Times New Roman"/>
          <w:color w:val="000000" w:themeColor="text1"/>
          <w:u w:val="single"/>
          <w:vertAlign w:val="superscript"/>
        </w:rPr>
      </w:pPr>
      <w:r w:rsidRPr="48197404">
        <w:rPr>
          <w:rFonts w:ascii="Times New Roman" w:eastAsia="Times New Roman" w:hAnsi="Times New Roman" w:cs="Times New Roman"/>
          <w:color w:val="000000" w:themeColor="text1"/>
          <w:u w:val="single"/>
        </w:rPr>
        <w:t xml:space="preserve">H = vertical distance between the lowest and highest above grade points within the </w:t>
      </w:r>
      <w:r w:rsidRPr="00AD0B89">
        <w:rPr>
          <w:rFonts w:ascii="Times New Roman" w:eastAsia="Times New Roman" w:hAnsi="Times New Roman" w:cs="Times New Roman"/>
          <w:strike/>
          <w:color w:val="00B0F0"/>
          <w:u w:val="single"/>
        </w:rPr>
        <w:t>pressure envelope</w:t>
      </w:r>
      <w:r w:rsidR="29AFBCB3" w:rsidRPr="00AD0B89">
        <w:rPr>
          <w:rFonts w:ascii="Times New Roman" w:eastAsia="Times New Roman" w:hAnsi="Times New Roman" w:cs="Times New Roman"/>
          <w:color w:val="00B0F0"/>
          <w:u w:val="single"/>
        </w:rPr>
        <w:t xml:space="preserve"> </w:t>
      </w:r>
      <w:r w:rsidRPr="00AD0B89">
        <w:rPr>
          <w:rFonts w:ascii="Times New Roman" w:eastAsia="Times New Roman" w:hAnsi="Times New Roman" w:cs="Times New Roman"/>
          <w:color w:val="00B0F0"/>
          <w:u w:val="single"/>
        </w:rPr>
        <w:t>Infiltration Volume</w:t>
      </w:r>
      <w:r w:rsidRPr="48197404">
        <w:rPr>
          <w:rFonts w:ascii="Times New Roman" w:eastAsia="Times New Roman" w:hAnsi="Times New Roman" w:cs="Times New Roman"/>
          <w:color w:val="000000" w:themeColor="text1"/>
          <w:u w:val="single"/>
        </w:rPr>
        <w:t xml:space="preserve"> (ft or m, which ever is consistent with Hr)</w:t>
      </w:r>
      <w:r w:rsidR="0A4D664C" w:rsidRPr="48197404">
        <w:rPr>
          <w:rFonts w:ascii="Times New Roman" w:eastAsia="Times New Roman" w:hAnsi="Times New Roman" w:cs="Times New Roman"/>
          <w:color w:val="000000" w:themeColor="text1"/>
          <w:u w:val="single"/>
        </w:rPr>
        <w:t xml:space="preserve"> </w:t>
      </w:r>
      <w:r w:rsidRPr="48197404">
        <w:rPr>
          <w:rFonts w:ascii="Times New Roman" w:eastAsia="Times New Roman" w:hAnsi="Times New Roman" w:cs="Times New Roman"/>
          <w:color w:val="000000" w:themeColor="text1"/>
          <w:u w:val="single"/>
          <w:vertAlign w:val="superscript"/>
        </w:rPr>
        <w:t>48</w:t>
      </w:r>
    </w:p>
    <w:p w14:paraId="74DA5657" w14:textId="619474DF" w:rsidR="0000630F" w:rsidRPr="0000630F" w:rsidRDefault="35CC7BDB" w:rsidP="48197404">
      <w:pPr>
        <w:spacing w:before="240" w:after="240"/>
      </w:pPr>
      <w:r w:rsidRPr="48197404">
        <w:rPr>
          <w:rFonts w:ascii="Times New Roman" w:eastAsia="Times New Roman" w:hAnsi="Times New Roman" w:cs="Times New Roman"/>
          <w:color w:val="000000" w:themeColor="text1"/>
          <w:u w:val="single"/>
        </w:rPr>
        <w:t>Hr = reference height = 8.202 feet (2.5 m)</w:t>
      </w:r>
    </w:p>
    <w:p w14:paraId="7DD8A835" w14:textId="7AE6D222" w:rsidR="0000630F" w:rsidRPr="0000630F" w:rsidRDefault="255146D1" w:rsidP="48197404">
      <w:pPr>
        <w:rPr>
          <w:rFonts w:ascii="Aptos" w:eastAsia="Aptos" w:hAnsi="Aptos" w:cs="Aptos"/>
          <w:u w:val="single"/>
        </w:rPr>
      </w:pPr>
      <w:r w:rsidRPr="48197404">
        <w:rPr>
          <w:rFonts w:ascii="Times New Roman" w:eastAsia="Times New Roman" w:hAnsi="Times New Roman" w:cs="Times New Roman"/>
          <w:u w:val="single"/>
          <w:vertAlign w:val="superscript"/>
        </w:rPr>
        <w:t>48</w:t>
      </w:r>
      <w:r w:rsidRPr="48197404">
        <w:rPr>
          <w:rFonts w:ascii="Times New Roman" w:eastAsia="Times New Roman" w:hAnsi="Times New Roman" w:cs="Times New Roman"/>
          <w:u w:val="single"/>
        </w:rPr>
        <w:t xml:space="preserve"> (Normative Note) H’ shall be based on the Infiltration Volume as determined in accordance with</w:t>
      </w:r>
      <w:r w:rsidR="0ADCB59F" w:rsidRPr="48197404">
        <w:rPr>
          <w:rFonts w:ascii="Times New Roman" w:eastAsia="Times New Roman" w:hAnsi="Times New Roman" w:cs="Times New Roman"/>
          <w:u w:val="single"/>
        </w:rPr>
        <w:t xml:space="preserve"> </w:t>
      </w:r>
      <w:r w:rsidR="0ADCB59F" w:rsidRPr="00AD0B89">
        <w:rPr>
          <w:rFonts w:ascii="Times New Roman" w:eastAsia="Times New Roman" w:hAnsi="Times New Roman" w:cs="Times New Roman"/>
          <w:color w:val="00B0F0"/>
          <w:u w:val="single"/>
        </w:rPr>
        <w:t>this standard</w:t>
      </w:r>
      <w:r w:rsidRPr="00AD0B89">
        <w:rPr>
          <w:rFonts w:ascii="Times New Roman" w:eastAsia="Times New Roman" w:hAnsi="Times New Roman" w:cs="Times New Roman"/>
          <w:color w:val="00B0F0"/>
          <w:u w:val="single"/>
        </w:rPr>
        <w:t xml:space="preserve"> </w:t>
      </w:r>
      <w:r w:rsidRPr="00AD0B89">
        <w:rPr>
          <w:rFonts w:ascii="Times New Roman" w:eastAsia="Times New Roman" w:hAnsi="Times New Roman" w:cs="Times New Roman"/>
          <w:strike/>
          <w:color w:val="00B0F0"/>
          <w:u w:val="single"/>
        </w:rPr>
        <w:t>ANSI/RESNET/ICC 380</w:t>
      </w:r>
      <w:r w:rsidRPr="00AD0B89">
        <w:rPr>
          <w:rFonts w:ascii="Times New Roman" w:eastAsia="Times New Roman" w:hAnsi="Times New Roman" w:cs="Times New Roman"/>
          <w:color w:val="00B0F0"/>
          <w:u w:val="single"/>
        </w:rPr>
        <w:t xml:space="preserve"> </w:t>
      </w:r>
      <w:r w:rsidRPr="48197404">
        <w:rPr>
          <w:rFonts w:ascii="Times New Roman" w:eastAsia="Times New Roman" w:hAnsi="Times New Roman" w:cs="Times New Roman"/>
          <w:u w:val="single"/>
        </w:rPr>
        <w:t>and shall include the above-grade height of attics, crawlspaces and basements when they are included in the Infiltration Volume.</w:t>
      </w:r>
    </w:p>
    <w:sectPr w:rsidR="0000630F" w:rsidRPr="0000630F">
      <w:head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Gayathri Vijayakumar (she/her/hers)" w:date="2026-09-18T13:42:00Z" w:initials="GV">
    <w:p w14:paraId="51DC9167" w14:textId="77777777" w:rsidR="00653254" w:rsidRDefault="004A6306" w:rsidP="00653254">
      <w:pPr>
        <w:pStyle w:val="CommentText"/>
      </w:pPr>
      <w:r>
        <w:rPr>
          <w:rStyle w:val="CommentReference"/>
        </w:rPr>
        <w:annotationRef/>
      </w:r>
      <w:r w:rsidR="00653254">
        <w:t>Footnote numbers would need to be updated to align with 380</w:t>
      </w:r>
    </w:p>
  </w:comment>
  <w:comment w:id="2" w:author="Gayathri Vijayakumar (she/her/hers)" w:date="2026-09-18T13:57:00Z" w:initials="GV">
    <w:p w14:paraId="254BFD4A" w14:textId="77777777" w:rsidR="00121A0D" w:rsidRDefault="00121A0D" w:rsidP="00121A0D">
      <w:pPr>
        <w:pStyle w:val="CommentText"/>
      </w:pPr>
      <w:r>
        <w:rPr>
          <w:rStyle w:val="CommentReference"/>
        </w:rPr>
        <w:annotationRef/>
      </w:r>
      <w:r>
        <w:t xml:space="preserve">380 TG should determine if this detailed of a definition is warranted in 380 for the cases it is referenced. </w:t>
      </w:r>
    </w:p>
  </w:comment>
  <w:comment w:id="3" w:author="Gayathri Vijayakumar (she/her/hers)" w:date="2026-08-31T15:55:00Z" w:initials="GV">
    <w:p w14:paraId="156DF3DE" w14:textId="77777777" w:rsidR="00A14770" w:rsidRDefault="00A14770" w:rsidP="00A14770">
      <w:pPr>
        <w:pStyle w:val="CommentText"/>
      </w:pPr>
      <w:r>
        <w:rPr>
          <w:rStyle w:val="CommentReference"/>
        </w:rPr>
        <w:annotationRef/>
      </w:r>
      <w:r>
        <w:t>There should be a hard return before the word “Such” - it is not part of “f”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DC9167" w15:done="0"/>
  <w15:commentEx w15:paraId="254BFD4A" w15:paraIdParent="51DC9167" w15:done="0"/>
  <w15:commentEx w15:paraId="156DF3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DF6CB0" w16cex:dateUtc="2026-09-18T17:42:00Z"/>
  <w16cex:commentExtensible w16cex:durableId="65722E39" w16cex:dateUtc="2026-09-18T17:57:00Z"/>
  <w16cex:commentExtensible w16cex:durableId="45593813" w16cex:dateUtc="2026-08-31T19: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DC9167" w16cid:durableId="1FDF6CB0"/>
  <w16cid:commentId w16cid:paraId="254BFD4A" w16cid:durableId="65722E39"/>
  <w16cid:commentId w16cid:paraId="156DF3DE" w16cid:durableId="455938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69827" w14:textId="77777777" w:rsidR="00A74EAA" w:rsidRDefault="00A74EAA" w:rsidP="00237923">
      <w:pPr>
        <w:spacing w:after="0" w:line="240" w:lineRule="auto"/>
      </w:pPr>
      <w:r>
        <w:separator/>
      </w:r>
    </w:p>
  </w:endnote>
  <w:endnote w:type="continuationSeparator" w:id="0">
    <w:p w14:paraId="2FDCA202" w14:textId="77777777" w:rsidR="00A74EAA" w:rsidRDefault="00A74EAA" w:rsidP="00237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E7BCF" w14:textId="77777777" w:rsidR="00A74EAA" w:rsidRDefault="00A74EAA" w:rsidP="00237923">
      <w:pPr>
        <w:spacing w:after="0" w:line="240" w:lineRule="auto"/>
      </w:pPr>
      <w:r>
        <w:separator/>
      </w:r>
    </w:p>
  </w:footnote>
  <w:footnote w:type="continuationSeparator" w:id="0">
    <w:p w14:paraId="477C4AAF" w14:textId="77777777" w:rsidR="00A74EAA" w:rsidRDefault="00A74EAA" w:rsidP="00237923">
      <w:pPr>
        <w:spacing w:after="0" w:line="240" w:lineRule="auto"/>
      </w:pPr>
      <w:r>
        <w:continuationSeparator/>
      </w:r>
    </w:p>
  </w:footnote>
  <w:footnote w:id="1">
    <w:p w14:paraId="3CBF7840" w14:textId="77777777" w:rsidR="004D1622" w:rsidRPr="00621C42" w:rsidRDefault="004D1622" w:rsidP="004D1622">
      <w:pPr>
        <w:pStyle w:val="FootnoteText"/>
        <w:spacing w:line="154" w:lineRule="atLeast"/>
        <w:ind w:right="-200"/>
        <w:rPr>
          <w:sz w:val="16"/>
          <w:szCs w:val="16"/>
        </w:rPr>
      </w:pPr>
      <w:r w:rsidRPr="00621C42">
        <w:rPr>
          <w:rStyle w:val="FootnoteReference"/>
          <w:sz w:val="16"/>
          <w:szCs w:val="16"/>
        </w:rPr>
        <w:footnoteRef/>
      </w:r>
      <w:r w:rsidRPr="00621C42">
        <w:rPr>
          <w:color w:val="000000"/>
          <w:sz w:val="16"/>
          <w:szCs w:val="16"/>
        </w:rPr>
        <w:t xml:space="preserve">. (Informative Note) Informative Annex A of Standard ANSI/RESNET/ICC 380 contains a table that summarizes parts of a Dwelling Unit that </w:t>
      </w:r>
      <w:r w:rsidRPr="00621C42">
        <w:rPr>
          <w:color w:val="000000"/>
          <w:spacing w:val="1"/>
          <w:sz w:val="16"/>
          <w:szCs w:val="16"/>
        </w:rPr>
        <w:t>are</w:t>
      </w:r>
      <w:r w:rsidRPr="00621C42">
        <w:rPr>
          <w:color w:val="000000"/>
          <w:sz w:val="16"/>
          <w:szCs w:val="16"/>
        </w:rPr>
        <w:t xml:space="preserve"> included in Conditioned Floor Area.</w:t>
      </w:r>
    </w:p>
  </w:footnote>
  <w:footnote w:id="2">
    <w:p w14:paraId="1874FADB" w14:textId="77777777" w:rsidR="004D1622" w:rsidRPr="0049696F" w:rsidRDefault="004D1622" w:rsidP="004D1622">
      <w:pPr>
        <w:pStyle w:val="FootnoteText"/>
        <w:rPr>
          <w:u w:val="single"/>
        </w:rPr>
      </w:pPr>
      <w:r w:rsidRPr="00AD0B89">
        <w:rPr>
          <w:rStyle w:val="FootnoteReference"/>
          <w:color w:val="00B0F0"/>
          <w:sz w:val="16"/>
          <w:szCs w:val="16"/>
          <w:u w:val="single"/>
        </w:rPr>
        <w:footnoteRef/>
      </w:r>
      <w:r w:rsidRPr="00AD0B89">
        <w:rPr>
          <w:color w:val="00B0F0"/>
          <w:sz w:val="16"/>
          <w:szCs w:val="16"/>
          <w:u w:val="single"/>
        </w:rPr>
        <w:t xml:space="preserve">  (Normative Note) The CFA shall include the floor area of a Dwelling Unit or Sleeping Unit in the Tropical Climate Region even when it is not serviced by a space heating or cooling system.</w:t>
      </w:r>
    </w:p>
  </w:footnote>
  <w:footnote w:id="3">
    <w:p w14:paraId="5AC86199" w14:textId="77777777" w:rsidR="004D1622" w:rsidRPr="00621C42" w:rsidRDefault="004D1622" w:rsidP="004D1622">
      <w:pPr>
        <w:pStyle w:val="FootnoteText"/>
        <w:spacing w:line="154" w:lineRule="atLeast"/>
        <w:ind w:right="-200"/>
        <w:jc w:val="both"/>
        <w:rPr>
          <w:sz w:val="16"/>
          <w:szCs w:val="16"/>
        </w:rPr>
      </w:pPr>
      <w:r w:rsidRPr="00621C42">
        <w:rPr>
          <w:rStyle w:val="FootnoteReference"/>
          <w:sz w:val="16"/>
          <w:szCs w:val="16"/>
        </w:rPr>
        <w:footnoteRef/>
      </w:r>
      <w:r w:rsidRPr="00621C42">
        <w:rPr>
          <w:color w:val="000000"/>
          <w:sz w:val="16"/>
          <w:szCs w:val="16"/>
        </w:rPr>
        <w:t xml:space="preserve">. (Informative Note) For example, a common </w:t>
      </w:r>
      <w:r w:rsidRPr="00621C42">
        <w:rPr>
          <w:color w:val="000000"/>
          <w:spacing w:val="2"/>
          <w:sz w:val="16"/>
          <w:szCs w:val="16"/>
        </w:rPr>
        <w:t>or</w:t>
      </w:r>
      <w:r w:rsidRPr="00621C42">
        <w:rPr>
          <w:color w:val="000000"/>
          <w:sz w:val="16"/>
          <w:szCs w:val="16"/>
        </w:rPr>
        <w:t xml:space="preserve"> demising wall.</w:t>
      </w:r>
    </w:p>
  </w:footnote>
  <w:footnote w:id="4">
    <w:p w14:paraId="545513B5" w14:textId="77777777" w:rsidR="004D1622" w:rsidRPr="00621C42" w:rsidRDefault="004D1622" w:rsidP="004D1622">
      <w:pPr>
        <w:pStyle w:val="FootnoteText"/>
        <w:spacing w:line="154" w:lineRule="atLeast"/>
        <w:ind w:right="-200"/>
        <w:jc w:val="both"/>
        <w:rPr>
          <w:sz w:val="16"/>
          <w:szCs w:val="16"/>
        </w:rPr>
      </w:pPr>
      <w:r w:rsidRPr="00621C42">
        <w:rPr>
          <w:rStyle w:val="FootnoteReference"/>
          <w:sz w:val="16"/>
          <w:szCs w:val="16"/>
        </w:rPr>
        <w:footnoteRef/>
      </w:r>
      <w:r>
        <w:rPr>
          <w:color w:val="000000"/>
          <w:sz w:val="16"/>
          <w:szCs w:val="16"/>
        </w:rPr>
        <w:t xml:space="preserve">. </w:t>
      </w:r>
      <w:r w:rsidRPr="00621C42">
        <w:rPr>
          <w:color w:val="000000"/>
          <w:sz w:val="16"/>
          <w:szCs w:val="16"/>
        </w:rPr>
        <w:t>(Informative Note) That is, it does not span multiple Dwelling Units undivided.</w:t>
      </w:r>
    </w:p>
  </w:footnote>
  <w:footnote w:id="5">
    <w:p w14:paraId="5EE1DA86" w14:textId="77777777" w:rsidR="004D1622" w:rsidRPr="00621C42" w:rsidRDefault="004D1622" w:rsidP="004D1622">
      <w:pPr>
        <w:pStyle w:val="FootnoteText"/>
        <w:rPr>
          <w:sz w:val="16"/>
          <w:szCs w:val="16"/>
        </w:rPr>
      </w:pPr>
      <w:r w:rsidRPr="00621C42">
        <w:rPr>
          <w:rStyle w:val="FootnoteReference"/>
          <w:sz w:val="16"/>
          <w:szCs w:val="16"/>
        </w:rPr>
        <w:footnoteRef/>
      </w:r>
      <w:r w:rsidRPr="00621C42">
        <w:rPr>
          <w:sz w:val="16"/>
          <w:szCs w:val="16"/>
        </w:rPr>
        <w:t xml:space="preserve"> (</w:t>
      </w:r>
      <w:r w:rsidRPr="00621C42">
        <w:rPr>
          <w:color w:val="000000"/>
          <w:sz w:val="16"/>
          <w:szCs w:val="16"/>
        </w:rPr>
        <w:t xml:space="preserve">Informative Note) Conditioned Space Volume that </w:t>
      </w:r>
      <w:r w:rsidRPr="00621C42">
        <w:rPr>
          <w:color w:val="000000"/>
          <w:spacing w:val="2"/>
          <w:sz w:val="16"/>
          <w:szCs w:val="16"/>
        </w:rPr>
        <w:t>is</w:t>
      </w:r>
      <w:r w:rsidRPr="00621C42">
        <w:rPr>
          <w:color w:val="000000"/>
          <w:sz w:val="16"/>
          <w:szCs w:val="16"/>
        </w:rPr>
        <w:t xml:space="preserve"> intended </w:t>
      </w:r>
      <w:r w:rsidRPr="00621C42">
        <w:rPr>
          <w:color w:val="000000"/>
          <w:spacing w:val="1"/>
          <w:sz w:val="16"/>
          <w:szCs w:val="16"/>
        </w:rPr>
        <w:t>for</w:t>
      </w:r>
      <w:r w:rsidRPr="00621C42">
        <w:rPr>
          <w:color w:val="000000"/>
          <w:sz w:val="16"/>
          <w:szCs w:val="16"/>
        </w:rPr>
        <w:t xml:space="preserve"> human activities (e.g., </w:t>
      </w:r>
      <w:r w:rsidRPr="00621C42">
        <w:rPr>
          <w:color w:val="000000"/>
          <w:spacing w:val="1"/>
          <w:sz w:val="16"/>
          <w:szCs w:val="16"/>
        </w:rPr>
        <w:t>for</w:t>
      </w:r>
      <w:r w:rsidRPr="00621C42">
        <w:rPr>
          <w:color w:val="000000"/>
          <w:sz w:val="16"/>
          <w:szCs w:val="16"/>
        </w:rPr>
        <w:t xml:space="preserve"> living, sleeping, dining, or cooking; as well as toilets, closets, halls, utility areas, and laundry areas) and above the main Dwelling Unit, such as in a ‘Cape Cod’ home, is </w:t>
      </w:r>
      <w:r w:rsidRPr="00621C42">
        <w:rPr>
          <w:color w:val="000000"/>
          <w:spacing w:val="1"/>
          <w:sz w:val="16"/>
          <w:szCs w:val="16"/>
        </w:rPr>
        <w:t>not</w:t>
      </w:r>
      <w:r w:rsidRPr="00621C42">
        <w:rPr>
          <w:color w:val="000000"/>
          <w:sz w:val="16"/>
          <w:szCs w:val="16"/>
        </w:rPr>
        <w:t xml:space="preserve"> considered Attic space and can be included in the Conditioned Floor Area.</w:t>
      </w:r>
    </w:p>
  </w:footnote>
  <w:footnote w:id="6">
    <w:p w14:paraId="514747F6" w14:textId="77777777" w:rsidR="003C4398" w:rsidRPr="00621C42" w:rsidRDefault="003C4398" w:rsidP="003C4398">
      <w:pPr>
        <w:spacing w:line="158" w:lineRule="atLeast"/>
        <w:ind w:right="-200"/>
        <w:rPr>
          <w:sz w:val="16"/>
          <w:szCs w:val="16"/>
        </w:rPr>
      </w:pPr>
      <w:r w:rsidRPr="00621C42">
        <w:rPr>
          <w:rStyle w:val="FootnoteReference"/>
          <w:sz w:val="16"/>
          <w:szCs w:val="16"/>
        </w:rPr>
        <w:footnoteRef/>
      </w:r>
      <w:r w:rsidRPr="00621C42">
        <w:rPr>
          <w:sz w:val="16"/>
          <w:szCs w:val="16"/>
        </w:rPr>
        <w:t xml:space="preserve"> </w:t>
      </w:r>
      <w:r w:rsidRPr="00621C42">
        <w:rPr>
          <w:color w:val="000000"/>
          <w:sz w:val="16"/>
          <w:szCs w:val="16"/>
        </w:rPr>
        <w:t xml:space="preserve">(Informative Note) Informative Annex A of Standard ANSI/RESNET/ICC </w:t>
      </w:r>
      <w:r w:rsidRPr="00621C42">
        <w:rPr>
          <w:color w:val="000000"/>
          <w:spacing w:val="1"/>
          <w:sz w:val="16"/>
          <w:szCs w:val="16"/>
        </w:rPr>
        <w:t>380</w:t>
      </w:r>
      <w:r w:rsidRPr="00621C42">
        <w:rPr>
          <w:color w:val="000000"/>
          <w:sz w:val="16"/>
          <w:szCs w:val="16"/>
        </w:rPr>
        <w:t xml:space="preserve"> contains a table that summarizes parts of a Dwelling Unit that are included in Conditioned Space Volume.</w:t>
      </w:r>
    </w:p>
  </w:footnote>
  <w:footnote w:id="7">
    <w:p w14:paraId="36A0935E" w14:textId="77777777" w:rsidR="003C4398" w:rsidRPr="00AD0B89" w:rsidRDefault="003C4398" w:rsidP="003C4398">
      <w:pPr>
        <w:pStyle w:val="FootnoteText"/>
        <w:rPr>
          <w:u w:val="single"/>
        </w:rPr>
      </w:pPr>
      <w:r w:rsidRPr="00AD0B89">
        <w:rPr>
          <w:rStyle w:val="FootnoteReference"/>
          <w:color w:val="00B0F0"/>
          <w:u w:val="single"/>
        </w:rPr>
        <w:footnoteRef/>
      </w:r>
      <w:r w:rsidRPr="00AD0B89">
        <w:rPr>
          <w:color w:val="00B0F0"/>
          <w:u w:val="single"/>
        </w:rPr>
        <w:t xml:space="preserve"> </w:t>
      </w:r>
      <w:r w:rsidRPr="00AD0B89">
        <w:rPr>
          <w:color w:val="00B0F0"/>
          <w:sz w:val="16"/>
          <w:szCs w:val="16"/>
          <w:u w:val="single"/>
        </w:rPr>
        <w:t>(Normative Note) The CSV shall include the volume of a Dwelling Unit or Sleeping Unit in the Tropical Climate Region even when it is not serviced by a space heating or cooling system.</w:t>
      </w:r>
    </w:p>
  </w:footnote>
  <w:footnote w:id="8">
    <w:p w14:paraId="49423F4F" w14:textId="77777777" w:rsidR="003C4398" w:rsidRPr="00621C42" w:rsidRDefault="003C4398" w:rsidP="003C4398">
      <w:pPr>
        <w:spacing w:line="158" w:lineRule="atLeast"/>
        <w:ind w:right="-20"/>
        <w:rPr>
          <w:sz w:val="16"/>
          <w:szCs w:val="16"/>
        </w:rPr>
      </w:pPr>
      <w:r w:rsidRPr="00621C42">
        <w:rPr>
          <w:rStyle w:val="FootnoteReference"/>
          <w:sz w:val="16"/>
          <w:szCs w:val="16"/>
        </w:rPr>
        <w:footnoteRef/>
      </w:r>
      <w:r w:rsidRPr="00621C42">
        <w:rPr>
          <w:sz w:val="16"/>
          <w:szCs w:val="16"/>
        </w:rPr>
        <w:t xml:space="preserve"> </w:t>
      </w:r>
      <w:r w:rsidRPr="00621C42">
        <w:rPr>
          <w:color w:val="000000"/>
          <w:sz w:val="16"/>
          <w:szCs w:val="16"/>
        </w:rPr>
        <w:t xml:space="preserve">(Informative Note) For example, a common </w:t>
      </w:r>
      <w:r w:rsidRPr="00621C42">
        <w:rPr>
          <w:color w:val="000000"/>
          <w:spacing w:val="2"/>
          <w:sz w:val="16"/>
          <w:szCs w:val="16"/>
        </w:rPr>
        <w:t>or</w:t>
      </w:r>
      <w:r w:rsidRPr="00621C42">
        <w:rPr>
          <w:color w:val="000000"/>
          <w:sz w:val="16"/>
          <w:szCs w:val="16"/>
        </w:rPr>
        <w:t xml:space="preserve"> demising wall.</w:t>
      </w:r>
    </w:p>
  </w:footnote>
  <w:footnote w:id="9">
    <w:p w14:paraId="0D83A274" w14:textId="77777777" w:rsidR="003C4398" w:rsidRPr="00621C42" w:rsidRDefault="003C4398" w:rsidP="003C4398">
      <w:pPr>
        <w:pStyle w:val="FootnoteText"/>
        <w:spacing w:line="154" w:lineRule="atLeast"/>
        <w:ind w:right="-200"/>
        <w:jc w:val="both"/>
        <w:rPr>
          <w:sz w:val="16"/>
          <w:szCs w:val="16"/>
        </w:rPr>
      </w:pPr>
      <w:r w:rsidRPr="00621C42">
        <w:rPr>
          <w:rStyle w:val="FootnoteReference"/>
          <w:sz w:val="16"/>
          <w:szCs w:val="16"/>
        </w:rPr>
        <w:footnoteRef/>
      </w:r>
      <w:r w:rsidRPr="00621C42">
        <w:rPr>
          <w:color w:val="000000"/>
          <w:sz w:val="16"/>
          <w:szCs w:val="16"/>
        </w:rPr>
        <w:t xml:space="preserve">. (Informative Note) That is, it does </w:t>
      </w:r>
      <w:r w:rsidRPr="00621C42">
        <w:rPr>
          <w:color w:val="000000"/>
          <w:spacing w:val="1"/>
          <w:sz w:val="16"/>
          <w:szCs w:val="16"/>
        </w:rPr>
        <w:t>not</w:t>
      </w:r>
      <w:r w:rsidRPr="00621C42">
        <w:rPr>
          <w:color w:val="000000"/>
          <w:sz w:val="16"/>
          <w:szCs w:val="16"/>
        </w:rPr>
        <w:t xml:space="preserve"> span multiple Dwelling Units undivided.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3CBE" w14:textId="34205FA6" w:rsidR="00237923" w:rsidRPr="00237923" w:rsidRDefault="00237923" w:rsidP="00237923">
    <w:pPr>
      <w:pStyle w:val="Header"/>
      <w:jc w:val="center"/>
    </w:pPr>
    <w:r>
      <w:rPr>
        <w:b/>
        <w:bCs/>
      </w:rPr>
      <w:t>RESNET® Standards Public Comment and Proposed Change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hybridMultilevel"/>
    <w:tmpl w:val="00000008"/>
    <w:lvl w:ilvl="0" w:tplc="7AA6ABB8">
      <w:start w:val="1"/>
      <w:numFmt w:val="bullet"/>
      <w:lvlText w:val="•"/>
      <w:lvlJc w:val="left"/>
      <w:pPr>
        <w:tabs>
          <w:tab w:val="num" w:pos="360"/>
        </w:tabs>
        <w:ind w:left="360" w:hanging="216"/>
      </w:pPr>
      <w:rPr>
        <w:rFonts w:ascii="Times New Roman" w:eastAsia="Times New Roman" w:hAnsi="Times New Roman" w:cs="Times New Roman"/>
        <w:b w:val="0"/>
        <w:bCs w:val="0"/>
        <w:i w:val="0"/>
        <w:iCs w:val="0"/>
        <w:sz w:val="20"/>
      </w:rPr>
    </w:lvl>
    <w:lvl w:ilvl="1" w:tplc="3274FCA0">
      <w:start w:val="1"/>
      <w:numFmt w:val="bullet"/>
      <w:lvlText w:val="o"/>
      <w:lvlJc w:val="left"/>
      <w:pPr>
        <w:tabs>
          <w:tab w:val="num" w:pos="1440"/>
        </w:tabs>
        <w:ind w:left="1440" w:hanging="360"/>
      </w:pPr>
      <w:rPr>
        <w:rFonts w:ascii="Courier New" w:hAnsi="Courier New"/>
      </w:rPr>
    </w:lvl>
    <w:lvl w:ilvl="2" w:tplc="112AB532">
      <w:start w:val="1"/>
      <w:numFmt w:val="bullet"/>
      <w:lvlText w:val=""/>
      <w:lvlJc w:val="left"/>
      <w:pPr>
        <w:tabs>
          <w:tab w:val="num" w:pos="2160"/>
        </w:tabs>
        <w:ind w:left="2160" w:hanging="360"/>
      </w:pPr>
      <w:rPr>
        <w:rFonts w:ascii="Wingdings" w:hAnsi="Wingdings"/>
      </w:rPr>
    </w:lvl>
    <w:lvl w:ilvl="3" w:tplc="B3A0A78A">
      <w:start w:val="1"/>
      <w:numFmt w:val="bullet"/>
      <w:lvlText w:val=""/>
      <w:lvlJc w:val="left"/>
      <w:pPr>
        <w:tabs>
          <w:tab w:val="num" w:pos="2880"/>
        </w:tabs>
        <w:ind w:left="2880" w:hanging="360"/>
      </w:pPr>
      <w:rPr>
        <w:rFonts w:ascii="Symbol" w:hAnsi="Symbol"/>
      </w:rPr>
    </w:lvl>
    <w:lvl w:ilvl="4" w:tplc="F43C58F0">
      <w:start w:val="1"/>
      <w:numFmt w:val="bullet"/>
      <w:lvlText w:val="o"/>
      <w:lvlJc w:val="left"/>
      <w:pPr>
        <w:tabs>
          <w:tab w:val="num" w:pos="3600"/>
        </w:tabs>
        <w:ind w:left="3600" w:hanging="360"/>
      </w:pPr>
      <w:rPr>
        <w:rFonts w:ascii="Courier New" w:hAnsi="Courier New"/>
      </w:rPr>
    </w:lvl>
    <w:lvl w:ilvl="5" w:tplc="6BAE6300">
      <w:start w:val="1"/>
      <w:numFmt w:val="bullet"/>
      <w:lvlText w:val=""/>
      <w:lvlJc w:val="left"/>
      <w:pPr>
        <w:tabs>
          <w:tab w:val="num" w:pos="4320"/>
        </w:tabs>
        <w:ind w:left="4320" w:hanging="360"/>
      </w:pPr>
      <w:rPr>
        <w:rFonts w:ascii="Wingdings" w:hAnsi="Wingdings"/>
      </w:rPr>
    </w:lvl>
    <w:lvl w:ilvl="6" w:tplc="59325B48">
      <w:start w:val="1"/>
      <w:numFmt w:val="bullet"/>
      <w:lvlText w:val=""/>
      <w:lvlJc w:val="left"/>
      <w:pPr>
        <w:tabs>
          <w:tab w:val="num" w:pos="5040"/>
        </w:tabs>
        <w:ind w:left="5040" w:hanging="360"/>
      </w:pPr>
      <w:rPr>
        <w:rFonts w:ascii="Symbol" w:hAnsi="Symbol"/>
      </w:rPr>
    </w:lvl>
    <w:lvl w:ilvl="7" w:tplc="35A21450">
      <w:start w:val="1"/>
      <w:numFmt w:val="bullet"/>
      <w:lvlText w:val="o"/>
      <w:lvlJc w:val="left"/>
      <w:pPr>
        <w:tabs>
          <w:tab w:val="num" w:pos="5760"/>
        </w:tabs>
        <w:ind w:left="5760" w:hanging="360"/>
      </w:pPr>
      <w:rPr>
        <w:rFonts w:ascii="Courier New" w:hAnsi="Courier New"/>
      </w:rPr>
    </w:lvl>
    <w:lvl w:ilvl="8" w:tplc="A3BE393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9"/>
    <w:multiLevelType w:val="hybridMultilevel"/>
    <w:tmpl w:val="00000009"/>
    <w:lvl w:ilvl="0" w:tplc="6636C53A">
      <w:start w:val="1"/>
      <w:numFmt w:val="bullet"/>
      <w:lvlText w:val="•"/>
      <w:lvlJc w:val="left"/>
      <w:pPr>
        <w:tabs>
          <w:tab w:val="num" w:pos="360"/>
        </w:tabs>
        <w:ind w:left="360" w:hanging="216"/>
      </w:pPr>
      <w:rPr>
        <w:rFonts w:ascii="Times New Roman" w:eastAsia="Times New Roman" w:hAnsi="Times New Roman" w:cs="Times New Roman"/>
        <w:b w:val="0"/>
        <w:bCs w:val="0"/>
        <w:i w:val="0"/>
        <w:iCs w:val="0"/>
        <w:sz w:val="20"/>
      </w:rPr>
    </w:lvl>
    <w:lvl w:ilvl="1" w:tplc="B82ABB48">
      <w:start w:val="1"/>
      <w:numFmt w:val="bullet"/>
      <w:lvlText w:val="o"/>
      <w:lvlJc w:val="left"/>
      <w:pPr>
        <w:tabs>
          <w:tab w:val="num" w:pos="1440"/>
        </w:tabs>
        <w:ind w:left="1440" w:hanging="360"/>
      </w:pPr>
      <w:rPr>
        <w:rFonts w:ascii="Courier New" w:hAnsi="Courier New"/>
      </w:rPr>
    </w:lvl>
    <w:lvl w:ilvl="2" w:tplc="3016111A">
      <w:start w:val="1"/>
      <w:numFmt w:val="bullet"/>
      <w:lvlText w:val=""/>
      <w:lvlJc w:val="left"/>
      <w:pPr>
        <w:tabs>
          <w:tab w:val="num" w:pos="2160"/>
        </w:tabs>
        <w:ind w:left="2160" w:hanging="360"/>
      </w:pPr>
      <w:rPr>
        <w:rFonts w:ascii="Wingdings" w:hAnsi="Wingdings"/>
      </w:rPr>
    </w:lvl>
    <w:lvl w:ilvl="3" w:tplc="770C746A">
      <w:start w:val="1"/>
      <w:numFmt w:val="bullet"/>
      <w:lvlText w:val=""/>
      <w:lvlJc w:val="left"/>
      <w:pPr>
        <w:tabs>
          <w:tab w:val="num" w:pos="2880"/>
        </w:tabs>
        <w:ind w:left="2880" w:hanging="360"/>
      </w:pPr>
      <w:rPr>
        <w:rFonts w:ascii="Symbol" w:hAnsi="Symbol"/>
      </w:rPr>
    </w:lvl>
    <w:lvl w:ilvl="4" w:tplc="8984F198">
      <w:start w:val="1"/>
      <w:numFmt w:val="bullet"/>
      <w:lvlText w:val="o"/>
      <w:lvlJc w:val="left"/>
      <w:pPr>
        <w:tabs>
          <w:tab w:val="num" w:pos="3600"/>
        </w:tabs>
        <w:ind w:left="3600" w:hanging="360"/>
      </w:pPr>
      <w:rPr>
        <w:rFonts w:ascii="Courier New" w:hAnsi="Courier New"/>
      </w:rPr>
    </w:lvl>
    <w:lvl w:ilvl="5" w:tplc="F342DD96">
      <w:start w:val="1"/>
      <w:numFmt w:val="bullet"/>
      <w:lvlText w:val=""/>
      <w:lvlJc w:val="left"/>
      <w:pPr>
        <w:tabs>
          <w:tab w:val="num" w:pos="4320"/>
        </w:tabs>
        <w:ind w:left="4320" w:hanging="360"/>
      </w:pPr>
      <w:rPr>
        <w:rFonts w:ascii="Wingdings" w:hAnsi="Wingdings"/>
      </w:rPr>
    </w:lvl>
    <w:lvl w:ilvl="6" w:tplc="6C240522">
      <w:start w:val="1"/>
      <w:numFmt w:val="bullet"/>
      <w:lvlText w:val=""/>
      <w:lvlJc w:val="left"/>
      <w:pPr>
        <w:tabs>
          <w:tab w:val="num" w:pos="5040"/>
        </w:tabs>
        <w:ind w:left="5040" w:hanging="360"/>
      </w:pPr>
      <w:rPr>
        <w:rFonts w:ascii="Symbol" w:hAnsi="Symbol"/>
      </w:rPr>
    </w:lvl>
    <w:lvl w:ilvl="7" w:tplc="3566EB78">
      <w:start w:val="1"/>
      <w:numFmt w:val="bullet"/>
      <w:lvlText w:val="o"/>
      <w:lvlJc w:val="left"/>
      <w:pPr>
        <w:tabs>
          <w:tab w:val="num" w:pos="5760"/>
        </w:tabs>
        <w:ind w:left="5760" w:hanging="360"/>
      </w:pPr>
      <w:rPr>
        <w:rFonts w:ascii="Courier New" w:hAnsi="Courier New"/>
      </w:rPr>
    </w:lvl>
    <w:lvl w:ilvl="8" w:tplc="128CD6DA">
      <w:start w:val="1"/>
      <w:numFmt w:val="bullet"/>
      <w:lvlText w:val=""/>
      <w:lvlJc w:val="left"/>
      <w:pPr>
        <w:tabs>
          <w:tab w:val="num" w:pos="6480"/>
        </w:tabs>
        <w:ind w:left="6480" w:hanging="360"/>
      </w:pPr>
      <w:rPr>
        <w:rFonts w:ascii="Wingdings" w:hAnsi="Wingdings"/>
      </w:rPr>
    </w:lvl>
  </w:abstractNum>
  <w:abstractNum w:abstractNumId="2" w15:restartNumberingAfterBreak="0">
    <w:nsid w:val="0000000E"/>
    <w:multiLevelType w:val="hybridMultilevel"/>
    <w:tmpl w:val="0000000E"/>
    <w:lvl w:ilvl="0" w:tplc="A75856B0">
      <w:start w:val="1"/>
      <w:numFmt w:val="bullet"/>
      <w:lvlText w:val="-"/>
      <w:lvlJc w:val="left"/>
      <w:pPr>
        <w:tabs>
          <w:tab w:val="num" w:pos="720"/>
        </w:tabs>
        <w:ind w:left="720" w:hanging="245"/>
      </w:pPr>
      <w:rPr>
        <w:rFonts w:ascii="Times New Roman" w:eastAsia="Times New Roman" w:hAnsi="Times New Roman" w:cs="Times New Roman"/>
        <w:b w:val="0"/>
        <w:bCs w:val="0"/>
        <w:i w:val="0"/>
        <w:iCs w:val="0"/>
        <w:sz w:val="20"/>
      </w:rPr>
    </w:lvl>
    <w:lvl w:ilvl="1" w:tplc="0406C524">
      <w:start w:val="1"/>
      <w:numFmt w:val="bullet"/>
      <w:lvlText w:val="o"/>
      <w:lvlJc w:val="left"/>
      <w:pPr>
        <w:tabs>
          <w:tab w:val="num" w:pos="1440"/>
        </w:tabs>
        <w:ind w:left="1440" w:hanging="360"/>
      </w:pPr>
      <w:rPr>
        <w:rFonts w:ascii="Courier New" w:hAnsi="Courier New"/>
      </w:rPr>
    </w:lvl>
    <w:lvl w:ilvl="2" w:tplc="9E2211AC">
      <w:start w:val="1"/>
      <w:numFmt w:val="bullet"/>
      <w:lvlText w:val=""/>
      <w:lvlJc w:val="left"/>
      <w:pPr>
        <w:tabs>
          <w:tab w:val="num" w:pos="2160"/>
        </w:tabs>
        <w:ind w:left="2160" w:hanging="360"/>
      </w:pPr>
      <w:rPr>
        <w:rFonts w:ascii="Wingdings" w:hAnsi="Wingdings"/>
      </w:rPr>
    </w:lvl>
    <w:lvl w:ilvl="3" w:tplc="324267E0">
      <w:start w:val="1"/>
      <w:numFmt w:val="bullet"/>
      <w:lvlText w:val=""/>
      <w:lvlJc w:val="left"/>
      <w:pPr>
        <w:tabs>
          <w:tab w:val="num" w:pos="2880"/>
        </w:tabs>
        <w:ind w:left="2880" w:hanging="360"/>
      </w:pPr>
      <w:rPr>
        <w:rFonts w:ascii="Symbol" w:hAnsi="Symbol"/>
      </w:rPr>
    </w:lvl>
    <w:lvl w:ilvl="4" w:tplc="68620EB8">
      <w:start w:val="1"/>
      <w:numFmt w:val="bullet"/>
      <w:lvlText w:val="o"/>
      <w:lvlJc w:val="left"/>
      <w:pPr>
        <w:tabs>
          <w:tab w:val="num" w:pos="3600"/>
        </w:tabs>
        <w:ind w:left="3600" w:hanging="360"/>
      </w:pPr>
      <w:rPr>
        <w:rFonts w:ascii="Courier New" w:hAnsi="Courier New"/>
      </w:rPr>
    </w:lvl>
    <w:lvl w:ilvl="5" w:tplc="0A1E725E">
      <w:start w:val="1"/>
      <w:numFmt w:val="bullet"/>
      <w:lvlText w:val=""/>
      <w:lvlJc w:val="left"/>
      <w:pPr>
        <w:tabs>
          <w:tab w:val="num" w:pos="4320"/>
        </w:tabs>
        <w:ind w:left="4320" w:hanging="360"/>
      </w:pPr>
      <w:rPr>
        <w:rFonts w:ascii="Wingdings" w:hAnsi="Wingdings"/>
      </w:rPr>
    </w:lvl>
    <w:lvl w:ilvl="6" w:tplc="216CA88E">
      <w:start w:val="1"/>
      <w:numFmt w:val="bullet"/>
      <w:lvlText w:val=""/>
      <w:lvlJc w:val="left"/>
      <w:pPr>
        <w:tabs>
          <w:tab w:val="num" w:pos="5040"/>
        </w:tabs>
        <w:ind w:left="5040" w:hanging="360"/>
      </w:pPr>
      <w:rPr>
        <w:rFonts w:ascii="Symbol" w:hAnsi="Symbol"/>
      </w:rPr>
    </w:lvl>
    <w:lvl w:ilvl="7" w:tplc="C5503BE2">
      <w:start w:val="1"/>
      <w:numFmt w:val="bullet"/>
      <w:lvlText w:val="o"/>
      <w:lvlJc w:val="left"/>
      <w:pPr>
        <w:tabs>
          <w:tab w:val="num" w:pos="5760"/>
        </w:tabs>
        <w:ind w:left="5760" w:hanging="360"/>
      </w:pPr>
      <w:rPr>
        <w:rFonts w:ascii="Courier New" w:hAnsi="Courier New"/>
      </w:rPr>
    </w:lvl>
    <w:lvl w:ilvl="8" w:tplc="DC7AF69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F"/>
    <w:multiLevelType w:val="hybridMultilevel"/>
    <w:tmpl w:val="0000000F"/>
    <w:lvl w:ilvl="0" w:tplc="BF3A9D46">
      <w:start w:val="1"/>
      <w:numFmt w:val="bullet"/>
      <w:lvlText w:val="•"/>
      <w:lvlJc w:val="left"/>
      <w:pPr>
        <w:tabs>
          <w:tab w:val="num" w:pos="360"/>
        </w:tabs>
        <w:ind w:left="360" w:hanging="216"/>
      </w:pPr>
      <w:rPr>
        <w:rFonts w:ascii="Times New Roman" w:eastAsia="Times New Roman" w:hAnsi="Times New Roman" w:cs="Times New Roman"/>
        <w:b w:val="0"/>
        <w:bCs w:val="0"/>
        <w:i w:val="0"/>
        <w:iCs w:val="0"/>
        <w:sz w:val="20"/>
      </w:rPr>
    </w:lvl>
    <w:lvl w:ilvl="1" w:tplc="08D4250A">
      <w:start w:val="1"/>
      <w:numFmt w:val="bullet"/>
      <w:lvlText w:val="o"/>
      <w:lvlJc w:val="left"/>
      <w:pPr>
        <w:tabs>
          <w:tab w:val="num" w:pos="1440"/>
        </w:tabs>
        <w:ind w:left="1440" w:hanging="360"/>
      </w:pPr>
      <w:rPr>
        <w:rFonts w:ascii="Courier New" w:hAnsi="Courier New"/>
      </w:rPr>
    </w:lvl>
    <w:lvl w:ilvl="2" w:tplc="51AA5C0A">
      <w:start w:val="1"/>
      <w:numFmt w:val="bullet"/>
      <w:lvlText w:val=""/>
      <w:lvlJc w:val="left"/>
      <w:pPr>
        <w:tabs>
          <w:tab w:val="num" w:pos="2160"/>
        </w:tabs>
        <w:ind w:left="2160" w:hanging="360"/>
      </w:pPr>
      <w:rPr>
        <w:rFonts w:ascii="Wingdings" w:hAnsi="Wingdings"/>
      </w:rPr>
    </w:lvl>
    <w:lvl w:ilvl="3" w:tplc="75EAEC2A">
      <w:start w:val="1"/>
      <w:numFmt w:val="bullet"/>
      <w:lvlText w:val=""/>
      <w:lvlJc w:val="left"/>
      <w:pPr>
        <w:tabs>
          <w:tab w:val="num" w:pos="2880"/>
        </w:tabs>
        <w:ind w:left="2880" w:hanging="360"/>
      </w:pPr>
      <w:rPr>
        <w:rFonts w:ascii="Symbol" w:hAnsi="Symbol"/>
      </w:rPr>
    </w:lvl>
    <w:lvl w:ilvl="4" w:tplc="99967AE4">
      <w:start w:val="1"/>
      <w:numFmt w:val="bullet"/>
      <w:lvlText w:val="o"/>
      <w:lvlJc w:val="left"/>
      <w:pPr>
        <w:tabs>
          <w:tab w:val="num" w:pos="3600"/>
        </w:tabs>
        <w:ind w:left="3600" w:hanging="360"/>
      </w:pPr>
      <w:rPr>
        <w:rFonts w:ascii="Courier New" w:hAnsi="Courier New"/>
      </w:rPr>
    </w:lvl>
    <w:lvl w:ilvl="5" w:tplc="EF7C2536">
      <w:start w:val="1"/>
      <w:numFmt w:val="bullet"/>
      <w:lvlText w:val=""/>
      <w:lvlJc w:val="left"/>
      <w:pPr>
        <w:tabs>
          <w:tab w:val="num" w:pos="4320"/>
        </w:tabs>
        <w:ind w:left="4320" w:hanging="360"/>
      </w:pPr>
      <w:rPr>
        <w:rFonts w:ascii="Wingdings" w:hAnsi="Wingdings"/>
      </w:rPr>
    </w:lvl>
    <w:lvl w:ilvl="6" w:tplc="D2A6B938">
      <w:start w:val="1"/>
      <w:numFmt w:val="bullet"/>
      <w:lvlText w:val=""/>
      <w:lvlJc w:val="left"/>
      <w:pPr>
        <w:tabs>
          <w:tab w:val="num" w:pos="5040"/>
        </w:tabs>
        <w:ind w:left="5040" w:hanging="360"/>
      </w:pPr>
      <w:rPr>
        <w:rFonts w:ascii="Symbol" w:hAnsi="Symbol"/>
      </w:rPr>
    </w:lvl>
    <w:lvl w:ilvl="7" w:tplc="23E69C22">
      <w:start w:val="1"/>
      <w:numFmt w:val="bullet"/>
      <w:lvlText w:val="o"/>
      <w:lvlJc w:val="left"/>
      <w:pPr>
        <w:tabs>
          <w:tab w:val="num" w:pos="5760"/>
        </w:tabs>
        <w:ind w:left="5760" w:hanging="360"/>
      </w:pPr>
      <w:rPr>
        <w:rFonts w:ascii="Courier New" w:hAnsi="Courier New"/>
      </w:rPr>
    </w:lvl>
    <w:lvl w:ilvl="8" w:tplc="759C8510">
      <w:start w:val="1"/>
      <w:numFmt w:val="bullet"/>
      <w:lvlText w:val=""/>
      <w:lvlJc w:val="left"/>
      <w:pPr>
        <w:tabs>
          <w:tab w:val="num" w:pos="6480"/>
        </w:tabs>
        <w:ind w:left="6480" w:hanging="360"/>
      </w:pPr>
      <w:rPr>
        <w:rFonts w:ascii="Wingdings" w:hAnsi="Wingdings"/>
      </w:rPr>
    </w:lvl>
  </w:abstractNum>
  <w:abstractNum w:abstractNumId="4" w15:restartNumberingAfterBreak="0">
    <w:nsid w:val="00000010"/>
    <w:multiLevelType w:val="hybridMultilevel"/>
    <w:tmpl w:val="00000010"/>
    <w:lvl w:ilvl="0" w:tplc="9D3EE076">
      <w:start w:val="1"/>
      <w:numFmt w:val="bullet"/>
      <w:lvlText w:val="•"/>
      <w:lvlJc w:val="left"/>
      <w:pPr>
        <w:tabs>
          <w:tab w:val="num" w:pos="360"/>
        </w:tabs>
        <w:ind w:left="360" w:hanging="216"/>
      </w:pPr>
      <w:rPr>
        <w:rFonts w:ascii="Times New Roman" w:eastAsia="Times New Roman" w:hAnsi="Times New Roman" w:cs="Times New Roman"/>
        <w:b w:val="0"/>
        <w:bCs w:val="0"/>
        <w:i w:val="0"/>
        <w:iCs w:val="0"/>
        <w:sz w:val="20"/>
      </w:rPr>
    </w:lvl>
    <w:lvl w:ilvl="1" w:tplc="AE5809BA">
      <w:start w:val="1"/>
      <w:numFmt w:val="bullet"/>
      <w:lvlText w:val="o"/>
      <w:lvlJc w:val="left"/>
      <w:pPr>
        <w:tabs>
          <w:tab w:val="num" w:pos="1440"/>
        </w:tabs>
        <w:ind w:left="1440" w:hanging="360"/>
      </w:pPr>
      <w:rPr>
        <w:rFonts w:ascii="Courier New" w:hAnsi="Courier New"/>
      </w:rPr>
    </w:lvl>
    <w:lvl w:ilvl="2" w:tplc="8E302E28">
      <w:start w:val="1"/>
      <w:numFmt w:val="bullet"/>
      <w:lvlText w:val=""/>
      <w:lvlJc w:val="left"/>
      <w:pPr>
        <w:tabs>
          <w:tab w:val="num" w:pos="2160"/>
        </w:tabs>
        <w:ind w:left="2160" w:hanging="360"/>
      </w:pPr>
      <w:rPr>
        <w:rFonts w:ascii="Wingdings" w:hAnsi="Wingdings"/>
      </w:rPr>
    </w:lvl>
    <w:lvl w:ilvl="3" w:tplc="F88483E2">
      <w:start w:val="1"/>
      <w:numFmt w:val="bullet"/>
      <w:lvlText w:val=""/>
      <w:lvlJc w:val="left"/>
      <w:pPr>
        <w:tabs>
          <w:tab w:val="num" w:pos="2880"/>
        </w:tabs>
        <w:ind w:left="2880" w:hanging="360"/>
      </w:pPr>
      <w:rPr>
        <w:rFonts w:ascii="Symbol" w:hAnsi="Symbol"/>
      </w:rPr>
    </w:lvl>
    <w:lvl w:ilvl="4" w:tplc="DEDE79A4">
      <w:start w:val="1"/>
      <w:numFmt w:val="bullet"/>
      <w:lvlText w:val="o"/>
      <w:lvlJc w:val="left"/>
      <w:pPr>
        <w:tabs>
          <w:tab w:val="num" w:pos="3600"/>
        </w:tabs>
        <w:ind w:left="3600" w:hanging="360"/>
      </w:pPr>
      <w:rPr>
        <w:rFonts w:ascii="Courier New" w:hAnsi="Courier New"/>
      </w:rPr>
    </w:lvl>
    <w:lvl w:ilvl="5" w:tplc="005C3048">
      <w:start w:val="1"/>
      <w:numFmt w:val="bullet"/>
      <w:lvlText w:val=""/>
      <w:lvlJc w:val="left"/>
      <w:pPr>
        <w:tabs>
          <w:tab w:val="num" w:pos="4320"/>
        </w:tabs>
        <w:ind w:left="4320" w:hanging="360"/>
      </w:pPr>
      <w:rPr>
        <w:rFonts w:ascii="Wingdings" w:hAnsi="Wingdings"/>
      </w:rPr>
    </w:lvl>
    <w:lvl w:ilvl="6" w:tplc="C298E676">
      <w:start w:val="1"/>
      <w:numFmt w:val="bullet"/>
      <w:lvlText w:val=""/>
      <w:lvlJc w:val="left"/>
      <w:pPr>
        <w:tabs>
          <w:tab w:val="num" w:pos="5040"/>
        </w:tabs>
        <w:ind w:left="5040" w:hanging="360"/>
      </w:pPr>
      <w:rPr>
        <w:rFonts w:ascii="Symbol" w:hAnsi="Symbol"/>
      </w:rPr>
    </w:lvl>
    <w:lvl w:ilvl="7" w:tplc="F1DC26D4">
      <w:start w:val="1"/>
      <w:numFmt w:val="bullet"/>
      <w:lvlText w:val="o"/>
      <w:lvlJc w:val="left"/>
      <w:pPr>
        <w:tabs>
          <w:tab w:val="num" w:pos="5760"/>
        </w:tabs>
        <w:ind w:left="5760" w:hanging="360"/>
      </w:pPr>
      <w:rPr>
        <w:rFonts w:ascii="Courier New" w:hAnsi="Courier New"/>
      </w:rPr>
    </w:lvl>
    <w:lvl w:ilvl="8" w:tplc="11C04CE4">
      <w:start w:val="1"/>
      <w:numFmt w:val="bullet"/>
      <w:lvlText w:val=""/>
      <w:lvlJc w:val="left"/>
      <w:pPr>
        <w:tabs>
          <w:tab w:val="num" w:pos="6480"/>
        </w:tabs>
        <w:ind w:left="6480" w:hanging="360"/>
      </w:pPr>
      <w:rPr>
        <w:rFonts w:ascii="Wingdings" w:hAnsi="Wingdings"/>
      </w:rPr>
    </w:lvl>
  </w:abstractNum>
  <w:abstractNum w:abstractNumId="5" w15:restartNumberingAfterBreak="0">
    <w:nsid w:val="00000011"/>
    <w:multiLevelType w:val="hybridMultilevel"/>
    <w:tmpl w:val="00000011"/>
    <w:lvl w:ilvl="0" w:tplc="4B46469C">
      <w:start w:val="1"/>
      <w:numFmt w:val="bullet"/>
      <w:lvlText w:val="•"/>
      <w:lvlJc w:val="left"/>
      <w:pPr>
        <w:tabs>
          <w:tab w:val="num" w:pos="360"/>
        </w:tabs>
        <w:ind w:left="360" w:hanging="216"/>
      </w:pPr>
      <w:rPr>
        <w:rFonts w:ascii="Times New Roman" w:eastAsia="Times New Roman" w:hAnsi="Times New Roman" w:cs="Times New Roman"/>
        <w:b w:val="0"/>
        <w:bCs w:val="0"/>
        <w:i w:val="0"/>
        <w:iCs w:val="0"/>
        <w:sz w:val="20"/>
      </w:rPr>
    </w:lvl>
    <w:lvl w:ilvl="1" w:tplc="1C461CB8">
      <w:start w:val="1"/>
      <w:numFmt w:val="bullet"/>
      <w:lvlText w:val="o"/>
      <w:lvlJc w:val="left"/>
      <w:pPr>
        <w:tabs>
          <w:tab w:val="num" w:pos="1440"/>
        </w:tabs>
        <w:ind w:left="1440" w:hanging="360"/>
      </w:pPr>
      <w:rPr>
        <w:rFonts w:ascii="Courier New" w:hAnsi="Courier New"/>
      </w:rPr>
    </w:lvl>
    <w:lvl w:ilvl="2" w:tplc="16E483AA">
      <w:start w:val="1"/>
      <w:numFmt w:val="bullet"/>
      <w:lvlText w:val=""/>
      <w:lvlJc w:val="left"/>
      <w:pPr>
        <w:tabs>
          <w:tab w:val="num" w:pos="2160"/>
        </w:tabs>
        <w:ind w:left="2160" w:hanging="360"/>
      </w:pPr>
      <w:rPr>
        <w:rFonts w:ascii="Wingdings" w:hAnsi="Wingdings"/>
      </w:rPr>
    </w:lvl>
    <w:lvl w:ilvl="3" w:tplc="9A3A4AE6">
      <w:start w:val="1"/>
      <w:numFmt w:val="bullet"/>
      <w:lvlText w:val=""/>
      <w:lvlJc w:val="left"/>
      <w:pPr>
        <w:tabs>
          <w:tab w:val="num" w:pos="2880"/>
        </w:tabs>
        <w:ind w:left="2880" w:hanging="360"/>
      </w:pPr>
      <w:rPr>
        <w:rFonts w:ascii="Symbol" w:hAnsi="Symbol"/>
      </w:rPr>
    </w:lvl>
    <w:lvl w:ilvl="4" w:tplc="B2D2D5A8">
      <w:start w:val="1"/>
      <w:numFmt w:val="bullet"/>
      <w:lvlText w:val="o"/>
      <w:lvlJc w:val="left"/>
      <w:pPr>
        <w:tabs>
          <w:tab w:val="num" w:pos="3600"/>
        </w:tabs>
        <w:ind w:left="3600" w:hanging="360"/>
      </w:pPr>
      <w:rPr>
        <w:rFonts w:ascii="Courier New" w:hAnsi="Courier New"/>
      </w:rPr>
    </w:lvl>
    <w:lvl w:ilvl="5" w:tplc="2AEE4E04">
      <w:start w:val="1"/>
      <w:numFmt w:val="bullet"/>
      <w:lvlText w:val=""/>
      <w:lvlJc w:val="left"/>
      <w:pPr>
        <w:tabs>
          <w:tab w:val="num" w:pos="4320"/>
        </w:tabs>
        <w:ind w:left="4320" w:hanging="360"/>
      </w:pPr>
      <w:rPr>
        <w:rFonts w:ascii="Wingdings" w:hAnsi="Wingdings"/>
      </w:rPr>
    </w:lvl>
    <w:lvl w:ilvl="6" w:tplc="717078B6">
      <w:start w:val="1"/>
      <w:numFmt w:val="bullet"/>
      <w:lvlText w:val=""/>
      <w:lvlJc w:val="left"/>
      <w:pPr>
        <w:tabs>
          <w:tab w:val="num" w:pos="5040"/>
        </w:tabs>
        <w:ind w:left="5040" w:hanging="360"/>
      </w:pPr>
      <w:rPr>
        <w:rFonts w:ascii="Symbol" w:hAnsi="Symbol"/>
      </w:rPr>
    </w:lvl>
    <w:lvl w:ilvl="7" w:tplc="498AA96A">
      <w:start w:val="1"/>
      <w:numFmt w:val="bullet"/>
      <w:lvlText w:val="o"/>
      <w:lvlJc w:val="left"/>
      <w:pPr>
        <w:tabs>
          <w:tab w:val="num" w:pos="5760"/>
        </w:tabs>
        <w:ind w:left="5760" w:hanging="360"/>
      </w:pPr>
      <w:rPr>
        <w:rFonts w:ascii="Courier New" w:hAnsi="Courier New"/>
      </w:rPr>
    </w:lvl>
    <w:lvl w:ilvl="8" w:tplc="D3FC1CCA">
      <w:start w:val="1"/>
      <w:numFmt w:val="bullet"/>
      <w:lvlText w:val=""/>
      <w:lvlJc w:val="left"/>
      <w:pPr>
        <w:tabs>
          <w:tab w:val="num" w:pos="6480"/>
        </w:tabs>
        <w:ind w:left="6480" w:hanging="360"/>
      </w:pPr>
      <w:rPr>
        <w:rFonts w:ascii="Wingdings" w:hAnsi="Wingdings"/>
      </w:rPr>
    </w:lvl>
  </w:abstractNum>
  <w:abstractNum w:abstractNumId="6" w15:restartNumberingAfterBreak="0">
    <w:nsid w:val="00000012"/>
    <w:multiLevelType w:val="hybridMultilevel"/>
    <w:tmpl w:val="00000012"/>
    <w:lvl w:ilvl="0" w:tplc="575AA448">
      <w:start w:val="1"/>
      <w:numFmt w:val="bullet"/>
      <w:lvlText w:val="•"/>
      <w:lvlJc w:val="left"/>
      <w:pPr>
        <w:tabs>
          <w:tab w:val="num" w:pos="360"/>
        </w:tabs>
        <w:ind w:left="360" w:hanging="216"/>
      </w:pPr>
      <w:rPr>
        <w:rFonts w:ascii="Times New Roman" w:eastAsia="Times New Roman" w:hAnsi="Times New Roman" w:cs="Times New Roman"/>
        <w:b w:val="0"/>
        <w:bCs w:val="0"/>
        <w:i w:val="0"/>
        <w:iCs w:val="0"/>
        <w:sz w:val="20"/>
      </w:rPr>
    </w:lvl>
    <w:lvl w:ilvl="1" w:tplc="05AE43FC">
      <w:start w:val="1"/>
      <w:numFmt w:val="bullet"/>
      <w:lvlText w:val="-"/>
      <w:lvlJc w:val="left"/>
      <w:pPr>
        <w:tabs>
          <w:tab w:val="num" w:pos="720"/>
        </w:tabs>
        <w:ind w:left="720" w:hanging="245"/>
      </w:pPr>
      <w:rPr>
        <w:rFonts w:ascii="Times New Roman" w:eastAsia="Times New Roman" w:hAnsi="Times New Roman" w:cs="Times New Roman"/>
        <w:b w:val="0"/>
        <w:bCs w:val="0"/>
        <w:i w:val="0"/>
        <w:iCs w:val="0"/>
        <w:sz w:val="20"/>
      </w:rPr>
    </w:lvl>
    <w:lvl w:ilvl="2" w:tplc="7ADE291E">
      <w:start w:val="1"/>
      <w:numFmt w:val="bullet"/>
      <w:lvlText w:val=""/>
      <w:lvlJc w:val="left"/>
      <w:pPr>
        <w:tabs>
          <w:tab w:val="num" w:pos="2160"/>
        </w:tabs>
        <w:ind w:left="2160" w:hanging="360"/>
      </w:pPr>
      <w:rPr>
        <w:rFonts w:ascii="Wingdings" w:hAnsi="Wingdings"/>
      </w:rPr>
    </w:lvl>
    <w:lvl w:ilvl="3" w:tplc="E47E7B4A">
      <w:start w:val="1"/>
      <w:numFmt w:val="bullet"/>
      <w:lvlText w:val=""/>
      <w:lvlJc w:val="left"/>
      <w:pPr>
        <w:tabs>
          <w:tab w:val="num" w:pos="2880"/>
        </w:tabs>
        <w:ind w:left="2880" w:hanging="360"/>
      </w:pPr>
      <w:rPr>
        <w:rFonts w:ascii="Symbol" w:hAnsi="Symbol"/>
      </w:rPr>
    </w:lvl>
    <w:lvl w:ilvl="4" w:tplc="23FA9CE6">
      <w:start w:val="1"/>
      <w:numFmt w:val="bullet"/>
      <w:lvlText w:val="o"/>
      <w:lvlJc w:val="left"/>
      <w:pPr>
        <w:tabs>
          <w:tab w:val="num" w:pos="3600"/>
        </w:tabs>
        <w:ind w:left="3600" w:hanging="360"/>
      </w:pPr>
      <w:rPr>
        <w:rFonts w:ascii="Courier New" w:hAnsi="Courier New"/>
      </w:rPr>
    </w:lvl>
    <w:lvl w:ilvl="5" w:tplc="A3626166">
      <w:start w:val="1"/>
      <w:numFmt w:val="bullet"/>
      <w:lvlText w:val=""/>
      <w:lvlJc w:val="left"/>
      <w:pPr>
        <w:tabs>
          <w:tab w:val="num" w:pos="4320"/>
        </w:tabs>
        <w:ind w:left="4320" w:hanging="360"/>
      </w:pPr>
      <w:rPr>
        <w:rFonts w:ascii="Wingdings" w:hAnsi="Wingdings"/>
      </w:rPr>
    </w:lvl>
    <w:lvl w:ilvl="6" w:tplc="EA289888">
      <w:start w:val="1"/>
      <w:numFmt w:val="bullet"/>
      <w:lvlText w:val=""/>
      <w:lvlJc w:val="left"/>
      <w:pPr>
        <w:tabs>
          <w:tab w:val="num" w:pos="5040"/>
        </w:tabs>
        <w:ind w:left="5040" w:hanging="360"/>
      </w:pPr>
      <w:rPr>
        <w:rFonts w:ascii="Symbol" w:hAnsi="Symbol"/>
      </w:rPr>
    </w:lvl>
    <w:lvl w:ilvl="7" w:tplc="2F6835DC">
      <w:start w:val="1"/>
      <w:numFmt w:val="bullet"/>
      <w:lvlText w:val="o"/>
      <w:lvlJc w:val="left"/>
      <w:pPr>
        <w:tabs>
          <w:tab w:val="num" w:pos="5760"/>
        </w:tabs>
        <w:ind w:left="5760" w:hanging="360"/>
      </w:pPr>
      <w:rPr>
        <w:rFonts w:ascii="Courier New" w:hAnsi="Courier New"/>
      </w:rPr>
    </w:lvl>
    <w:lvl w:ilvl="8" w:tplc="C0A034FC">
      <w:start w:val="1"/>
      <w:numFmt w:val="bullet"/>
      <w:lvlText w:val=""/>
      <w:lvlJc w:val="left"/>
      <w:pPr>
        <w:tabs>
          <w:tab w:val="num" w:pos="6480"/>
        </w:tabs>
        <w:ind w:left="6480" w:hanging="360"/>
      </w:pPr>
      <w:rPr>
        <w:rFonts w:ascii="Wingdings" w:hAnsi="Wingdings"/>
      </w:rPr>
    </w:lvl>
  </w:abstractNum>
  <w:abstractNum w:abstractNumId="7" w15:restartNumberingAfterBreak="0">
    <w:nsid w:val="00000013"/>
    <w:multiLevelType w:val="hybridMultilevel"/>
    <w:tmpl w:val="00000013"/>
    <w:lvl w:ilvl="0" w:tplc="A440AB12">
      <w:start w:val="1"/>
      <w:numFmt w:val="bullet"/>
      <w:lvlText w:val="-"/>
      <w:lvlJc w:val="left"/>
      <w:pPr>
        <w:tabs>
          <w:tab w:val="num" w:pos="720"/>
        </w:tabs>
        <w:ind w:left="720" w:hanging="245"/>
      </w:pPr>
      <w:rPr>
        <w:rFonts w:ascii="Times New Roman" w:eastAsia="Times New Roman" w:hAnsi="Times New Roman" w:cs="Times New Roman"/>
        <w:b w:val="0"/>
        <w:bCs w:val="0"/>
        <w:i w:val="0"/>
        <w:iCs w:val="0"/>
        <w:sz w:val="20"/>
      </w:rPr>
    </w:lvl>
    <w:lvl w:ilvl="1" w:tplc="59209CC4">
      <w:start w:val="1"/>
      <w:numFmt w:val="bullet"/>
      <w:lvlText w:val="o"/>
      <w:lvlJc w:val="left"/>
      <w:pPr>
        <w:tabs>
          <w:tab w:val="num" w:pos="1440"/>
        </w:tabs>
        <w:ind w:left="1440" w:hanging="360"/>
      </w:pPr>
      <w:rPr>
        <w:rFonts w:ascii="Courier New" w:hAnsi="Courier New"/>
      </w:rPr>
    </w:lvl>
    <w:lvl w:ilvl="2" w:tplc="73A2A844">
      <w:start w:val="1"/>
      <w:numFmt w:val="bullet"/>
      <w:lvlText w:val=""/>
      <w:lvlJc w:val="left"/>
      <w:pPr>
        <w:tabs>
          <w:tab w:val="num" w:pos="2160"/>
        </w:tabs>
        <w:ind w:left="2160" w:hanging="360"/>
      </w:pPr>
      <w:rPr>
        <w:rFonts w:ascii="Wingdings" w:hAnsi="Wingdings"/>
      </w:rPr>
    </w:lvl>
    <w:lvl w:ilvl="3" w:tplc="BB16D05E">
      <w:start w:val="1"/>
      <w:numFmt w:val="bullet"/>
      <w:lvlText w:val=""/>
      <w:lvlJc w:val="left"/>
      <w:pPr>
        <w:tabs>
          <w:tab w:val="num" w:pos="2880"/>
        </w:tabs>
        <w:ind w:left="2880" w:hanging="360"/>
      </w:pPr>
      <w:rPr>
        <w:rFonts w:ascii="Symbol" w:hAnsi="Symbol"/>
      </w:rPr>
    </w:lvl>
    <w:lvl w:ilvl="4" w:tplc="30BC24D2">
      <w:start w:val="1"/>
      <w:numFmt w:val="bullet"/>
      <w:lvlText w:val="o"/>
      <w:lvlJc w:val="left"/>
      <w:pPr>
        <w:tabs>
          <w:tab w:val="num" w:pos="3600"/>
        </w:tabs>
        <w:ind w:left="3600" w:hanging="360"/>
      </w:pPr>
      <w:rPr>
        <w:rFonts w:ascii="Courier New" w:hAnsi="Courier New"/>
      </w:rPr>
    </w:lvl>
    <w:lvl w:ilvl="5" w:tplc="033EC028">
      <w:start w:val="1"/>
      <w:numFmt w:val="bullet"/>
      <w:lvlText w:val=""/>
      <w:lvlJc w:val="left"/>
      <w:pPr>
        <w:tabs>
          <w:tab w:val="num" w:pos="4320"/>
        </w:tabs>
        <w:ind w:left="4320" w:hanging="360"/>
      </w:pPr>
      <w:rPr>
        <w:rFonts w:ascii="Wingdings" w:hAnsi="Wingdings"/>
      </w:rPr>
    </w:lvl>
    <w:lvl w:ilvl="6" w:tplc="3E942BE4">
      <w:start w:val="1"/>
      <w:numFmt w:val="bullet"/>
      <w:lvlText w:val=""/>
      <w:lvlJc w:val="left"/>
      <w:pPr>
        <w:tabs>
          <w:tab w:val="num" w:pos="5040"/>
        </w:tabs>
        <w:ind w:left="5040" w:hanging="360"/>
      </w:pPr>
      <w:rPr>
        <w:rFonts w:ascii="Symbol" w:hAnsi="Symbol"/>
      </w:rPr>
    </w:lvl>
    <w:lvl w:ilvl="7" w:tplc="565C9FE0">
      <w:start w:val="1"/>
      <w:numFmt w:val="bullet"/>
      <w:lvlText w:val="o"/>
      <w:lvlJc w:val="left"/>
      <w:pPr>
        <w:tabs>
          <w:tab w:val="num" w:pos="5760"/>
        </w:tabs>
        <w:ind w:left="5760" w:hanging="360"/>
      </w:pPr>
      <w:rPr>
        <w:rFonts w:ascii="Courier New" w:hAnsi="Courier New"/>
      </w:rPr>
    </w:lvl>
    <w:lvl w:ilvl="8" w:tplc="F13400D4">
      <w:start w:val="1"/>
      <w:numFmt w:val="bullet"/>
      <w:lvlText w:val=""/>
      <w:lvlJc w:val="left"/>
      <w:pPr>
        <w:tabs>
          <w:tab w:val="num" w:pos="6480"/>
        </w:tabs>
        <w:ind w:left="6480" w:hanging="360"/>
      </w:pPr>
      <w:rPr>
        <w:rFonts w:ascii="Wingdings" w:hAnsi="Wingdings"/>
      </w:rPr>
    </w:lvl>
  </w:abstractNum>
  <w:abstractNum w:abstractNumId="8" w15:restartNumberingAfterBreak="0">
    <w:nsid w:val="03BD0CEE"/>
    <w:multiLevelType w:val="multilevel"/>
    <w:tmpl w:val="671E5D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FA79A4"/>
    <w:multiLevelType w:val="hybridMultilevel"/>
    <w:tmpl w:val="D78CA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6C33C3"/>
    <w:multiLevelType w:val="hybridMultilevel"/>
    <w:tmpl w:val="DAEC2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0C639F"/>
    <w:multiLevelType w:val="multilevel"/>
    <w:tmpl w:val="3B2C80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660125"/>
    <w:multiLevelType w:val="multilevel"/>
    <w:tmpl w:val="2CDA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967A35"/>
    <w:multiLevelType w:val="hybridMultilevel"/>
    <w:tmpl w:val="2EAC0490"/>
    <w:lvl w:ilvl="0" w:tplc="0409000F">
      <w:start w:val="1"/>
      <w:numFmt w:val="decimal"/>
      <w:lvlText w:val="%1."/>
      <w:lvlJc w:val="left"/>
      <w:pPr>
        <w:ind w:left="720" w:hanging="360"/>
      </w:pPr>
    </w:lvl>
    <w:lvl w:ilvl="1" w:tplc="0F3A6280">
      <w:start w:val="1"/>
      <w:numFmt w:val="decimal"/>
      <w:lvlText w:val="%2."/>
      <w:lvlJc w:val="left"/>
      <w:pPr>
        <w:ind w:left="1440" w:hanging="360"/>
      </w:pPr>
      <w:rPr>
        <w:rFonts w:ascii="Times New Roman" w:eastAsia="Times New Roman" w:hAnsi="Times New Roman" w:cs="Times New Roman" w:hint="default"/>
        <w:b w:val="0"/>
        <w:bCs w:val="0"/>
        <w:i w:val="0"/>
        <w:iCs w:val="0"/>
        <w:spacing w:val="-2"/>
        <w:w w:val="100"/>
        <w:sz w:val="18"/>
        <w:szCs w:val="18"/>
        <w:lang w:val="en-US" w:eastAsia="en-US" w:bidi="ar-S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6942766">
    <w:abstractNumId w:val="0"/>
  </w:num>
  <w:num w:numId="2" w16cid:durableId="177307084">
    <w:abstractNumId w:val="1"/>
  </w:num>
  <w:num w:numId="3" w16cid:durableId="574172400">
    <w:abstractNumId w:val="2"/>
  </w:num>
  <w:num w:numId="4" w16cid:durableId="184756741">
    <w:abstractNumId w:val="3"/>
  </w:num>
  <w:num w:numId="5" w16cid:durableId="1257209319">
    <w:abstractNumId w:val="13"/>
  </w:num>
  <w:num w:numId="6" w16cid:durableId="955258666">
    <w:abstractNumId w:val="4"/>
  </w:num>
  <w:num w:numId="7" w16cid:durableId="149836562">
    <w:abstractNumId w:val="5"/>
  </w:num>
  <w:num w:numId="8" w16cid:durableId="1722097288">
    <w:abstractNumId w:val="6"/>
  </w:num>
  <w:num w:numId="9" w16cid:durableId="1452171086">
    <w:abstractNumId w:val="7"/>
  </w:num>
  <w:num w:numId="10" w16cid:durableId="1606887387">
    <w:abstractNumId w:val="10"/>
  </w:num>
  <w:num w:numId="11" w16cid:durableId="1985507011">
    <w:abstractNumId w:val="9"/>
  </w:num>
  <w:num w:numId="12" w16cid:durableId="976959831">
    <w:abstractNumId w:val="12"/>
  </w:num>
  <w:num w:numId="13" w16cid:durableId="510804150">
    <w:abstractNumId w:val="8"/>
  </w:num>
  <w:num w:numId="14" w16cid:durableId="15287589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yathri Vijayakumar (she/her/hers)">
    <w15:presenceInfo w15:providerId="AD" w15:userId="S::gvijayakumar@swinter.com::24f66c16-4351-4dbf-a679-9fb4cf2490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923"/>
    <w:rsid w:val="00001E7A"/>
    <w:rsid w:val="0000630F"/>
    <w:rsid w:val="00036584"/>
    <w:rsid w:val="00055E1A"/>
    <w:rsid w:val="000B1D7B"/>
    <w:rsid w:val="000C73AC"/>
    <w:rsid w:val="000E18FA"/>
    <w:rsid w:val="00121A0D"/>
    <w:rsid w:val="0014773A"/>
    <w:rsid w:val="001E5BC4"/>
    <w:rsid w:val="00233C7A"/>
    <w:rsid w:val="002377BD"/>
    <w:rsid w:val="00237923"/>
    <w:rsid w:val="00251C3C"/>
    <w:rsid w:val="00255E22"/>
    <w:rsid w:val="00266E85"/>
    <w:rsid w:val="00270379"/>
    <w:rsid w:val="002B24AA"/>
    <w:rsid w:val="002F59BB"/>
    <w:rsid w:val="003C4398"/>
    <w:rsid w:val="004623D1"/>
    <w:rsid w:val="0049696F"/>
    <w:rsid w:val="004A6306"/>
    <w:rsid w:val="004D0E2E"/>
    <w:rsid w:val="004D1622"/>
    <w:rsid w:val="004E29AB"/>
    <w:rsid w:val="00553D0D"/>
    <w:rsid w:val="00585A43"/>
    <w:rsid w:val="005C1477"/>
    <w:rsid w:val="005E7A8B"/>
    <w:rsid w:val="006024AA"/>
    <w:rsid w:val="00653254"/>
    <w:rsid w:val="00666D1F"/>
    <w:rsid w:val="006D35FA"/>
    <w:rsid w:val="007403B8"/>
    <w:rsid w:val="007A7366"/>
    <w:rsid w:val="007B3BCA"/>
    <w:rsid w:val="007C375D"/>
    <w:rsid w:val="007C3796"/>
    <w:rsid w:val="00896E6B"/>
    <w:rsid w:val="008C2F70"/>
    <w:rsid w:val="00913AA8"/>
    <w:rsid w:val="00964C57"/>
    <w:rsid w:val="00A14770"/>
    <w:rsid w:val="00A23AB1"/>
    <w:rsid w:val="00A519E2"/>
    <w:rsid w:val="00A74EAA"/>
    <w:rsid w:val="00A808C5"/>
    <w:rsid w:val="00AB6728"/>
    <w:rsid w:val="00AC35AC"/>
    <w:rsid w:val="00AD0B89"/>
    <w:rsid w:val="00AD5148"/>
    <w:rsid w:val="00BB6CDE"/>
    <w:rsid w:val="00BE58BC"/>
    <w:rsid w:val="00C55BC9"/>
    <w:rsid w:val="00C659A3"/>
    <w:rsid w:val="00CC70CA"/>
    <w:rsid w:val="00D7581A"/>
    <w:rsid w:val="00D824DE"/>
    <w:rsid w:val="00E70AE7"/>
    <w:rsid w:val="00F11A8B"/>
    <w:rsid w:val="00F44C65"/>
    <w:rsid w:val="067AB1F6"/>
    <w:rsid w:val="0A4D664C"/>
    <w:rsid w:val="0ADCB59F"/>
    <w:rsid w:val="17E3496E"/>
    <w:rsid w:val="255146D1"/>
    <w:rsid w:val="25A4943C"/>
    <w:rsid w:val="29AFBCB3"/>
    <w:rsid w:val="2C344B03"/>
    <w:rsid w:val="3202D6CF"/>
    <w:rsid w:val="35CC7BDB"/>
    <w:rsid w:val="382D644E"/>
    <w:rsid w:val="431F8CD6"/>
    <w:rsid w:val="4702F569"/>
    <w:rsid w:val="48197404"/>
    <w:rsid w:val="50970707"/>
    <w:rsid w:val="642D94A7"/>
    <w:rsid w:val="69BA8466"/>
    <w:rsid w:val="6DEF0A53"/>
    <w:rsid w:val="72BF24F5"/>
    <w:rsid w:val="733DFB39"/>
    <w:rsid w:val="757D849A"/>
    <w:rsid w:val="77191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BDA0A"/>
  <w15:chartTrackingRefBased/>
  <w15:docId w15:val="{F04E0F48-9025-41BC-8245-17635A637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7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9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9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9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9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923"/>
    <w:rPr>
      <w:rFonts w:eastAsiaTheme="majorEastAsia" w:cstheme="majorBidi"/>
      <w:color w:val="272727" w:themeColor="text1" w:themeTint="D8"/>
    </w:rPr>
  </w:style>
  <w:style w:type="paragraph" w:styleId="Title">
    <w:name w:val="Title"/>
    <w:basedOn w:val="Normal"/>
    <w:next w:val="Normal"/>
    <w:link w:val="TitleChar"/>
    <w:uiPriority w:val="10"/>
    <w:qFormat/>
    <w:rsid w:val="00237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923"/>
    <w:pPr>
      <w:spacing w:before="160"/>
      <w:jc w:val="center"/>
    </w:pPr>
    <w:rPr>
      <w:i/>
      <w:iCs/>
      <w:color w:val="404040" w:themeColor="text1" w:themeTint="BF"/>
    </w:rPr>
  </w:style>
  <w:style w:type="character" w:customStyle="1" w:styleId="QuoteChar">
    <w:name w:val="Quote Char"/>
    <w:basedOn w:val="DefaultParagraphFont"/>
    <w:link w:val="Quote"/>
    <w:uiPriority w:val="29"/>
    <w:rsid w:val="00237923"/>
    <w:rPr>
      <w:i/>
      <w:iCs/>
      <w:color w:val="404040" w:themeColor="text1" w:themeTint="BF"/>
    </w:rPr>
  </w:style>
  <w:style w:type="paragraph" w:styleId="ListParagraph">
    <w:name w:val="List Paragraph"/>
    <w:basedOn w:val="Normal"/>
    <w:uiPriority w:val="34"/>
    <w:qFormat/>
    <w:rsid w:val="00237923"/>
    <w:pPr>
      <w:ind w:left="720"/>
      <w:contextualSpacing/>
    </w:pPr>
  </w:style>
  <w:style w:type="character" w:styleId="IntenseEmphasis">
    <w:name w:val="Intense Emphasis"/>
    <w:basedOn w:val="DefaultParagraphFont"/>
    <w:uiPriority w:val="21"/>
    <w:qFormat/>
    <w:rsid w:val="00237923"/>
    <w:rPr>
      <w:i/>
      <w:iCs/>
      <w:color w:val="0F4761" w:themeColor="accent1" w:themeShade="BF"/>
    </w:rPr>
  </w:style>
  <w:style w:type="paragraph" w:styleId="IntenseQuote">
    <w:name w:val="Intense Quote"/>
    <w:basedOn w:val="Normal"/>
    <w:next w:val="Normal"/>
    <w:link w:val="IntenseQuoteChar"/>
    <w:uiPriority w:val="30"/>
    <w:qFormat/>
    <w:rsid w:val="00237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923"/>
    <w:rPr>
      <w:i/>
      <w:iCs/>
      <w:color w:val="0F4761" w:themeColor="accent1" w:themeShade="BF"/>
    </w:rPr>
  </w:style>
  <w:style w:type="character" w:styleId="IntenseReference">
    <w:name w:val="Intense Reference"/>
    <w:basedOn w:val="DefaultParagraphFont"/>
    <w:uiPriority w:val="32"/>
    <w:qFormat/>
    <w:rsid w:val="00237923"/>
    <w:rPr>
      <w:b/>
      <w:bCs/>
      <w:smallCaps/>
      <w:color w:val="0F4761" w:themeColor="accent1" w:themeShade="BF"/>
      <w:spacing w:val="5"/>
    </w:rPr>
  </w:style>
  <w:style w:type="paragraph" w:styleId="Header">
    <w:name w:val="header"/>
    <w:basedOn w:val="Normal"/>
    <w:link w:val="HeaderChar"/>
    <w:uiPriority w:val="99"/>
    <w:unhideWhenUsed/>
    <w:rsid w:val="00237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923"/>
  </w:style>
  <w:style w:type="paragraph" w:styleId="Footer">
    <w:name w:val="footer"/>
    <w:basedOn w:val="Normal"/>
    <w:link w:val="FooterChar"/>
    <w:uiPriority w:val="99"/>
    <w:unhideWhenUsed/>
    <w:rsid w:val="00237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923"/>
  </w:style>
  <w:style w:type="character" w:styleId="CommentReference">
    <w:name w:val="annotation reference"/>
    <w:basedOn w:val="DefaultParagraphFont"/>
    <w:uiPriority w:val="99"/>
    <w:unhideWhenUsed/>
    <w:rsid w:val="00A14770"/>
    <w:rPr>
      <w:sz w:val="16"/>
      <w:szCs w:val="16"/>
    </w:rPr>
  </w:style>
  <w:style w:type="paragraph" w:styleId="CommentText">
    <w:name w:val="annotation text"/>
    <w:basedOn w:val="Normal"/>
    <w:link w:val="CommentTextChar"/>
    <w:uiPriority w:val="99"/>
    <w:unhideWhenUsed/>
    <w:rsid w:val="00A14770"/>
    <w:pPr>
      <w:spacing w:line="240" w:lineRule="auto"/>
    </w:pPr>
    <w:rPr>
      <w:sz w:val="20"/>
      <w:szCs w:val="20"/>
    </w:rPr>
  </w:style>
  <w:style w:type="character" w:customStyle="1" w:styleId="CommentTextChar">
    <w:name w:val="Comment Text Char"/>
    <w:basedOn w:val="DefaultParagraphFont"/>
    <w:link w:val="CommentText"/>
    <w:uiPriority w:val="99"/>
    <w:rsid w:val="00A14770"/>
    <w:rPr>
      <w:sz w:val="20"/>
      <w:szCs w:val="20"/>
    </w:rPr>
  </w:style>
  <w:style w:type="paragraph" w:styleId="CommentSubject">
    <w:name w:val="annotation subject"/>
    <w:basedOn w:val="CommentText"/>
    <w:next w:val="CommentText"/>
    <w:link w:val="CommentSubjectChar"/>
    <w:uiPriority w:val="99"/>
    <w:semiHidden/>
    <w:unhideWhenUsed/>
    <w:rsid w:val="00A14770"/>
    <w:rPr>
      <w:b/>
      <w:bCs/>
    </w:rPr>
  </w:style>
  <w:style w:type="character" w:customStyle="1" w:styleId="CommentSubjectChar">
    <w:name w:val="Comment Subject Char"/>
    <w:basedOn w:val="CommentTextChar"/>
    <w:link w:val="CommentSubject"/>
    <w:uiPriority w:val="99"/>
    <w:semiHidden/>
    <w:rsid w:val="00A14770"/>
    <w:rPr>
      <w:b/>
      <w:bCs/>
      <w:sz w:val="20"/>
      <w:szCs w:val="20"/>
    </w:rPr>
  </w:style>
  <w:style w:type="character" w:styleId="FootnoteReference">
    <w:name w:val="footnote reference"/>
    <w:basedOn w:val="DefaultParagraphFont"/>
    <w:uiPriority w:val="99"/>
    <w:rsid w:val="004D1622"/>
    <w:rPr>
      <w:vertAlign w:val="superscript"/>
    </w:rPr>
  </w:style>
  <w:style w:type="paragraph" w:styleId="FootnoteText">
    <w:name w:val="footnote text"/>
    <w:basedOn w:val="Normal"/>
    <w:link w:val="FootnoteTextChar"/>
    <w:uiPriority w:val="99"/>
    <w:rsid w:val="004D1622"/>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4D1622"/>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CA0A2A6E635C44B9384D7B4942CE22" ma:contentTypeVersion="18" ma:contentTypeDescription="Create a new document." ma:contentTypeScope="" ma:versionID="0d0c22f3fbbbe3556e5a693ab0fda24b">
  <xsd:schema xmlns:xsd="http://www.w3.org/2001/XMLSchema" xmlns:xs="http://www.w3.org/2001/XMLSchema" xmlns:p="http://schemas.microsoft.com/office/2006/metadata/properties" xmlns:ns2="a22c15c9-5ee2-43fc-bf23-4bf4823d633f" xmlns:ns3="d541df19-1d95-40b9-8952-f391e5cd1063" targetNamespace="http://schemas.microsoft.com/office/2006/metadata/properties" ma:root="true" ma:fieldsID="7715e200de597c72f5cbd8a04d59d0d7" ns2:_="" ns3:_="">
    <xsd:import namespace="a22c15c9-5ee2-43fc-bf23-4bf4823d633f"/>
    <xsd:import namespace="d541df19-1d95-40b9-8952-f391e5cd10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c15c9-5ee2-43fc-bf23-4bf4823d6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39e30c-ef1c-450d-954e-69f1f4f1b1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41df19-1d95-40b9-8952-f391e5cd10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111c1d5-b7a9-400e-9f48-19c3aaabcfd6}" ma:internalName="TaxCatchAll" ma:showField="CatchAllData" ma:web="d541df19-1d95-40b9-8952-f391e5cd1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C3FFF1-529B-4296-87AC-D51300E905DF}">
  <ds:schemaRefs>
    <ds:schemaRef ds:uri="http://schemas.microsoft.com/sharepoint/v3/contenttype/forms"/>
  </ds:schemaRefs>
</ds:datastoreItem>
</file>

<file path=customXml/itemProps2.xml><?xml version="1.0" encoding="utf-8"?>
<ds:datastoreItem xmlns:ds="http://schemas.openxmlformats.org/officeDocument/2006/customXml" ds:itemID="{164BF0AC-1FFE-4666-8EF1-0692E6E6C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c15c9-5ee2-43fc-bf23-4bf4823d633f"/>
    <ds:schemaRef ds:uri="d541df19-1d95-40b9-8952-f391e5cd1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1695</Words>
  <Characters>8987</Characters>
  <Application>Microsoft Office Word</Application>
  <DocSecurity>0</DocSecurity>
  <Lines>169</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Meres</dc:creator>
  <cp:keywords/>
  <dc:description/>
  <cp:lastModifiedBy>Gayathri Vijayakumar (she/her/hers)</cp:lastModifiedBy>
  <cp:revision>44</cp:revision>
  <dcterms:created xsi:type="dcterms:W3CDTF">2024-08-23T12:43:00Z</dcterms:created>
  <dcterms:modified xsi:type="dcterms:W3CDTF">2026-09-18T17:57:00Z</dcterms:modified>
</cp:coreProperties>
</file>